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A0FBF" w14:textId="77777777" w:rsidR="0027168E" w:rsidRPr="00354087" w:rsidRDefault="0027168E" w:rsidP="0027168E">
      <w:pPr>
        <w:spacing w:after="0" w:line="360" w:lineRule="auto"/>
        <w:jc w:val="center"/>
        <w:rPr>
          <w:rFonts w:ascii="Times New Roman" w:eastAsia="Times New Roman" w:hAnsi="Times New Roman" w:cs="Times New Roman"/>
          <w:b/>
          <w:bCs/>
          <w:sz w:val="36"/>
          <w:szCs w:val="36"/>
        </w:rPr>
      </w:pPr>
      <w:bookmarkStart w:id="0" w:name="_Hlk158277456"/>
      <w:bookmarkStart w:id="1" w:name="_Hlk157763107"/>
      <w:r w:rsidRPr="00354087">
        <w:rPr>
          <w:rFonts w:ascii="Times New Roman" w:eastAsia="Times New Roman" w:hAnsi="Times New Roman" w:cs="Times New Roman"/>
          <w:b/>
          <w:bCs/>
          <w:sz w:val="36"/>
          <w:szCs w:val="36"/>
        </w:rPr>
        <w:t>Foreign Direct Investment, Total Factor Productivity, and Economic Growth: Evidence in Middle-income Countries</w:t>
      </w:r>
      <w:bookmarkEnd w:id="1"/>
    </w:p>
    <w:p w14:paraId="514AF1D8" w14:textId="77777777" w:rsidR="0027168E" w:rsidRPr="00354087" w:rsidRDefault="0027168E" w:rsidP="0027168E">
      <w:pPr>
        <w:pBdr>
          <w:top w:val="nil"/>
          <w:left w:val="nil"/>
          <w:bottom w:val="nil"/>
          <w:right w:val="nil"/>
          <w:between w:val="nil"/>
        </w:pBdr>
        <w:spacing w:before="40" w:after="100" w:line="360" w:lineRule="auto"/>
        <w:jc w:val="center"/>
        <w:rPr>
          <w:rFonts w:ascii="Times New Roman" w:hAnsi="Times New Roman" w:cs="Times New Roman"/>
          <w:b/>
          <w:bCs/>
        </w:rPr>
      </w:pPr>
      <w:r w:rsidRPr="00354087">
        <w:rPr>
          <w:rFonts w:ascii="Times New Roman" w:hAnsi="Times New Roman" w:cs="Times New Roman"/>
          <w:b/>
          <w:bCs/>
        </w:rPr>
        <w:t>Hoa Thanh Phan Le</w:t>
      </w:r>
    </w:p>
    <w:p w14:paraId="432CD50B" w14:textId="77777777" w:rsidR="0027168E" w:rsidRPr="00354087" w:rsidRDefault="0027168E" w:rsidP="0027168E">
      <w:pPr>
        <w:pBdr>
          <w:top w:val="nil"/>
          <w:left w:val="nil"/>
          <w:bottom w:val="nil"/>
          <w:right w:val="nil"/>
          <w:between w:val="nil"/>
        </w:pBdr>
        <w:spacing w:before="40" w:after="100" w:line="480" w:lineRule="auto"/>
        <w:jc w:val="center"/>
        <w:rPr>
          <w:rFonts w:ascii="Times New Roman" w:hAnsi="Times New Roman" w:cs="Times New Roman"/>
          <w:i/>
          <w:iCs/>
        </w:rPr>
      </w:pPr>
      <w:r w:rsidRPr="00354087">
        <w:rPr>
          <w:rFonts w:ascii="Times New Roman" w:hAnsi="Times New Roman" w:cs="Times New Roman"/>
          <w:i/>
          <w:iCs/>
        </w:rPr>
        <w:t xml:space="preserve">Faculty of Accounting and Auditing, Van Lang University, Ho Chi Minh City, Vietnam. Email address: </w:t>
      </w:r>
      <w:hyperlink r:id="rId8" w:history="1">
        <w:r w:rsidRPr="00354087">
          <w:rPr>
            <w:rStyle w:val="Hyperlink"/>
            <w:rFonts w:ascii="Times New Roman" w:hAnsi="Times New Roman" w:cs="Times New Roman"/>
            <w:i/>
            <w:iCs/>
          </w:rPr>
          <w:t>hoa.lpt@vlu.edu.vn</w:t>
        </w:r>
      </w:hyperlink>
    </w:p>
    <w:p w14:paraId="29F5DE37" w14:textId="77777777" w:rsidR="0027168E" w:rsidRPr="00354087" w:rsidRDefault="0027168E" w:rsidP="0027168E">
      <w:pPr>
        <w:pBdr>
          <w:top w:val="nil"/>
          <w:left w:val="nil"/>
          <w:bottom w:val="nil"/>
          <w:right w:val="nil"/>
          <w:between w:val="nil"/>
        </w:pBdr>
        <w:spacing w:before="40" w:after="100" w:line="480" w:lineRule="auto"/>
        <w:jc w:val="center"/>
        <w:rPr>
          <w:rFonts w:ascii="Times New Roman" w:hAnsi="Times New Roman" w:cs="Times New Roman"/>
          <w:b/>
          <w:bCs/>
          <w:iCs/>
        </w:rPr>
      </w:pPr>
      <w:r w:rsidRPr="00354087">
        <w:rPr>
          <w:rFonts w:ascii="Times New Roman" w:hAnsi="Times New Roman" w:cs="Times New Roman"/>
          <w:b/>
          <w:bCs/>
          <w:iCs/>
        </w:rPr>
        <w:t>Ha Pham</w:t>
      </w:r>
    </w:p>
    <w:p w14:paraId="585AA7F0" w14:textId="77777777" w:rsidR="0027168E" w:rsidRPr="00354087" w:rsidRDefault="0027168E" w:rsidP="0027168E">
      <w:pPr>
        <w:pBdr>
          <w:top w:val="nil"/>
          <w:left w:val="nil"/>
          <w:bottom w:val="nil"/>
          <w:right w:val="nil"/>
          <w:between w:val="nil"/>
        </w:pBdr>
        <w:spacing w:before="40" w:after="100" w:line="480" w:lineRule="auto"/>
        <w:jc w:val="center"/>
        <w:rPr>
          <w:rStyle w:val="Hyperlink"/>
          <w:rFonts w:ascii="Times New Roman" w:hAnsi="Times New Roman" w:cs="Times New Roman"/>
          <w:i/>
        </w:rPr>
      </w:pPr>
      <w:r w:rsidRPr="00354087">
        <w:rPr>
          <w:rFonts w:ascii="Times New Roman" w:hAnsi="Times New Roman" w:cs="Times New Roman"/>
          <w:i/>
        </w:rPr>
        <w:t xml:space="preserve">Faculty of Finance and Banking, Ho Chi Minh City Open University, Ho Chi Minh City, Vietnam. </w:t>
      </w:r>
      <w:bookmarkStart w:id="2" w:name="_Hlk144296978"/>
      <w:r w:rsidRPr="00354087">
        <w:rPr>
          <w:rFonts w:ascii="Times New Roman" w:hAnsi="Times New Roman" w:cs="Times New Roman"/>
          <w:i/>
        </w:rPr>
        <w:t>Email address</w:t>
      </w:r>
      <w:bookmarkEnd w:id="2"/>
      <w:r w:rsidRPr="00354087">
        <w:rPr>
          <w:rFonts w:ascii="Times New Roman" w:hAnsi="Times New Roman" w:cs="Times New Roman"/>
          <w:i/>
        </w:rPr>
        <w:t xml:space="preserve">: </w:t>
      </w:r>
      <w:hyperlink r:id="rId9" w:history="1">
        <w:r w:rsidRPr="00354087">
          <w:rPr>
            <w:rStyle w:val="Hyperlink"/>
            <w:rFonts w:ascii="Times New Roman" w:hAnsi="Times New Roman" w:cs="Times New Roman"/>
            <w:i/>
          </w:rPr>
          <w:t>ha.p@ou.edu.vn</w:t>
        </w:r>
      </w:hyperlink>
    </w:p>
    <w:p w14:paraId="28E998BA" w14:textId="77777777" w:rsidR="0027168E" w:rsidRPr="00354087" w:rsidRDefault="0027168E" w:rsidP="0027168E">
      <w:pPr>
        <w:pBdr>
          <w:top w:val="nil"/>
          <w:left w:val="nil"/>
          <w:bottom w:val="nil"/>
          <w:right w:val="nil"/>
          <w:between w:val="nil"/>
        </w:pBdr>
        <w:spacing w:before="40" w:after="100" w:line="480" w:lineRule="auto"/>
        <w:jc w:val="center"/>
        <w:rPr>
          <w:rFonts w:ascii="Times New Roman" w:hAnsi="Times New Roman" w:cs="Times New Roman"/>
          <w:b/>
          <w:bCs/>
          <w:iCs/>
        </w:rPr>
      </w:pPr>
      <w:r w:rsidRPr="00354087">
        <w:rPr>
          <w:rFonts w:ascii="Times New Roman" w:hAnsi="Times New Roman" w:cs="Times New Roman"/>
          <w:b/>
          <w:bCs/>
          <w:iCs/>
        </w:rPr>
        <w:t>Nga Thu Thi Do</w:t>
      </w:r>
    </w:p>
    <w:p w14:paraId="2494D8AF" w14:textId="77777777" w:rsidR="0027168E" w:rsidRPr="00354087" w:rsidRDefault="0027168E" w:rsidP="0027168E">
      <w:pPr>
        <w:pBdr>
          <w:top w:val="nil"/>
          <w:left w:val="nil"/>
          <w:bottom w:val="nil"/>
          <w:right w:val="nil"/>
          <w:between w:val="nil"/>
        </w:pBdr>
        <w:spacing w:before="40" w:after="100" w:line="480" w:lineRule="auto"/>
        <w:jc w:val="center"/>
        <w:rPr>
          <w:rFonts w:ascii="Times New Roman" w:hAnsi="Times New Roman" w:cs="Times New Roman"/>
          <w:i/>
        </w:rPr>
      </w:pPr>
      <w:r w:rsidRPr="00354087">
        <w:rPr>
          <w:rFonts w:ascii="Times New Roman" w:hAnsi="Times New Roman" w:cs="Times New Roman"/>
          <w:i/>
        </w:rPr>
        <w:t xml:space="preserve">Faculty of Finance and Banking, Ton Duc Thang University, Ho Chi Minh City, Vietnam. </w:t>
      </w:r>
    </w:p>
    <w:p w14:paraId="7D49857E" w14:textId="77777777" w:rsidR="0027168E" w:rsidRPr="00354087" w:rsidRDefault="0027168E" w:rsidP="0027168E">
      <w:pPr>
        <w:pBdr>
          <w:top w:val="nil"/>
          <w:left w:val="nil"/>
          <w:bottom w:val="nil"/>
          <w:right w:val="nil"/>
          <w:between w:val="nil"/>
        </w:pBdr>
        <w:spacing w:before="40" w:after="100" w:line="480" w:lineRule="auto"/>
        <w:jc w:val="center"/>
        <w:rPr>
          <w:rFonts w:ascii="Times New Roman" w:hAnsi="Times New Roman" w:cs="Times New Roman"/>
          <w:i/>
        </w:rPr>
      </w:pPr>
      <w:r w:rsidRPr="00354087">
        <w:rPr>
          <w:rFonts w:ascii="Times New Roman" w:hAnsi="Times New Roman" w:cs="Times New Roman"/>
          <w:i/>
        </w:rPr>
        <w:t xml:space="preserve">Email address: </w:t>
      </w:r>
      <w:bookmarkStart w:id="3" w:name="_Hlk144297298"/>
      <w:r w:rsidRPr="00354087">
        <w:rPr>
          <w:rFonts w:ascii="Times New Roman" w:hAnsi="Times New Roman" w:cs="Times New Roman"/>
          <w:i/>
        </w:rPr>
        <w:fldChar w:fldCharType="begin"/>
      </w:r>
      <w:r w:rsidRPr="00354087">
        <w:rPr>
          <w:rFonts w:ascii="Times New Roman" w:hAnsi="Times New Roman" w:cs="Times New Roman"/>
          <w:i/>
        </w:rPr>
        <w:instrText>HYPERLINK "mailto:b19h0242@student.tdtu.edu.vn"</w:instrText>
      </w:r>
      <w:r w:rsidRPr="00354087">
        <w:rPr>
          <w:rFonts w:ascii="Times New Roman" w:hAnsi="Times New Roman" w:cs="Times New Roman"/>
          <w:i/>
        </w:rPr>
      </w:r>
      <w:r w:rsidRPr="00354087">
        <w:rPr>
          <w:rFonts w:ascii="Times New Roman" w:hAnsi="Times New Roman" w:cs="Times New Roman"/>
          <w:i/>
        </w:rPr>
        <w:fldChar w:fldCharType="separate"/>
      </w:r>
      <w:r w:rsidRPr="00354087">
        <w:rPr>
          <w:rStyle w:val="Hyperlink"/>
          <w:rFonts w:ascii="Times New Roman" w:hAnsi="Times New Roman" w:cs="Times New Roman"/>
          <w:i/>
        </w:rPr>
        <w:t>b19h0242@student.tdtu.edu.vn</w:t>
      </w:r>
      <w:r w:rsidRPr="00354087">
        <w:rPr>
          <w:rFonts w:ascii="Times New Roman" w:hAnsi="Times New Roman" w:cs="Times New Roman"/>
          <w:i/>
        </w:rPr>
        <w:fldChar w:fldCharType="end"/>
      </w:r>
      <w:bookmarkEnd w:id="3"/>
      <w:r w:rsidRPr="00354087">
        <w:rPr>
          <w:rFonts w:ascii="Times New Roman" w:hAnsi="Times New Roman" w:cs="Times New Roman"/>
          <w:i/>
        </w:rPr>
        <w:t xml:space="preserve"> </w:t>
      </w:r>
    </w:p>
    <w:p w14:paraId="494094DE" w14:textId="47746FCE" w:rsidR="0027168E" w:rsidRPr="00354087" w:rsidRDefault="0027168E" w:rsidP="0027168E">
      <w:pPr>
        <w:pBdr>
          <w:top w:val="nil"/>
          <w:left w:val="nil"/>
          <w:bottom w:val="nil"/>
          <w:right w:val="nil"/>
          <w:between w:val="nil"/>
        </w:pBdr>
        <w:spacing w:before="40" w:after="100" w:line="480" w:lineRule="auto"/>
        <w:jc w:val="center"/>
        <w:rPr>
          <w:rFonts w:ascii="Times New Roman" w:hAnsi="Times New Roman" w:cs="Times New Roman"/>
          <w:b/>
          <w:bCs/>
        </w:rPr>
        <w:sectPr w:rsidR="0027168E" w:rsidRPr="00354087" w:rsidSect="0027168E">
          <w:footerReference w:type="default" r:id="rId10"/>
          <w:footnotePr>
            <w:numFmt w:val="chicago"/>
          </w:footnotePr>
          <w:type w:val="continuous"/>
          <w:pgSz w:w="12240" w:h="15840"/>
          <w:pgMar w:top="1440" w:right="1440" w:bottom="1440" w:left="1440" w:header="720" w:footer="720" w:gutter="0"/>
          <w:cols w:space="720"/>
          <w:docGrid w:linePitch="360"/>
        </w:sectPr>
      </w:pPr>
      <w:r w:rsidRPr="00354087">
        <w:rPr>
          <w:rFonts w:ascii="Times New Roman" w:hAnsi="Times New Roman" w:cs="Times New Roman"/>
          <w:b/>
          <w:bCs/>
        </w:rPr>
        <w:t>Khoa Dang Duong</w:t>
      </w:r>
      <w:r w:rsidRPr="00354087">
        <w:rPr>
          <w:rFonts w:ascii="Times New Roman" w:hAnsi="Times New Roman" w:cs="Times New Roman"/>
          <w:b/>
          <w:bCs/>
          <w:vertAlign w:val="superscript"/>
        </w:rPr>
        <w:footnoteReference w:id="1"/>
      </w:r>
    </w:p>
    <w:p w14:paraId="0EDB97D1" w14:textId="738A829B" w:rsidR="0027168E" w:rsidRPr="00354087" w:rsidRDefault="0027168E" w:rsidP="0027168E">
      <w:pPr>
        <w:pBdr>
          <w:top w:val="nil"/>
          <w:left w:val="nil"/>
          <w:bottom w:val="nil"/>
          <w:right w:val="nil"/>
          <w:between w:val="nil"/>
        </w:pBdr>
        <w:spacing w:before="40" w:after="100" w:line="480" w:lineRule="auto"/>
        <w:jc w:val="center"/>
        <w:rPr>
          <w:rFonts w:ascii="Times New Roman" w:eastAsia="Times New Roman" w:hAnsi="Times New Roman" w:cs="Times New Roman"/>
          <w:b/>
          <w:bCs/>
        </w:rPr>
      </w:pPr>
      <w:r w:rsidRPr="00354087">
        <w:rPr>
          <w:rFonts w:ascii="Times New Roman" w:hAnsi="Times New Roman" w:cs="Times New Roman"/>
          <w:i/>
        </w:rPr>
        <w:t xml:space="preserve">Faculty of Finance and Banking, Ton Duc Thang University, Ho Chi Minh City, Vietnam. </w:t>
      </w:r>
      <w:r w:rsidRPr="00354087">
        <w:rPr>
          <w:rFonts w:ascii="Times New Roman" w:hAnsi="Times New Roman" w:cs="Times New Roman"/>
          <w:bCs/>
          <w:i/>
          <w:iCs/>
          <w:color w:val="000000"/>
        </w:rPr>
        <w:t>Email address</w:t>
      </w:r>
      <w:r w:rsidRPr="00354087">
        <w:rPr>
          <w:rFonts w:ascii="Times New Roman" w:hAnsi="Times New Roman" w:cs="Times New Roman"/>
          <w:i/>
        </w:rPr>
        <w:t xml:space="preserve">: </w:t>
      </w:r>
      <w:hyperlink r:id="rId11" w:history="1">
        <w:r w:rsidRPr="00354087">
          <w:rPr>
            <w:rStyle w:val="Hyperlink"/>
            <w:rFonts w:ascii="Times New Roman" w:hAnsi="Times New Roman" w:cs="Times New Roman"/>
            <w:i/>
          </w:rPr>
          <w:t>duongdangkhoa@tdtu.edu.vn</w:t>
        </w:r>
      </w:hyperlink>
    </w:p>
    <w:p w14:paraId="6B29ED2F" w14:textId="77777777" w:rsidR="0027168E" w:rsidRPr="00354087" w:rsidRDefault="0027168E">
      <w:pPr>
        <w:rPr>
          <w:rFonts w:ascii="Times New Roman" w:eastAsia="Times New Roman" w:hAnsi="Times New Roman" w:cs="Times New Roman"/>
          <w:b/>
          <w:sz w:val="26"/>
          <w:szCs w:val="26"/>
        </w:rPr>
      </w:pPr>
      <w:r w:rsidRPr="00354087">
        <w:rPr>
          <w:rFonts w:ascii="Times New Roman" w:eastAsia="Times New Roman" w:hAnsi="Times New Roman" w:cs="Times New Roman"/>
          <w:b/>
          <w:sz w:val="26"/>
          <w:szCs w:val="26"/>
        </w:rPr>
        <w:br w:type="page"/>
      </w:r>
    </w:p>
    <w:p w14:paraId="32352200" w14:textId="67905AC1" w:rsidR="0027168E" w:rsidRPr="00354087" w:rsidRDefault="008A3B06" w:rsidP="0027168E">
      <w:pPr>
        <w:spacing w:line="360" w:lineRule="auto"/>
        <w:jc w:val="both"/>
        <w:textAlignment w:val="baseline"/>
        <w:rPr>
          <w:rFonts w:ascii="Times New Roman" w:eastAsia="Times New Roman" w:hAnsi="Times New Roman" w:cs="Times New Roman"/>
          <w:color w:val="000000" w:themeColor="text1"/>
          <w:sz w:val="26"/>
          <w:szCs w:val="26"/>
        </w:rPr>
      </w:pPr>
      <w:r>
        <w:rPr>
          <w:rFonts w:ascii="Times New Roman" w:eastAsia="Times New Roman" w:hAnsi="Times New Roman" w:cs="Times New Roman"/>
          <w:b/>
          <w:sz w:val="26"/>
          <w:szCs w:val="26"/>
        </w:rPr>
        <w:lastRenderedPageBreak/>
        <w:t>Appendix</w:t>
      </w:r>
      <w:r w:rsidR="0027168E" w:rsidRPr="00354087">
        <w:rPr>
          <w:rFonts w:ascii="Times New Roman" w:eastAsia="Times New Roman" w:hAnsi="Times New Roman" w:cs="Times New Roman"/>
          <w:b/>
          <w:sz w:val="26"/>
          <w:szCs w:val="26"/>
        </w:rPr>
        <w:t xml:space="preserve"> A: Variable definitions</w:t>
      </w:r>
      <w:r w:rsidR="0027168E" w:rsidRPr="00354087">
        <w:rPr>
          <w:rFonts w:ascii="Times New Roman" w:eastAsia="Times New Roman" w:hAnsi="Times New Roman" w:cs="Times New Roman"/>
          <w:b/>
          <w:sz w:val="26"/>
          <w:szCs w:val="26"/>
          <w:shd w:val="clear" w:color="auto" w:fill="FFFFFF"/>
        </w:rPr>
        <w:t xml:space="preserve"> </w:t>
      </w:r>
    </w:p>
    <w:tbl>
      <w:tblPr>
        <w:tblStyle w:val="TableGrid1"/>
        <w:tblW w:w="9711" w:type="dxa"/>
        <w:tblLayout w:type="fixed"/>
        <w:tblLook w:val="04A0" w:firstRow="1" w:lastRow="0" w:firstColumn="1" w:lastColumn="0" w:noHBand="0" w:noVBand="1"/>
      </w:tblPr>
      <w:tblGrid>
        <w:gridCol w:w="1818"/>
        <w:gridCol w:w="1710"/>
        <w:gridCol w:w="4320"/>
        <w:gridCol w:w="1863"/>
      </w:tblGrid>
      <w:tr w:rsidR="0027168E" w:rsidRPr="00354087" w14:paraId="35E9A31C" w14:textId="77777777" w:rsidTr="009C2F11">
        <w:tc>
          <w:tcPr>
            <w:tcW w:w="1818" w:type="dxa"/>
          </w:tcPr>
          <w:p w14:paraId="3B661DE3" w14:textId="77777777" w:rsidR="0027168E" w:rsidRPr="00354087" w:rsidRDefault="0027168E" w:rsidP="009C2F11">
            <w:pPr>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b/>
                <w:bCs/>
                <w:sz w:val="25"/>
                <w:szCs w:val="25"/>
              </w:rPr>
              <w:t xml:space="preserve">Variables </w:t>
            </w:r>
          </w:p>
        </w:tc>
        <w:tc>
          <w:tcPr>
            <w:tcW w:w="1710" w:type="dxa"/>
          </w:tcPr>
          <w:p w14:paraId="579556AB" w14:textId="77777777" w:rsidR="0027168E" w:rsidRPr="00354087" w:rsidRDefault="0027168E" w:rsidP="009C2F11">
            <w:pPr>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b/>
                <w:bCs/>
                <w:sz w:val="25"/>
                <w:szCs w:val="25"/>
              </w:rPr>
              <w:t>Notation</w:t>
            </w:r>
          </w:p>
        </w:tc>
        <w:tc>
          <w:tcPr>
            <w:tcW w:w="4320" w:type="dxa"/>
          </w:tcPr>
          <w:p w14:paraId="172AC9B9" w14:textId="77777777" w:rsidR="0027168E" w:rsidRPr="00354087" w:rsidRDefault="0027168E" w:rsidP="009C2F11">
            <w:pPr>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b/>
                <w:bCs/>
                <w:sz w:val="25"/>
                <w:szCs w:val="25"/>
              </w:rPr>
              <w:t xml:space="preserve">Variable description </w:t>
            </w:r>
          </w:p>
        </w:tc>
        <w:tc>
          <w:tcPr>
            <w:tcW w:w="1863" w:type="dxa"/>
          </w:tcPr>
          <w:p w14:paraId="5F896B63" w14:textId="77777777" w:rsidR="0027168E" w:rsidRPr="00354087" w:rsidRDefault="0027168E" w:rsidP="009C2F11">
            <w:pPr>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b/>
                <w:bCs/>
                <w:sz w:val="25"/>
                <w:szCs w:val="25"/>
              </w:rPr>
              <w:t>Reference</w:t>
            </w:r>
          </w:p>
        </w:tc>
      </w:tr>
      <w:tr w:rsidR="0027168E" w:rsidRPr="00354087" w14:paraId="4DB9455C" w14:textId="77777777" w:rsidTr="009C2F11">
        <w:tc>
          <w:tcPr>
            <w:tcW w:w="1818" w:type="dxa"/>
          </w:tcPr>
          <w:p w14:paraId="5F234375" w14:textId="77777777" w:rsidR="0027168E" w:rsidRPr="00354087" w:rsidRDefault="0027168E" w:rsidP="009C2F11">
            <w:pPr>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b/>
                <w:bCs/>
                <w:sz w:val="25"/>
                <w:szCs w:val="25"/>
              </w:rPr>
              <w:t>Dependent</w:t>
            </w:r>
            <w:r w:rsidRPr="00354087">
              <w:rPr>
                <w:rFonts w:ascii="Times New Roman" w:hAnsi="Times New Roman" w:cs="Times New Roman"/>
                <w:b/>
                <w:bCs/>
                <w:sz w:val="25"/>
                <w:szCs w:val="25"/>
                <w:lang w:val="vi-VN"/>
              </w:rPr>
              <w:t xml:space="preserve"> </w:t>
            </w:r>
            <w:r w:rsidRPr="00354087">
              <w:rPr>
                <w:rFonts w:ascii="Times New Roman" w:hAnsi="Times New Roman" w:cs="Times New Roman"/>
                <w:b/>
                <w:bCs/>
                <w:sz w:val="25"/>
                <w:szCs w:val="25"/>
              </w:rPr>
              <w:t>variables</w:t>
            </w:r>
          </w:p>
        </w:tc>
        <w:tc>
          <w:tcPr>
            <w:tcW w:w="1710" w:type="dxa"/>
          </w:tcPr>
          <w:p w14:paraId="66DFDAFC" w14:textId="77777777" w:rsidR="0027168E" w:rsidRPr="00354087" w:rsidRDefault="0027168E" w:rsidP="009C2F11">
            <w:pPr>
              <w:spacing w:line="360" w:lineRule="auto"/>
              <w:jc w:val="both"/>
              <w:rPr>
                <w:rFonts w:ascii="Times New Roman" w:hAnsi="Times New Roman" w:cs="Times New Roman"/>
                <w:sz w:val="25"/>
                <w:szCs w:val="25"/>
              </w:rPr>
            </w:pPr>
          </w:p>
        </w:tc>
        <w:tc>
          <w:tcPr>
            <w:tcW w:w="4320" w:type="dxa"/>
          </w:tcPr>
          <w:p w14:paraId="34E0DC93" w14:textId="77777777" w:rsidR="0027168E" w:rsidRPr="00354087" w:rsidRDefault="0027168E" w:rsidP="009C2F11">
            <w:pPr>
              <w:spacing w:line="360" w:lineRule="auto"/>
              <w:jc w:val="both"/>
              <w:rPr>
                <w:rFonts w:ascii="Times New Roman" w:hAnsi="Times New Roman" w:cs="Times New Roman"/>
                <w:sz w:val="25"/>
                <w:szCs w:val="25"/>
              </w:rPr>
            </w:pPr>
          </w:p>
        </w:tc>
        <w:tc>
          <w:tcPr>
            <w:tcW w:w="1863" w:type="dxa"/>
          </w:tcPr>
          <w:p w14:paraId="317AC3E0" w14:textId="77777777" w:rsidR="0027168E" w:rsidRPr="00354087" w:rsidRDefault="0027168E" w:rsidP="009C2F11">
            <w:pPr>
              <w:spacing w:line="360" w:lineRule="auto"/>
              <w:jc w:val="both"/>
              <w:rPr>
                <w:rFonts w:ascii="Times New Roman" w:hAnsi="Times New Roman" w:cs="Times New Roman"/>
                <w:sz w:val="25"/>
                <w:szCs w:val="25"/>
              </w:rPr>
            </w:pPr>
          </w:p>
        </w:tc>
      </w:tr>
      <w:tr w:rsidR="0027168E" w:rsidRPr="00354087" w14:paraId="37A79FFE" w14:textId="77777777" w:rsidTr="009C2F11">
        <w:trPr>
          <w:trHeight w:val="656"/>
        </w:trPr>
        <w:tc>
          <w:tcPr>
            <w:tcW w:w="1818" w:type="dxa"/>
          </w:tcPr>
          <w:p w14:paraId="57A6C438"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GDP</w:t>
            </w:r>
          </w:p>
        </w:tc>
        <w:tc>
          <w:tcPr>
            <w:tcW w:w="1710" w:type="dxa"/>
          </w:tcPr>
          <w:p w14:paraId="33C28477"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Gross domestic product growth rate</w:t>
            </w:r>
          </w:p>
        </w:tc>
        <w:tc>
          <w:tcPr>
            <w:tcW w:w="4320" w:type="dxa"/>
          </w:tcPr>
          <w:p w14:paraId="4860A731"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GDP is measured using the market value approach and is calculated based on the total value of goods and services produced within a country during a given period.</w:t>
            </w:r>
          </w:p>
        </w:tc>
        <w:tc>
          <w:tcPr>
            <w:tcW w:w="1863" w:type="dxa"/>
          </w:tcPr>
          <w:p w14:paraId="3EFAD419"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shd w:val="clear" w:color="auto" w:fill="FFFFFF"/>
              </w:rPr>
              <w:t>Nistor (2014)</w:t>
            </w:r>
          </w:p>
        </w:tc>
      </w:tr>
      <w:tr w:rsidR="0027168E" w:rsidRPr="00354087" w14:paraId="278E42A8" w14:textId="77777777" w:rsidTr="009C2F11">
        <w:tc>
          <w:tcPr>
            <w:tcW w:w="1818" w:type="dxa"/>
          </w:tcPr>
          <w:p w14:paraId="34B1B61B" w14:textId="77777777" w:rsidR="0027168E" w:rsidRPr="00354087" w:rsidRDefault="0027168E" w:rsidP="009C2F11">
            <w:pPr>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b/>
                <w:bCs/>
                <w:sz w:val="25"/>
                <w:szCs w:val="25"/>
              </w:rPr>
              <w:t xml:space="preserve">Independent variables </w:t>
            </w:r>
          </w:p>
        </w:tc>
        <w:tc>
          <w:tcPr>
            <w:tcW w:w="1710" w:type="dxa"/>
          </w:tcPr>
          <w:p w14:paraId="20A3F3B1" w14:textId="77777777" w:rsidR="0027168E" w:rsidRPr="00354087" w:rsidRDefault="0027168E" w:rsidP="009C2F11">
            <w:pPr>
              <w:spacing w:line="360" w:lineRule="auto"/>
              <w:jc w:val="both"/>
              <w:rPr>
                <w:rFonts w:ascii="Times New Roman" w:hAnsi="Times New Roman" w:cs="Times New Roman"/>
                <w:sz w:val="25"/>
                <w:szCs w:val="25"/>
              </w:rPr>
            </w:pPr>
          </w:p>
        </w:tc>
        <w:tc>
          <w:tcPr>
            <w:tcW w:w="4320" w:type="dxa"/>
          </w:tcPr>
          <w:p w14:paraId="4CC88486" w14:textId="77777777" w:rsidR="0027168E" w:rsidRPr="00354087" w:rsidRDefault="0027168E" w:rsidP="009C2F11">
            <w:pPr>
              <w:spacing w:line="360" w:lineRule="auto"/>
              <w:jc w:val="both"/>
              <w:rPr>
                <w:rFonts w:ascii="Times New Roman" w:hAnsi="Times New Roman" w:cs="Times New Roman"/>
                <w:sz w:val="25"/>
                <w:szCs w:val="25"/>
              </w:rPr>
            </w:pPr>
          </w:p>
        </w:tc>
        <w:tc>
          <w:tcPr>
            <w:tcW w:w="1863" w:type="dxa"/>
          </w:tcPr>
          <w:p w14:paraId="4390DD80" w14:textId="77777777" w:rsidR="0027168E" w:rsidRPr="00354087" w:rsidRDefault="0027168E" w:rsidP="009C2F11">
            <w:pPr>
              <w:spacing w:line="360" w:lineRule="auto"/>
              <w:jc w:val="both"/>
              <w:rPr>
                <w:rFonts w:ascii="Times New Roman" w:hAnsi="Times New Roman" w:cs="Times New Roman"/>
                <w:sz w:val="25"/>
                <w:szCs w:val="25"/>
              </w:rPr>
            </w:pPr>
          </w:p>
        </w:tc>
      </w:tr>
      <w:tr w:rsidR="0027168E" w:rsidRPr="00354087" w14:paraId="71AFECE2" w14:textId="77777777" w:rsidTr="009C2F11">
        <w:trPr>
          <w:trHeight w:val="1331"/>
        </w:trPr>
        <w:tc>
          <w:tcPr>
            <w:tcW w:w="1818" w:type="dxa"/>
          </w:tcPr>
          <w:p w14:paraId="179FE1A1"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FDI</w:t>
            </w:r>
          </w:p>
        </w:tc>
        <w:tc>
          <w:tcPr>
            <w:tcW w:w="1710" w:type="dxa"/>
          </w:tcPr>
          <w:p w14:paraId="6B9F929C"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Foreign direct investment</w:t>
            </w:r>
          </w:p>
        </w:tc>
        <w:tc>
          <w:tcPr>
            <w:tcW w:w="4320" w:type="dxa"/>
          </w:tcPr>
          <w:p w14:paraId="63C8628E"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We measure FDI by net direct investment inflows into a particular country over a given period in terms of value or number of investment projects.</w:t>
            </w:r>
          </w:p>
        </w:tc>
        <w:tc>
          <w:tcPr>
            <w:tcW w:w="1863" w:type="dxa"/>
          </w:tcPr>
          <w:p w14:paraId="1979D368" w14:textId="77777777" w:rsidR="0027168E" w:rsidRPr="00354087" w:rsidRDefault="0027168E" w:rsidP="009C2F11">
            <w:pPr>
              <w:spacing w:line="360" w:lineRule="auto"/>
              <w:jc w:val="both"/>
              <w:rPr>
                <w:rFonts w:ascii="Times New Roman" w:eastAsia="SimSun" w:hAnsi="Times New Roman" w:cs="Times New Roman"/>
                <w:sz w:val="25"/>
                <w:szCs w:val="25"/>
                <w:lang w:eastAsia="zh-CN" w:bidi="ar"/>
              </w:rPr>
            </w:pPr>
            <w:r w:rsidRPr="00354087">
              <w:rPr>
                <w:rFonts w:ascii="Times New Roman" w:eastAsia="SimSun" w:hAnsi="Times New Roman" w:cs="Times New Roman"/>
                <w:sz w:val="25"/>
                <w:szCs w:val="25"/>
                <w:lang w:eastAsia="zh-CN" w:bidi="ar"/>
              </w:rPr>
              <w:t>Sokang (2018); Tran et al. (2023); Le et al. (2023)</w:t>
            </w:r>
          </w:p>
        </w:tc>
      </w:tr>
      <w:tr w:rsidR="0027168E" w:rsidRPr="00354087" w14:paraId="29DC6785" w14:textId="77777777" w:rsidTr="009C2F11">
        <w:trPr>
          <w:trHeight w:val="836"/>
        </w:trPr>
        <w:tc>
          <w:tcPr>
            <w:tcW w:w="1818" w:type="dxa"/>
          </w:tcPr>
          <w:p w14:paraId="051F8B79"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TFP</w:t>
            </w:r>
          </w:p>
        </w:tc>
        <w:tc>
          <w:tcPr>
            <w:tcW w:w="1710" w:type="dxa"/>
          </w:tcPr>
          <w:p w14:paraId="26364DB1"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The total factor productivity</w:t>
            </w:r>
          </w:p>
        </w:tc>
        <w:tc>
          <w:tcPr>
            <w:tcW w:w="4320" w:type="dxa"/>
          </w:tcPr>
          <w:p w14:paraId="0C4F43A4" w14:textId="77777777" w:rsidR="0027168E" w:rsidRPr="00354087" w:rsidRDefault="0027168E" w:rsidP="009C2F11">
            <w:pPr>
              <w:spacing w:before="106" w:line="250" w:lineRule="auto"/>
              <w:ind w:right="40"/>
              <w:jc w:val="both"/>
              <w:rPr>
                <w:rFonts w:ascii="Times New Roman" w:hAnsi="Times New Roman" w:cs="Times New Roman"/>
                <w:sz w:val="25"/>
                <w:szCs w:val="25"/>
              </w:rPr>
            </w:pPr>
            <w:r w:rsidRPr="00354087">
              <w:rPr>
                <w:rFonts w:ascii="Times New Roman" w:eastAsia="Gungsuh" w:hAnsi="Times New Roman" w:cs="Times New Roman"/>
                <w:sz w:val="25"/>
                <w:szCs w:val="25"/>
              </w:rPr>
              <w:t xml:space="preserve">TFP is measured by the efficiency of the production process when factors of production (human, capital,  and technology) are used optimally. The TFP calculated based on the Cobb-Douglas function model is: </w:t>
            </w:r>
            <m:oMath>
              <m:r>
                <w:rPr>
                  <w:rFonts w:ascii="Cambria Math" w:hAnsi="Cambria Math" w:cs="Times New Roman"/>
                  <w:sz w:val="25"/>
                  <w:szCs w:val="25"/>
                </w:rPr>
                <m:t>Y</m:t>
              </m:r>
              <m:r>
                <w:rPr>
                  <w:rFonts w:ascii="Cambria Math" w:eastAsia="Cambria Math" w:hAnsi="Cambria Math" w:cs="Times New Roman"/>
                  <w:sz w:val="25"/>
                  <w:szCs w:val="25"/>
                </w:rPr>
                <m:t>=</m:t>
              </m:r>
              <m:sSub>
                <m:sSubPr>
                  <m:ctrlPr>
                    <w:rPr>
                      <w:rFonts w:ascii="Cambria Math" w:eastAsia="Cambria Math" w:hAnsi="Cambria Math" w:cs="Times New Roman"/>
                      <w:sz w:val="25"/>
                      <w:szCs w:val="25"/>
                    </w:rPr>
                  </m:ctrlPr>
                </m:sSubPr>
                <m:e>
                  <m:r>
                    <w:rPr>
                      <w:rFonts w:ascii="Cambria Math" w:eastAsia="Cambria Math" w:hAnsi="Cambria Math" w:cs="Times New Roman"/>
                      <w:sz w:val="25"/>
                      <w:szCs w:val="25"/>
                    </w:rPr>
                    <m:t>TFP</m:t>
                  </m:r>
                </m:e>
                <m:sub>
                  <m:r>
                    <w:rPr>
                      <w:rFonts w:ascii="Cambria Math" w:eastAsia="Cambria Math" w:hAnsi="Cambria Math" w:cs="Times New Roman"/>
                      <w:sz w:val="25"/>
                      <w:szCs w:val="25"/>
                    </w:rPr>
                    <m:t>it</m:t>
                  </m:r>
                </m:sub>
              </m:sSub>
              <m:r>
                <w:rPr>
                  <w:rFonts w:ascii="Cambria Math" w:eastAsia="Cambria Math" w:hAnsi="Cambria Math" w:cs="Times New Roman"/>
                  <w:sz w:val="25"/>
                  <w:szCs w:val="25"/>
                </w:rPr>
                <m:t>×</m:t>
              </m:r>
              <m:sSup>
                <m:sSupPr>
                  <m:ctrlPr>
                    <w:rPr>
                      <w:rFonts w:ascii="Cambria Math" w:eastAsia="Cambria Math" w:hAnsi="Cambria Math" w:cs="Times New Roman"/>
                      <w:sz w:val="25"/>
                      <w:szCs w:val="25"/>
                    </w:rPr>
                  </m:ctrlPr>
                </m:sSupPr>
                <m:e>
                  <m:r>
                    <w:rPr>
                      <w:rFonts w:ascii="Cambria Math" w:eastAsia="Cambria Math" w:hAnsi="Cambria Math" w:cs="Times New Roman"/>
                      <w:sz w:val="25"/>
                      <w:szCs w:val="25"/>
                    </w:rPr>
                    <m:t>K</m:t>
                  </m:r>
                </m:e>
                <m:sup>
                  <m:r>
                    <w:rPr>
                      <w:rFonts w:ascii="Cambria Math" w:eastAsia="Cambria Math" w:hAnsi="Cambria Math" w:cs="Times New Roman"/>
                      <w:sz w:val="25"/>
                      <w:szCs w:val="25"/>
                    </w:rPr>
                    <m:t>β</m:t>
                  </m:r>
                </m:sup>
              </m:sSup>
              <m:sSup>
                <m:sSupPr>
                  <m:ctrlPr>
                    <w:rPr>
                      <w:rFonts w:ascii="Cambria Math" w:eastAsia="Cambria Math" w:hAnsi="Cambria Math" w:cs="Times New Roman"/>
                      <w:sz w:val="25"/>
                      <w:szCs w:val="25"/>
                    </w:rPr>
                  </m:ctrlPr>
                </m:sSupPr>
                <m:e>
                  <m:r>
                    <w:rPr>
                      <w:rFonts w:ascii="Cambria Math" w:eastAsia="Cambria Math" w:hAnsi="Cambria Math" w:cs="Times New Roman"/>
                      <w:sz w:val="25"/>
                      <w:szCs w:val="25"/>
                    </w:rPr>
                    <m:t>×L</m:t>
                  </m:r>
                </m:e>
                <m:sup>
                  <m:r>
                    <w:rPr>
                      <w:rFonts w:ascii="Cambria Math" w:eastAsia="Cambria Math" w:hAnsi="Cambria Math" w:cs="Times New Roman"/>
                      <w:sz w:val="25"/>
                      <w:szCs w:val="25"/>
                    </w:rPr>
                    <m:t>α</m:t>
                  </m:r>
                </m:sup>
              </m:sSup>
            </m:oMath>
          </w:p>
        </w:tc>
        <w:tc>
          <w:tcPr>
            <w:tcW w:w="1863" w:type="dxa"/>
          </w:tcPr>
          <w:p w14:paraId="57E290DE"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Moghaddasi &amp; Pour (2016)</w:t>
            </w:r>
          </w:p>
        </w:tc>
      </w:tr>
      <w:tr w:rsidR="0027168E" w:rsidRPr="00354087" w14:paraId="0861BC6F" w14:textId="77777777" w:rsidTr="009C2F11">
        <w:tc>
          <w:tcPr>
            <w:tcW w:w="1818" w:type="dxa"/>
          </w:tcPr>
          <w:p w14:paraId="077C2F1D" w14:textId="77777777" w:rsidR="0027168E" w:rsidRPr="00354087" w:rsidRDefault="0027168E" w:rsidP="009C2F11">
            <w:pPr>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b/>
                <w:bCs/>
                <w:sz w:val="25"/>
                <w:szCs w:val="25"/>
              </w:rPr>
              <w:t xml:space="preserve">Control variables </w:t>
            </w:r>
          </w:p>
        </w:tc>
        <w:tc>
          <w:tcPr>
            <w:tcW w:w="1710" w:type="dxa"/>
          </w:tcPr>
          <w:p w14:paraId="42281E30" w14:textId="77777777" w:rsidR="0027168E" w:rsidRPr="00354087" w:rsidRDefault="0027168E" w:rsidP="009C2F11">
            <w:pPr>
              <w:spacing w:line="360" w:lineRule="auto"/>
              <w:jc w:val="both"/>
              <w:rPr>
                <w:rFonts w:ascii="Times New Roman" w:hAnsi="Times New Roman" w:cs="Times New Roman"/>
                <w:sz w:val="25"/>
                <w:szCs w:val="25"/>
              </w:rPr>
            </w:pPr>
          </w:p>
        </w:tc>
        <w:tc>
          <w:tcPr>
            <w:tcW w:w="4320" w:type="dxa"/>
          </w:tcPr>
          <w:p w14:paraId="181AE930" w14:textId="77777777" w:rsidR="0027168E" w:rsidRPr="00354087" w:rsidRDefault="0027168E" w:rsidP="009C2F11">
            <w:pPr>
              <w:spacing w:line="360" w:lineRule="auto"/>
              <w:jc w:val="both"/>
              <w:rPr>
                <w:rFonts w:ascii="Times New Roman" w:hAnsi="Times New Roman" w:cs="Times New Roman"/>
                <w:sz w:val="25"/>
                <w:szCs w:val="25"/>
              </w:rPr>
            </w:pPr>
          </w:p>
        </w:tc>
        <w:tc>
          <w:tcPr>
            <w:tcW w:w="1863" w:type="dxa"/>
          </w:tcPr>
          <w:p w14:paraId="5B70906E" w14:textId="77777777" w:rsidR="0027168E" w:rsidRPr="00354087" w:rsidRDefault="0027168E" w:rsidP="009C2F11">
            <w:pPr>
              <w:spacing w:line="360" w:lineRule="auto"/>
              <w:jc w:val="both"/>
              <w:rPr>
                <w:rFonts w:ascii="Times New Roman" w:hAnsi="Times New Roman" w:cs="Times New Roman"/>
                <w:sz w:val="25"/>
                <w:szCs w:val="25"/>
              </w:rPr>
            </w:pPr>
          </w:p>
        </w:tc>
      </w:tr>
      <w:tr w:rsidR="0027168E" w:rsidRPr="00354087" w14:paraId="7C7DED9B" w14:textId="77777777" w:rsidTr="009C2F11">
        <w:trPr>
          <w:trHeight w:val="682"/>
        </w:trPr>
        <w:tc>
          <w:tcPr>
            <w:tcW w:w="1818" w:type="dxa"/>
          </w:tcPr>
          <w:p w14:paraId="28869417"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AGRI</w:t>
            </w:r>
          </w:p>
        </w:tc>
        <w:tc>
          <w:tcPr>
            <w:tcW w:w="1710" w:type="dxa"/>
          </w:tcPr>
          <w:p w14:paraId="4DEBFED0"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Agriculture</w:t>
            </w:r>
          </w:p>
        </w:tc>
        <w:tc>
          <w:tcPr>
            <w:tcW w:w="4320" w:type="dxa"/>
          </w:tcPr>
          <w:p w14:paraId="719B3DD6"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We estimate the value of a country's Agriculture at a given time by estimating the value of agricultural production.</w:t>
            </w:r>
          </w:p>
        </w:tc>
        <w:tc>
          <w:tcPr>
            <w:tcW w:w="1863" w:type="dxa"/>
          </w:tcPr>
          <w:p w14:paraId="6BA0377F"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shd w:val="clear" w:color="auto" w:fill="FFFFFF"/>
              </w:rPr>
              <w:t>Awokuse &amp; Xie (2015).</w:t>
            </w:r>
          </w:p>
        </w:tc>
      </w:tr>
      <w:tr w:rsidR="0027168E" w:rsidRPr="00354087" w14:paraId="0AB04D41" w14:textId="77777777" w:rsidTr="009C2F11">
        <w:trPr>
          <w:trHeight w:val="800"/>
        </w:trPr>
        <w:tc>
          <w:tcPr>
            <w:tcW w:w="1818" w:type="dxa"/>
          </w:tcPr>
          <w:p w14:paraId="061157DC"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GCF</w:t>
            </w:r>
          </w:p>
        </w:tc>
        <w:tc>
          <w:tcPr>
            <w:tcW w:w="1710" w:type="dxa"/>
          </w:tcPr>
          <w:p w14:paraId="626452D5"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Gross Capital Formation</w:t>
            </w:r>
          </w:p>
        </w:tc>
        <w:tc>
          <w:tcPr>
            <w:tcW w:w="4320" w:type="dxa"/>
          </w:tcPr>
          <w:p w14:paraId="3DCAB342"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 xml:space="preserve">GCF is a portion of Gross Capital Formation as a percentage of GDP. It is calculated by taking the total fixed </w:t>
            </w:r>
            <w:r w:rsidRPr="00354087">
              <w:rPr>
                <w:rFonts w:ascii="Times New Roman" w:hAnsi="Times New Roman" w:cs="Times New Roman"/>
                <w:sz w:val="25"/>
                <w:szCs w:val="25"/>
              </w:rPr>
              <w:lastRenderedPageBreak/>
              <w:t>investment and replacing fixed and liquid capital over a period.</w:t>
            </w:r>
          </w:p>
        </w:tc>
        <w:tc>
          <w:tcPr>
            <w:tcW w:w="1863" w:type="dxa"/>
          </w:tcPr>
          <w:p w14:paraId="244BCAD0" w14:textId="77777777" w:rsidR="0027168E" w:rsidRPr="00354087" w:rsidRDefault="0027168E" w:rsidP="009C2F11">
            <w:pPr>
              <w:shd w:val="clear" w:color="auto" w:fill="FFFFFF"/>
              <w:spacing w:before="100" w:beforeAutospacing="1" w:after="100" w:afterAutospacing="1" w:line="360" w:lineRule="auto"/>
              <w:jc w:val="both"/>
              <w:rPr>
                <w:rFonts w:ascii="Times New Roman" w:hAnsi="Times New Roman" w:cs="Times New Roman"/>
                <w:sz w:val="25"/>
                <w:szCs w:val="25"/>
              </w:rPr>
            </w:pPr>
            <w:r w:rsidRPr="00354087">
              <w:rPr>
                <w:rFonts w:ascii="Times New Roman" w:hAnsi="Times New Roman" w:cs="Times New Roman"/>
                <w:sz w:val="25"/>
                <w:szCs w:val="25"/>
              </w:rPr>
              <w:lastRenderedPageBreak/>
              <w:t>Pasara &amp; Garidzirai (2020)</w:t>
            </w:r>
          </w:p>
        </w:tc>
      </w:tr>
      <w:tr w:rsidR="0027168E" w:rsidRPr="00354087" w14:paraId="0A341D2A" w14:textId="77777777" w:rsidTr="009C2F11">
        <w:trPr>
          <w:trHeight w:val="776"/>
        </w:trPr>
        <w:tc>
          <w:tcPr>
            <w:tcW w:w="1818" w:type="dxa"/>
          </w:tcPr>
          <w:p w14:paraId="2890793A"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GOV</w:t>
            </w:r>
          </w:p>
        </w:tc>
        <w:tc>
          <w:tcPr>
            <w:tcW w:w="1710" w:type="dxa"/>
          </w:tcPr>
          <w:p w14:paraId="49876BE7"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Government spending</w:t>
            </w:r>
          </w:p>
        </w:tc>
        <w:tc>
          <w:tcPr>
            <w:tcW w:w="4320" w:type="dxa"/>
          </w:tcPr>
          <w:p w14:paraId="6B4361D8"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It is the total final consumption expenditure of the government and is calculated by establishing the ratio of government expenditure to the country's GDP.</w:t>
            </w:r>
          </w:p>
        </w:tc>
        <w:tc>
          <w:tcPr>
            <w:tcW w:w="1863" w:type="dxa"/>
          </w:tcPr>
          <w:p w14:paraId="130D8F03"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Nyasha &amp; Odhiambo (2019)</w:t>
            </w:r>
          </w:p>
        </w:tc>
      </w:tr>
      <w:tr w:rsidR="0027168E" w:rsidRPr="00354087" w14:paraId="5718A7C0" w14:textId="77777777" w:rsidTr="009C2F11">
        <w:trPr>
          <w:trHeight w:val="752"/>
        </w:trPr>
        <w:tc>
          <w:tcPr>
            <w:tcW w:w="1818" w:type="dxa"/>
          </w:tcPr>
          <w:p w14:paraId="0C4F9B25"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IMP</w:t>
            </w:r>
          </w:p>
        </w:tc>
        <w:tc>
          <w:tcPr>
            <w:tcW w:w="1710" w:type="dxa"/>
          </w:tcPr>
          <w:p w14:paraId="64FF8779"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Import</w:t>
            </w:r>
          </w:p>
        </w:tc>
        <w:tc>
          <w:tcPr>
            <w:tcW w:w="4320" w:type="dxa"/>
          </w:tcPr>
          <w:p w14:paraId="39FD0D2A"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We base our estimate on the total value of goods and services imported.</w:t>
            </w:r>
          </w:p>
        </w:tc>
        <w:tc>
          <w:tcPr>
            <w:tcW w:w="1863" w:type="dxa"/>
          </w:tcPr>
          <w:p w14:paraId="3BEEE6CA"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Mwakanemela (2013)</w:t>
            </w:r>
          </w:p>
        </w:tc>
      </w:tr>
      <w:tr w:rsidR="0027168E" w:rsidRPr="00354087" w14:paraId="2EFF1A9B" w14:textId="77777777" w:rsidTr="009C2F11">
        <w:trPr>
          <w:trHeight w:val="752"/>
        </w:trPr>
        <w:tc>
          <w:tcPr>
            <w:tcW w:w="1818" w:type="dxa"/>
          </w:tcPr>
          <w:p w14:paraId="67E85ED1"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INF</w:t>
            </w:r>
          </w:p>
        </w:tc>
        <w:tc>
          <w:tcPr>
            <w:tcW w:w="1710" w:type="dxa"/>
          </w:tcPr>
          <w:p w14:paraId="588A719C"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Inflation</w:t>
            </w:r>
          </w:p>
        </w:tc>
        <w:tc>
          <w:tcPr>
            <w:tcW w:w="4320" w:type="dxa"/>
          </w:tcPr>
          <w:p w14:paraId="523546E9"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Inflation is estimated from the consumer price index.</w:t>
            </w:r>
          </w:p>
        </w:tc>
        <w:tc>
          <w:tcPr>
            <w:tcW w:w="1863" w:type="dxa"/>
          </w:tcPr>
          <w:p w14:paraId="60EE3F4B" w14:textId="77777777" w:rsidR="0027168E" w:rsidRPr="00354087" w:rsidRDefault="0027168E" w:rsidP="009C2F11">
            <w:pPr>
              <w:spacing w:line="360" w:lineRule="auto"/>
              <w:jc w:val="both"/>
              <w:rPr>
                <w:rFonts w:ascii="Times New Roman" w:hAnsi="Times New Roman" w:cs="Times New Roman"/>
                <w:sz w:val="25"/>
                <w:szCs w:val="25"/>
              </w:rPr>
            </w:pPr>
            <w:r w:rsidRPr="00354087">
              <w:rPr>
                <w:rFonts w:ascii="Times New Roman" w:hAnsi="Times New Roman" w:cs="Times New Roman"/>
                <w:sz w:val="25"/>
                <w:szCs w:val="25"/>
              </w:rPr>
              <w:t>Millia et al. (2021); Duong et al. (2022)</w:t>
            </w:r>
          </w:p>
        </w:tc>
      </w:tr>
      <w:bookmarkEnd w:id="0"/>
    </w:tbl>
    <w:p w14:paraId="05B6199E" w14:textId="54D54E66" w:rsidR="00354087" w:rsidRPr="00354087" w:rsidRDefault="00354087">
      <w:pPr>
        <w:rPr>
          <w:rFonts w:ascii="Times New Roman" w:hAnsi="Times New Roman" w:cs="Times New Roman"/>
        </w:rPr>
      </w:pPr>
    </w:p>
    <w:p w14:paraId="162D7EAB" w14:textId="77777777" w:rsidR="00354087" w:rsidRPr="00354087" w:rsidRDefault="00354087">
      <w:pPr>
        <w:rPr>
          <w:rFonts w:ascii="Times New Roman" w:hAnsi="Times New Roman" w:cs="Times New Roman"/>
        </w:rPr>
      </w:pPr>
      <w:r w:rsidRPr="00354087">
        <w:rPr>
          <w:rFonts w:ascii="Times New Roman" w:hAnsi="Times New Roman" w:cs="Times New Roman"/>
        </w:rPr>
        <w:br w:type="page"/>
      </w:r>
    </w:p>
    <w:p w14:paraId="6A6110E7" w14:textId="1DE61502" w:rsidR="00354087" w:rsidRPr="00354087" w:rsidRDefault="008A3B06" w:rsidP="00354087">
      <w:pPr>
        <w:spacing w:line="360" w:lineRule="auto"/>
        <w:jc w:val="both"/>
        <w:textAlignment w:val="baseline"/>
        <w:rPr>
          <w:rFonts w:ascii="Times New Roman" w:eastAsia="Times New Roman" w:hAnsi="Times New Roman" w:cs="Times New Roman"/>
          <w:color w:val="000000" w:themeColor="text1"/>
          <w:sz w:val="26"/>
          <w:szCs w:val="26"/>
        </w:rPr>
      </w:pPr>
      <w:r>
        <w:rPr>
          <w:rFonts w:ascii="Times New Roman" w:eastAsia="Times New Roman" w:hAnsi="Times New Roman" w:cs="Times New Roman"/>
          <w:b/>
          <w:sz w:val="26"/>
          <w:szCs w:val="26"/>
        </w:rPr>
        <w:lastRenderedPageBreak/>
        <w:t xml:space="preserve">Appendix </w:t>
      </w:r>
      <w:r w:rsidR="00354087" w:rsidRPr="00354087">
        <w:rPr>
          <w:rFonts w:ascii="Times New Roman" w:eastAsia="Times New Roman" w:hAnsi="Times New Roman" w:cs="Times New Roman"/>
          <w:b/>
          <w:sz w:val="26"/>
          <w:szCs w:val="26"/>
        </w:rPr>
        <w:t>B: Country list</w:t>
      </w:r>
    </w:p>
    <w:tbl>
      <w:tblPr>
        <w:tblStyle w:val="TableGrid"/>
        <w:tblW w:w="9720" w:type="dxa"/>
        <w:tblLook w:val="04A0" w:firstRow="1" w:lastRow="0" w:firstColumn="1" w:lastColumn="0" w:noHBand="0" w:noVBand="1"/>
      </w:tblPr>
      <w:tblGrid>
        <w:gridCol w:w="3240"/>
        <w:gridCol w:w="3240"/>
        <w:gridCol w:w="3240"/>
      </w:tblGrid>
      <w:tr w:rsidR="00354087" w:rsidRPr="00354087" w14:paraId="61A52CCE" w14:textId="77777777" w:rsidTr="009C2F11">
        <w:tc>
          <w:tcPr>
            <w:tcW w:w="3240" w:type="dxa"/>
            <w:tcBorders>
              <w:left w:val="single" w:sz="8" w:space="0" w:color="FFFFFF" w:themeColor="background1"/>
              <w:bottom w:val="single" w:sz="8" w:space="0" w:color="FFFFFF" w:themeColor="background1"/>
              <w:right w:val="single" w:sz="8" w:space="0" w:color="FFFFFF" w:themeColor="background1"/>
            </w:tcBorders>
            <w:vAlign w:val="center"/>
          </w:tcPr>
          <w:p w14:paraId="28D26342"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Albania</w:t>
            </w:r>
          </w:p>
        </w:tc>
        <w:tc>
          <w:tcPr>
            <w:tcW w:w="3240" w:type="dxa"/>
            <w:tcBorders>
              <w:left w:val="single" w:sz="8" w:space="0" w:color="FFFFFF" w:themeColor="background1"/>
              <w:bottom w:val="single" w:sz="8" w:space="0" w:color="FFFFFF" w:themeColor="background1"/>
              <w:right w:val="single" w:sz="8" w:space="0" w:color="FFFFFF" w:themeColor="background1"/>
            </w:tcBorders>
            <w:vAlign w:val="center"/>
          </w:tcPr>
          <w:p w14:paraId="2A369FB0"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31. Georgia</w:t>
            </w:r>
          </w:p>
        </w:tc>
        <w:tc>
          <w:tcPr>
            <w:tcW w:w="3240" w:type="dxa"/>
            <w:tcBorders>
              <w:left w:val="single" w:sz="8" w:space="0" w:color="FFFFFF" w:themeColor="background1"/>
              <w:bottom w:val="single" w:sz="8" w:space="0" w:color="FFFFFF" w:themeColor="background1"/>
              <w:right w:val="single" w:sz="8" w:space="0" w:color="FFFFFF" w:themeColor="background1"/>
            </w:tcBorders>
            <w:vAlign w:val="center"/>
          </w:tcPr>
          <w:p w14:paraId="0C98EC12"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61. Nepal</w:t>
            </w:r>
          </w:p>
        </w:tc>
      </w:tr>
      <w:tr w:rsidR="00354087" w:rsidRPr="00354087" w14:paraId="25CDD51A"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8B4B281"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Algeria</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6730C645"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32. Ghana</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553322E0"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62. Nicaragua</w:t>
            </w:r>
          </w:p>
        </w:tc>
      </w:tr>
      <w:tr w:rsidR="00354087" w:rsidRPr="00354087" w14:paraId="2F3DCBD4"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475053C"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Angola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7856B0E0"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33. Guatemala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0CC78A9"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63. Nigeria</w:t>
            </w:r>
          </w:p>
        </w:tc>
      </w:tr>
      <w:tr w:rsidR="00354087" w:rsidRPr="00354087" w14:paraId="38EA6106"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70C15516"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Armenia</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43EA1B5D"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34. Guyana</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072887B2"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64. North Macedonia</w:t>
            </w:r>
          </w:p>
        </w:tc>
      </w:tr>
      <w:tr w:rsidR="00354087" w:rsidRPr="00354087" w14:paraId="407FB046"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2990736"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Azerbaijan</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3B668E7"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35. Haiti</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57E327EE"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65. Pakistan</w:t>
            </w:r>
          </w:p>
        </w:tc>
      </w:tr>
      <w:tr w:rsidR="00354087" w:rsidRPr="00354087" w14:paraId="466B1719"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7D9A4CF6"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Bangladesh</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238769E9"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36. Honduras</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CF6E2E4"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66. Panama</w:t>
            </w:r>
          </w:p>
        </w:tc>
      </w:tr>
      <w:tr w:rsidR="00354087" w:rsidRPr="00354087" w14:paraId="4C8A2D1C"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56204DC"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Belarus</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6C61192D"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37.</w:t>
            </w:r>
            <w:r w:rsidRPr="00354087">
              <w:rPr>
                <w:rFonts w:ascii="Times New Roman" w:hAnsi="Times New Roman" w:cs="Times New Roman"/>
                <w:sz w:val="25"/>
                <w:szCs w:val="25"/>
              </w:rPr>
              <w:t xml:space="preserve"> </w:t>
            </w:r>
            <w:r w:rsidRPr="00354087">
              <w:rPr>
                <w:rFonts w:ascii="Times New Roman" w:hAnsi="Times New Roman" w:cs="Times New Roman"/>
                <w:sz w:val="25"/>
                <w:szCs w:val="25"/>
                <w:lang w:val="en"/>
              </w:rPr>
              <w:t>India</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640FC875"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67. Papua New Guinea</w:t>
            </w:r>
          </w:p>
        </w:tc>
      </w:tr>
      <w:tr w:rsidR="00354087" w:rsidRPr="00354087" w14:paraId="61B963A0"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6BF167A2"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Benin</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2721913D"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38. Indonesia</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4DCD8D7A"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68. Paraguay</w:t>
            </w:r>
          </w:p>
        </w:tc>
      </w:tr>
      <w:tr w:rsidR="00354087" w:rsidRPr="00354087" w14:paraId="3AF44ADE"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202FD6F4"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Bhutan</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665622B5"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39. Iran, Islamic Rep.</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117E7251"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69. Peru</w:t>
            </w:r>
          </w:p>
        </w:tc>
      </w:tr>
      <w:tr w:rsidR="00354087" w:rsidRPr="00354087" w14:paraId="31CA205E" w14:textId="77777777" w:rsidTr="009C2F11">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48E8FE64"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Bolivia</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2D7410B4"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40. Iraq</w:t>
            </w:r>
          </w:p>
        </w:tc>
        <w:tc>
          <w:tcPr>
            <w:tcW w:w="32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58B1A314"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70. Philippines</w:t>
            </w:r>
          </w:p>
        </w:tc>
      </w:tr>
      <w:tr w:rsidR="00354087" w:rsidRPr="00354087" w14:paraId="49FCE0D0"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248716B"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Bosnia and Herzegovina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2033E359"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41. Jamaica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1A5A022"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71. Romania</w:t>
            </w:r>
          </w:p>
        </w:tc>
      </w:tr>
      <w:tr w:rsidR="00354087" w:rsidRPr="00354087" w14:paraId="28ECC0F5"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54968B4"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Botswana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C4277DC"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42. Jordan</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CFD3526"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72. Russian Federation</w:t>
            </w:r>
          </w:p>
        </w:tc>
      </w:tr>
      <w:tr w:rsidR="00354087" w:rsidRPr="00354087" w14:paraId="251A86D8"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DB33BCA"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Brazil</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009847C"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43. Kazakhstan</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82C4332"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73. Senegal</w:t>
            </w:r>
          </w:p>
        </w:tc>
      </w:tr>
      <w:tr w:rsidR="00354087" w:rsidRPr="00354087" w14:paraId="1CE62637"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5B3DE03"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Bulgaria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058DCAC"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44. Kenya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C16AC8B"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74. Serbia</w:t>
            </w:r>
          </w:p>
        </w:tc>
      </w:tr>
      <w:tr w:rsidR="00354087" w:rsidRPr="00354087" w14:paraId="6C77339D"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454DE07"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Cabo Verde</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6D6886A"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45. Kyrgyz Republic</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F3C0420"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75. South Africa</w:t>
            </w:r>
          </w:p>
        </w:tc>
      </w:tr>
      <w:tr w:rsidR="00354087" w:rsidRPr="00354087" w14:paraId="22BAFF86"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403EEC5"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Cambodia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5EBC23A"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46. Lao PDR</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086E990"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76. Sri Lanka</w:t>
            </w:r>
          </w:p>
        </w:tc>
      </w:tr>
      <w:tr w:rsidR="00354087" w:rsidRPr="00354087" w14:paraId="178A17BC"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7AE972B8"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Cameroon</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8E30224"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47. Lebanon</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7D5FE4F"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77. Suriname</w:t>
            </w:r>
          </w:p>
        </w:tc>
      </w:tr>
      <w:tr w:rsidR="00354087" w:rsidRPr="00354087" w14:paraId="58BCCBD3"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27BD4484"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lang w:val="en"/>
              </w:rPr>
              <w:t>China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22FA3ECB"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48. Lesotho</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7547A61E"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78. Tajikistan</w:t>
            </w:r>
          </w:p>
        </w:tc>
      </w:tr>
      <w:tr w:rsidR="00354087" w:rsidRPr="00354087" w14:paraId="3F278A0F"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5DE45277"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Colombia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B3C7FE4"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49. Libya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7B030D70"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79. Tanzania</w:t>
            </w:r>
          </w:p>
        </w:tc>
      </w:tr>
      <w:tr w:rsidR="00354087" w:rsidRPr="00354087" w14:paraId="75D988CC"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AE82B67"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Congo, Rep.</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7D5F2F8"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50. Malaysia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5D70B4F"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80. Thailand</w:t>
            </w:r>
          </w:p>
        </w:tc>
      </w:tr>
      <w:tr w:rsidR="00354087" w:rsidRPr="00354087" w14:paraId="1E609C7C"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561F5AB"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Costa Rica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A1A68D5"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51. Maldives</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2346056"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81. Timor-Leste</w:t>
            </w:r>
          </w:p>
        </w:tc>
      </w:tr>
      <w:tr w:rsidR="00354087" w:rsidRPr="00354087" w14:paraId="3C8424C3"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7B600155"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Cote d'Ivoire</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2D20143D"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52. Mauritania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2B53377"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82. Tonga</w:t>
            </w:r>
          </w:p>
        </w:tc>
      </w:tr>
      <w:tr w:rsidR="00354087" w:rsidRPr="00354087" w14:paraId="3A235B28"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4832016"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Dominican Republic</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2572BE44"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53. Mauritius</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DF9FB1D"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83. Tunisia</w:t>
            </w:r>
          </w:p>
        </w:tc>
      </w:tr>
      <w:tr w:rsidR="00354087" w:rsidRPr="00354087" w14:paraId="09445A31"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796CDC47"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Ecuador</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04B8C52"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54. Mexico</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D5321CB"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84. Turkey</w:t>
            </w:r>
          </w:p>
        </w:tc>
      </w:tr>
      <w:tr w:rsidR="00354087" w:rsidRPr="00354087" w14:paraId="7D820664"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E44BD6E"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Egypt, Arab Rep.</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E23DE35"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55. Moldova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51106867"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85. Ukraine</w:t>
            </w:r>
          </w:p>
        </w:tc>
      </w:tr>
      <w:tr w:rsidR="00354087" w:rsidRPr="00354087" w14:paraId="12E26F5B"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03C1568"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El Salvador</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C0DD9A0"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56. Mongolia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5A62945C"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86. Vanuatu</w:t>
            </w:r>
          </w:p>
        </w:tc>
      </w:tr>
      <w:tr w:rsidR="00354087" w:rsidRPr="00354087" w14:paraId="40716D40"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13D6B90C"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lastRenderedPageBreak/>
              <w:t>Equatorial Guinea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2F85C3AC"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57. Montenegro</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39B06DCF"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87. Vietnam</w:t>
            </w:r>
          </w:p>
        </w:tc>
      </w:tr>
      <w:tr w:rsidR="00354087" w:rsidRPr="00354087" w14:paraId="200A2FBB"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5A78FBED"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Eswatini</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6E659E78"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58. Morocco</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B7D4699"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88. West Bank and Gaza</w:t>
            </w:r>
          </w:p>
        </w:tc>
      </w:tr>
      <w:tr w:rsidR="00354087" w:rsidRPr="00354087" w14:paraId="6FE86FD3"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1D5CBBC"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Fiji</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1F5CAFB"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59. Myanmar</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0D78D74D" w14:textId="77777777" w:rsidR="00354087" w:rsidRPr="00354087" w:rsidRDefault="00354087" w:rsidP="009C2F11">
            <w:pPr>
              <w:spacing w:line="360" w:lineRule="auto"/>
              <w:rPr>
                <w:rFonts w:ascii="Times New Roman" w:hAnsi="Times New Roman" w:cs="Times New Roman"/>
                <w:sz w:val="25"/>
                <w:szCs w:val="25"/>
              </w:rPr>
            </w:pPr>
            <w:r w:rsidRPr="00354087">
              <w:rPr>
                <w:rFonts w:ascii="Times New Roman" w:hAnsi="Times New Roman" w:cs="Times New Roman"/>
                <w:sz w:val="25"/>
                <w:szCs w:val="25"/>
              </w:rPr>
              <w:t>89. Zambia</w:t>
            </w:r>
          </w:p>
        </w:tc>
      </w:tr>
      <w:tr w:rsidR="00354087" w:rsidRPr="00354087" w14:paraId="790E187D" w14:textId="77777777" w:rsidTr="009C2F11">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4316DD1A" w14:textId="77777777" w:rsidR="00354087" w:rsidRPr="00354087" w:rsidRDefault="00354087" w:rsidP="00354087">
            <w:pPr>
              <w:pStyle w:val="ListParagraph"/>
              <w:numPr>
                <w:ilvl w:val="0"/>
                <w:numId w:val="1"/>
              </w:num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Gabon</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5F2CF434"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60. Namibia</w:t>
            </w:r>
          </w:p>
        </w:tc>
        <w:tc>
          <w:tcPr>
            <w:tcW w:w="3240" w:type="dxa"/>
            <w:tcBorders>
              <w:top w:val="single" w:sz="8" w:space="0" w:color="FFFFFF" w:themeColor="background1"/>
              <w:left w:val="single" w:sz="8" w:space="0" w:color="FFFFFF" w:themeColor="background1"/>
              <w:right w:val="single" w:sz="8" w:space="0" w:color="FFFFFF" w:themeColor="background1"/>
            </w:tcBorders>
            <w:vAlign w:val="center"/>
          </w:tcPr>
          <w:p w14:paraId="5AA14CD9" w14:textId="77777777" w:rsidR="00354087" w:rsidRPr="00354087" w:rsidRDefault="00354087" w:rsidP="009C2F11">
            <w:pPr>
              <w:spacing w:line="360" w:lineRule="auto"/>
              <w:rPr>
                <w:rFonts w:ascii="Times New Roman" w:hAnsi="Times New Roman" w:cs="Times New Roman"/>
                <w:sz w:val="25"/>
                <w:szCs w:val="25"/>
                <w:lang w:val="en"/>
              </w:rPr>
            </w:pPr>
            <w:r w:rsidRPr="00354087">
              <w:rPr>
                <w:rFonts w:ascii="Times New Roman" w:hAnsi="Times New Roman" w:cs="Times New Roman"/>
                <w:sz w:val="25"/>
                <w:szCs w:val="25"/>
              </w:rPr>
              <w:t>90. Zimbabwe</w:t>
            </w:r>
          </w:p>
        </w:tc>
      </w:tr>
    </w:tbl>
    <w:p w14:paraId="2CCE76B0" w14:textId="77777777" w:rsidR="00354087" w:rsidRPr="00354087" w:rsidRDefault="00354087" w:rsidP="00354087">
      <w:pPr>
        <w:spacing w:line="360" w:lineRule="auto"/>
        <w:jc w:val="both"/>
        <w:rPr>
          <w:rFonts w:ascii="Times New Roman" w:eastAsia="Times New Roman" w:hAnsi="Times New Roman" w:cs="Times New Roman"/>
          <w:b/>
          <w:sz w:val="26"/>
          <w:szCs w:val="26"/>
          <w:shd w:val="clear" w:color="auto" w:fill="FFFFFF"/>
        </w:rPr>
      </w:pPr>
    </w:p>
    <w:p w14:paraId="349F0D7D" w14:textId="77777777" w:rsidR="00FA1B94" w:rsidRPr="00354087" w:rsidRDefault="00FA1B94">
      <w:pPr>
        <w:rPr>
          <w:rFonts w:ascii="Times New Roman" w:hAnsi="Times New Roman" w:cs="Times New Roman"/>
        </w:rPr>
      </w:pPr>
    </w:p>
    <w:sectPr w:rsidR="00FA1B94" w:rsidRPr="00354087" w:rsidSect="0027168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8ABC1" w14:textId="77777777" w:rsidR="0027168E" w:rsidRDefault="0027168E" w:rsidP="0027168E">
      <w:pPr>
        <w:spacing w:after="0" w:line="240" w:lineRule="auto"/>
      </w:pPr>
      <w:r>
        <w:separator/>
      </w:r>
    </w:p>
  </w:endnote>
  <w:endnote w:type="continuationSeparator" w:id="0">
    <w:p w14:paraId="4F2B0ACC" w14:textId="77777777" w:rsidR="0027168E" w:rsidRDefault="0027168E" w:rsidP="00271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eastAsiaTheme="minorEastAsia"/>
      </w:rPr>
      <w:id w:val="1980027374"/>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755AB9F9" w14:textId="77777777" w:rsidR="0027168E" w:rsidRDefault="0027168E">
        <w:pPr>
          <w:pStyle w:val="Footer"/>
          <w:jc w:val="center"/>
          <w:rPr>
            <w:rFonts w:asciiTheme="majorHAnsi" w:eastAsiaTheme="majorEastAsia" w:hAnsiTheme="majorHAnsi" w:cstheme="majorBidi"/>
            <w:color w:val="156082" w:themeColor="accent1"/>
            <w:sz w:val="40"/>
            <w:szCs w:val="40"/>
          </w:rPr>
        </w:pPr>
        <w:r w:rsidRPr="00EB268B">
          <w:rPr>
            <w:rFonts w:eastAsiaTheme="minorEastAsia"/>
            <w:sz w:val="26"/>
            <w:szCs w:val="26"/>
          </w:rPr>
          <w:fldChar w:fldCharType="begin"/>
        </w:r>
        <w:r w:rsidRPr="00EB268B">
          <w:rPr>
            <w:sz w:val="26"/>
            <w:szCs w:val="26"/>
          </w:rPr>
          <w:instrText xml:space="preserve"> PAGE   \* MERGEFORMAT </w:instrText>
        </w:r>
        <w:r w:rsidRPr="00EB268B">
          <w:rPr>
            <w:rFonts w:eastAsiaTheme="minorEastAsia"/>
            <w:sz w:val="26"/>
            <w:szCs w:val="26"/>
          </w:rPr>
          <w:fldChar w:fldCharType="separate"/>
        </w:r>
        <w:r>
          <w:rPr>
            <w:noProof/>
            <w:sz w:val="26"/>
            <w:szCs w:val="26"/>
          </w:rPr>
          <w:t>28</w:t>
        </w:r>
        <w:r w:rsidRPr="00EB268B">
          <w:rPr>
            <w:rFonts w:asciiTheme="majorHAnsi" w:eastAsiaTheme="majorEastAsia" w:hAnsiTheme="majorHAnsi" w:cstheme="majorBidi"/>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25D88" w14:textId="77777777" w:rsidR="0027168E" w:rsidRDefault="0027168E" w:rsidP="0027168E">
      <w:pPr>
        <w:spacing w:after="0" w:line="240" w:lineRule="auto"/>
      </w:pPr>
      <w:r>
        <w:separator/>
      </w:r>
    </w:p>
  </w:footnote>
  <w:footnote w:type="continuationSeparator" w:id="0">
    <w:p w14:paraId="7EA0C590" w14:textId="77777777" w:rsidR="0027168E" w:rsidRDefault="0027168E" w:rsidP="0027168E">
      <w:pPr>
        <w:spacing w:after="0" w:line="240" w:lineRule="auto"/>
      </w:pPr>
      <w:r>
        <w:continuationSeparator/>
      </w:r>
    </w:p>
  </w:footnote>
  <w:footnote w:id="1">
    <w:p w14:paraId="195BE486" w14:textId="77777777" w:rsidR="0027168E" w:rsidRPr="00863EDD" w:rsidRDefault="0027168E" w:rsidP="0027168E">
      <w:pPr>
        <w:pBdr>
          <w:top w:val="nil"/>
          <w:left w:val="nil"/>
          <w:bottom w:val="nil"/>
          <w:right w:val="nil"/>
          <w:between w:val="nil"/>
        </w:pBdr>
        <w:spacing w:line="200" w:lineRule="auto"/>
        <w:jc w:val="both"/>
        <w:rPr>
          <w:rFonts w:ascii="Times New Roman" w:hAnsi="Times New Roman" w:cs="Times New Roman"/>
          <w:color w:val="0000FF"/>
          <w:sz w:val="20"/>
          <w:szCs w:val="20"/>
          <w:u w:val="single"/>
        </w:rPr>
      </w:pPr>
      <w:r w:rsidRPr="00863EDD">
        <w:rPr>
          <w:rStyle w:val="FootnoteReference"/>
          <w:rFonts w:ascii="Times New Roman" w:hAnsi="Times New Roman" w:cs="Times New Roman"/>
          <w:sz w:val="20"/>
          <w:szCs w:val="20"/>
        </w:rPr>
        <w:footnoteRef/>
      </w:r>
      <w:r w:rsidRPr="00863EDD">
        <w:rPr>
          <w:rFonts w:ascii="Times New Roman" w:hAnsi="Times New Roman" w:cs="Times New Roman"/>
          <w:color w:val="000000"/>
          <w:sz w:val="20"/>
          <w:szCs w:val="20"/>
        </w:rPr>
        <w:t xml:space="preserve"> Corresponding author at Faculty of Finance and Banking, Ton Duc Thang University, No. 19 Nguyen Huu Tho Street, Tan Phong Ward, District 7, Ho Chi Minh City, Vietnam. Corresponding email address: </w:t>
      </w:r>
      <w:hyperlink r:id="rId1" w:history="1">
        <w:r w:rsidRPr="00863EDD">
          <w:rPr>
            <w:rFonts w:ascii="Times New Roman" w:hAnsi="Times New Roman" w:cs="Times New Roman"/>
            <w:color w:val="0563C1"/>
            <w:sz w:val="20"/>
            <w:szCs w:val="20"/>
            <w:u w:val="single"/>
          </w:rPr>
          <w:t>duongdangkhoa@tdtu.edu.vn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9E6534"/>
    <w:multiLevelType w:val="hybridMultilevel"/>
    <w:tmpl w:val="102E3BEA"/>
    <w:lvl w:ilvl="0" w:tplc="4F000C7A">
      <w:start w:val="1"/>
      <w:numFmt w:val="decimal"/>
      <w:lvlText w:val="%1."/>
      <w:lvlJc w:val="left"/>
      <w:pPr>
        <w:ind w:left="720" w:hanging="360"/>
      </w:pPr>
      <w:rPr>
        <w:rFonts w:hint="default"/>
      </w:rPr>
    </w:lvl>
    <w:lvl w:ilvl="1" w:tplc="EA80AF0A" w:tentative="1">
      <w:start w:val="1"/>
      <w:numFmt w:val="lowerLetter"/>
      <w:lvlText w:val="%2."/>
      <w:lvlJc w:val="left"/>
      <w:pPr>
        <w:ind w:left="1440" w:hanging="360"/>
      </w:pPr>
    </w:lvl>
    <w:lvl w:ilvl="2" w:tplc="BC907C5C" w:tentative="1">
      <w:start w:val="1"/>
      <w:numFmt w:val="lowerRoman"/>
      <w:lvlText w:val="%3."/>
      <w:lvlJc w:val="right"/>
      <w:pPr>
        <w:ind w:left="2160" w:hanging="180"/>
      </w:pPr>
    </w:lvl>
    <w:lvl w:ilvl="3" w:tplc="5564782C" w:tentative="1">
      <w:start w:val="1"/>
      <w:numFmt w:val="decimal"/>
      <w:lvlText w:val="%4."/>
      <w:lvlJc w:val="left"/>
      <w:pPr>
        <w:ind w:left="2880" w:hanging="360"/>
      </w:pPr>
    </w:lvl>
    <w:lvl w:ilvl="4" w:tplc="B776E232" w:tentative="1">
      <w:start w:val="1"/>
      <w:numFmt w:val="lowerLetter"/>
      <w:lvlText w:val="%5."/>
      <w:lvlJc w:val="left"/>
      <w:pPr>
        <w:ind w:left="3600" w:hanging="360"/>
      </w:pPr>
    </w:lvl>
    <w:lvl w:ilvl="5" w:tplc="3EBC28FC" w:tentative="1">
      <w:start w:val="1"/>
      <w:numFmt w:val="lowerRoman"/>
      <w:lvlText w:val="%6."/>
      <w:lvlJc w:val="right"/>
      <w:pPr>
        <w:ind w:left="4320" w:hanging="180"/>
      </w:pPr>
    </w:lvl>
    <w:lvl w:ilvl="6" w:tplc="936AEBC2" w:tentative="1">
      <w:start w:val="1"/>
      <w:numFmt w:val="decimal"/>
      <w:lvlText w:val="%7."/>
      <w:lvlJc w:val="left"/>
      <w:pPr>
        <w:ind w:left="5040" w:hanging="360"/>
      </w:pPr>
    </w:lvl>
    <w:lvl w:ilvl="7" w:tplc="38B045E8" w:tentative="1">
      <w:start w:val="1"/>
      <w:numFmt w:val="lowerLetter"/>
      <w:lvlText w:val="%8."/>
      <w:lvlJc w:val="left"/>
      <w:pPr>
        <w:ind w:left="5760" w:hanging="360"/>
      </w:pPr>
    </w:lvl>
    <w:lvl w:ilvl="8" w:tplc="281865FA" w:tentative="1">
      <w:start w:val="1"/>
      <w:numFmt w:val="lowerRoman"/>
      <w:lvlText w:val="%9."/>
      <w:lvlJc w:val="right"/>
      <w:pPr>
        <w:ind w:left="6480" w:hanging="180"/>
      </w:pPr>
    </w:lvl>
  </w:abstractNum>
  <w:num w:numId="1" w16cid:durableId="154606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68E"/>
    <w:rsid w:val="0027168E"/>
    <w:rsid w:val="00354087"/>
    <w:rsid w:val="0074655F"/>
    <w:rsid w:val="008A3B06"/>
    <w:rsid w:val="008A6277"/>
    <w:rsid w:val="00930D3B"/>
    <w:rsid w:val="00FA1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2AAD"/>
  <w15:chartTrackingRefBased/>
  <w15:docId w15:val="{AA55D9AE-EF35-49CA-B965-F4E493E3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68E"/>
    <w:rPr>
      <w:kern w:val="0"/>
      <w14:ligatures w14:val="none"/>
    </w:rPr>
  </w:style>
  <w:style w:type="paragraph" w:styleId="Heading1">
    <w:name w:val="heading 1"/>
    <w:basedOn w:val="Normal"/>
    <w:next w:val="Normal"/>
    <w:link w:val="Heading1Char"/>
    <w:uiPriority w:val="9"/>
    <w:qFormat/>
    <w:rsid w:val="002716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6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6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6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6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6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6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6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6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6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6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6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6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6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6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6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6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68E"/>
    <w:rPr>
      <w:rFonts w:eastAsiaTheme="majorEastAsia" w:cstheme="majorBidi"/>
      <w:color w:val="272727" w:themeColor="text1" w:themeTint="D8"/>
    </w:rPr>
  </w:style>
  <w:style w:type="paragraph" w:styleId="Title">
    <w:name w:val="Title"/>
    <w:basedOn w:val="Normal"/>
    <w:next w:val="Normal"/>
    <w:link w:val="TitleChar"/>
    <w:uiPriority w:val="10"/>
    <w:qFormat/>
    <w:rsid w:val="00271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6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6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6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68E"/>
    <w:pPr>
      <w:spacing w:before="160"/>
      <w:jc w:val="center"/>
    </w:pPr>
    <w:rPr>
      <w:i/>
      <w:iCs/>
      <w:color w:val="404040" w:themeColor="text1" w:themeTint="BF"/>
    </w:rPr>
  </w:style>
  <w:style w:type="character" w:customStyle="1" w:styleId="QuoteChar">
    <w:name w:val="Quote Char"/>
    <w:basedOn w:val="DefaultParagraphFont"/>
    <w:link w:val="Quote"/>
    <w:uiPriority w:val="29"/>
    <w:rsid w:val="0027168E"/>
    <w:rPr>
      <w:i/>
      <w:iCs/>
      <w:color w:val="404040" w:themeColor="text1" w:themeTint="BF"/>
    </w:rPr>
  </w:style>
  <w:style w:type="paragraph" w:styleId="ListParagraph">
    <w:name w:val="List Paragraph"/>
    <w:basedOn w:val="Normal"/>
    <w:uiPriority w:val="34"/>
    <w:qFormat/>
    <w:rsid w:val="0027168E"/>
    <w:pPr>
      <w:ind w:left="720"/>
      <w:contextualSpacing/>
    </w:pPr>
  </w:style>
  <w:style w:type="character" w:styleId="IntenseEmphasis">
    <w:name w:val="Intense Emphasis"/>
    <w:basedOn w:val="DefaultParagraphFont"/>
    <w:uiPriority w:val="21"/>
    <w:qFormat/>
    <w:rsid w:val="0027168E"/>
    <w:rPr>
      <w:i/>
      <w:iCs/>
      <w:color w:val="0F4761" w:themeColor="accent1" w:themeShade="BF"/>
    </w:rPr>
  </w:style>
  <w:style w:type="paragraph" w:styleId="IntenseQuote">
    <w:name w:val="Intense Quote"/>
    <w:basedOn w:val="Normal"/>
    <w:next w:val="Normal"/>
    <w:link w:val="IntenseQuoteChar"/>
    <w:uiPriority w:val="30"/>
    <w:qFormat/>
    <w:rsid w:val="002716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68E"/>
    <w:rPr>
      <w:i/>
      <w:iCs/>
      <w:color w:val="0F4761" w:themeColor="accent1" w:themeShade="BF"/>
    </w:rPr>
  </w:style>
  <w:style w:type="character" w:styleId="IntenseReference">
    <w:name w:val="Intense Reference"/>
    <w:basedOn w:val="DefaultParagraphFont"/>
    <w:uiPriority w:val="32"/>
    <w:qFormat/>
    <w:rsid w:val="0027168E"/>
    <w:rPr>
      <w:b/>
      <w:bCs/>
      <w:smallCaps/>
      <w:color w:val="0F4761" w:themeColor="accent1" w:themeShade="BF"/>
      <w:spacing w:val="5"/>
    </w:rPr>
  </w:style>
  <w:style w:type="table" w:customStyle="1" w:styleId="TableGrid1">
    <w:name w:val="Table Grid1"/>
    <w:basedOn w:val="TableNormal"/>
    <w:next w:val="TableGrid"/>
    <w:qFormat/>
    <w:rsid w:val="0027168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71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168E"/>
    <w:rPr>
      <w:color w:val="0000FF"/>
      <w:u w:val="single"/>
    </w:rPr>
  </w:style>
  <w:style w:type="paragraph" w:styleId="Footer">
    <w:name w:val="footer"/>
    <w:basedOn w:val="Normal"/>
    <w:link w:val="FooterChar"/>
    <w:uiPriority w:val="99"/>
    <w:unhideWhenUsed/>
    <w:rsid w:val="002716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68E"/>
    <w:rPr>
      <w:kern w:val="0"/>
      <w14:ligatures w14:val="none"/>
    </w:rPr>
  </w:style>
  <w:style w:type="character" w:styleId="FootnoteReference">
    <w:name w:val="footnote reference"/>
    <w:basedOn w:val="DefaultParagraphFont"/>
    <w:uiPriority w:val="99"/>
    <w:semiHidden/>
    <w:unhideWhenUsed/>
    <w:rsid w:val="002716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a.lpt@vlu.edu.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ongdangkhoa@tdtu.edu.vn"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p@ou.edu.v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duongdangkhoa@tdt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63945-C3D6-47D1-8556-F8CABA55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Đăng Khoa</dc:creator>
  <cp:keywords/>
  <dc:description/>
  <cp:lastModifiedBy>Dương Đăng Khoa</cp:lastModifiedBy>
  <cp:revision>3</cp:revision>
  <dcterms:created xsi:type="dcterms:W3CDTF">2024-07-02T01:34:00Z</dcterms:created>
  <dcterms:modified xsi:type="dcterms:W3CDTF">2024-07-02T01:40:00Z</dcterms:modified>
</cp:coreProperties>
</file>