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AA40F" w14:textId="77777777" w:rsidR="00F71133" w:rsidRPr="00A26661" w:rsidRDefault="00F71133" w:rsidP="00F7113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6661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3042F8AB" w14:textId="77777777" w:rsidR="00067921" w:rsidRPr="009B631B" w:rsidRDefault="00067921" w:rsidP="0006792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83F60E6" w14:textId="002EC5D8" w:rsidR="00DB199D" w:rsidRDefault="006B4807" w:rsidP="00DB199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4807">
        <w:rPr>
          <w:rFonts w:ascii="Times New Roman" w:hAnsi="Times New Roman" w:cs="Times New Roman"/>
          <w:b/>
          <w:bCs/>
          <w:sz w:val="28"/>
          <w:szCs w:val="28"/>
        </w:rPr>
        <w:t xml:space="preserve">Interpretable AI-driven causal inference uncovers the time-varying </w:t>
      </w:r>
      <w:r w:rsidR="00143716">
        <w:rPr>
          <w:rFonts w:ascii="Times New Roman" w:hAnsi="Times New Roman" w:cs="Times New Roman"/>
          <w:b/>
          <w:bCs/>
          <w:sz w:val="28"/>
          <w:szCs w:val="28"/>
        </w:rPr>
        <w:t>effects</w:t>
      </w:r>
      <w:r w:rsidRPr="006B4807">
        <w:rPr>
          <w:rFonts w:ascii="Times New Roman" w:hAnsi="Times New Roman" w:cs="Times New Roman"/>
          <w:b/>
          <w:bCs/>
          <w:sz w:val="28"/>
          <w:szCs w:val="28"/>
        </w:rPr>
        <w:t xml:space="preserve"> of PM</w:t>
      </w:r>
      <w:r w:rsidRPr="001841F1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2.5</w:t>
      </w:r>
      <w:r w:rsidRPr="009107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4807">
        <w:rPr>
          <w:rFonts w:ascii="Times New Roman" w:hAnsi="Times New Roman" w:cs="Times New Roman"/>
          <w:b/>
          <w:bCs/>
          <w:sz w:val="28"/>
          <w:szCs w:val="28"/>
        </w:rPr>
        <w:t>and public health interventions on COVID-19 infection rates</w:t>
      </w:r>
    </w:p>
    <w:p w14:paraId="75B6445F" w14:textId="77777777" w:rsidR="006B4807" w:rsidRPr="00067921" w:rsidRDefault="006B4807" w:rsidP="00DB199D">
      <w:pPr>
        <w:spacing w:line="360" w:lineRule="auto"/>
        <w:jc w:val="center"/>
        <w:rPr>
          <w:rFonts w:ascii="Times New Roman" w:hAnsi="Times New Roman" w:cs="Times New Roman"/>
        </w:rPr>
      </w:pPr>
    </w:p>
    <w:p w14:paraId="32CCE565" w14:textId="141DD9F6" w:rsidR="00DB199D" w:rsidRPr="00A26661" w:rsidRDefault="00DB199D" w:rsidP="00DB199D">
      <w:pPr>
        <w:spacing w:line="360" w:lineRule="auto"/>
        <w:jc w:val="center"/>
        <w:rPr>
          <w:rFonts w:ascii="Times New Roman" w:hAnsi="Times New Roman" w:cs="Times New Roman"/>
          <w:lang w:val="en-GB"/>
        </w:rPr>
      </w:pPr>
      <w:r w:rsidRPr="00A26661">
        <w:rPr>
          <w:rFonts w:ascii="Times New Roman" w:hAnsi="Times New Roman" w:cs="Times New Roman"/>
          <w:lang w:val="en-GB"/>
        </w:rPr>
        <w:t>Yang Han</w:t>
      </w:r>
      <w:r w:rsidRPr="00A26661">
        <w:rPr>
          <w:rFonts w:ascii="Times New Roman" w:hAnsi="Times New Roman" w:cs="Times New Roman"/>
          <w:vertAlign w:val="superscript"/>
          <w:lang w:val="en-GB"/>
        </w:rPr>
        <w:t>1</w:t>
      </w:r>
      <w:r w:rsidRPr="00A26661">
        <w:rPr>
          <w:rFonts w:ascii="Times New Roman" w:hAnsi="Times New Roman" w:cs="Times New Roman"/>
          <w:lang w:val="en-GB"/>
        </w:rPr>
        <w:t>, Jacqueline CK Lam</w:t>
      </w:r>
      <w:r w:rsidRPr="00A26661">
        <w:rPr>
          <w:rFonts w:ascii="Times New Roman" w:hAnsi="Times New Roman" w:cs="Times New Roman"/>
          <w:vertAlign w:val="superscript"/>
          <w:lang w:val="en-GB"/>
        </w:rPr>
        <w:t>1, *</w:t>
      </w:r>
      <w:r w:rsidRPr="00A26661">
        <w:rPr>
          <w:rFonts w:ascii="Times New Roman" w:hAnsi="Times New Roman" w:cs="Times New Roman"/>
          <w:lang w:val="en-GB"/>
        </w:rPr>
        <w:t>, Victor OK Li</w:t>
      </w:r>
      <w:r w:rsidRPr="00A26661">
        <w:rPr>
          <w:rFonts w:ascii="Times New Roman" w:hAnsi="Times New Roman" w:cs="Times New Roman"/>
          <w:vertAlign w:val="superscript"/>
          <w:lang w:val="en-GB"/>
        </w:rPr>
        <w:t>1, *</w:t>
      </w:r>
      <w:r w:rsidRPr="00A26661">
        <w:rPr>
          <w:rFonts w:ascii="Times New Roman" w:hAnsi="Times New Roman" w:cs="Times New Roman"/>
          <w:lang w:val="en-GB"/>
        </w:rPr>
        <w:t>, and Jon Crowcroft</w:t>
      </w:r>
      <w:r w:rsidRPr="00A26661">
        <w:rPr>
          <w:rFonts w:ascii="Times New Roman" w:hAnsi="Times New Roman" w:cs="Times New Roman"/>
          <w:vertAlign w:val="superscript"/>
          <w:lang w:val="en-GB"/>
        </w:rPr>
        <w:t>2</w:t>
      </w:r>
    </w:p>
    <w:p w14:paraId="79892177" w14:textId="77777777" w:rsidR="00DB199D" w:rsidRPr="00A26661" w:rsidRDefault="00DB199D" w:rsidP="00DB19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1CD5C0E7" w14:textId="61A4FA4A" w:rsidR="00DB199D" w:rsidRPr="00A26661" w:rsidRDefault="00DB199D" w:rsidP="00DB19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6661">
        <w:rPr>
          <w:rFonts w:ascii="Times New Roman" w:hAnsi="Times New Roman" w:cs="Times New Roman"/>
          <w:vertAlign w:val="superscript"/>
          <w:lang w:val="en-GB"/>
        </w:rPr>
        <w:t>1</w:t>
      </w:r>
      <w:r w:rsidRPr="00A26661">
        <w:rPr>
          <w:rFonts w:ascii="Times New Roman" w:hAnsi="Times New Roman" w:cs="Times New Roman"/>
          <w:lang w:val="en-GB"/>
        </w:rPr>
        <w:t>Department of Electrical and Electronic Engineering, The University of Hong Kong, Hong Kong.</w:t>
      </w:r>
    </w:p>
    <w:p w14:paraId="4F561C55" w14:textId="77777777" w:rsidR="00DB199D" w:rsidRPr="00A26661" w:rsidRDefault="00DB199D" w:rsidP="00DB19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6661">
        <w:rPr>
          <w:rFonts w:ascii="Times New Roman" w:hAnsi="Times New Roman" w:cs="Times New Roman"/>
          <w:vertAlign w:val="superscript"/>
          <w:lang w:val="en-GB"/>
        </w:rPr>
        <w:t>2</w:t>
      </w:r>
      <w:r w:rsidRPr="00A26661">
        <w:rPr>
          <w:rFonts w:ascii="Times New Roman" w:hAnsi="Times New Roman" w:cs="Times New Roman"/>
          <w:lang w:val="en-GB"/>
        </w:rPr>
        <w:t>Department of Computer Science and Technology, The University of Cambridge, Cambridge, UK.</w:t>
      </w:r>
    </w:p>
    <w:p w14:paraId="3589CE7C" w14:textId="77777777" w:rsidR="00DB199D" w:rsidRPr="00A26661" w:rsidRDefault="00DB199D" w:rsidP="00DB199D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A26661">
        <w:rPr>
          <w:rFonts w:ascii="Times New Roman" w:hAnsi="Times New Roman" w:cs="Times New Roman"/>
          <w:lang w:val="en-GB"/>
        </w:rPr>
        <w:t xml:space="preserve">*Corresponding authors. Emails: </w:t>
      </w:r>
      <w:hyperlink r:id="rId6" w:history="1">
        <w:r w:rsidRPr="00A26661">
          <w:rPr>
            <w:rStyle w:val="Hyperlink"/>
            <w:rFonts w:ascii="Times New Roman" w:hAnsi="Times New Roman" w:cs="Times New Roman"/>
            <w:lang w:val="en-GB"/>
          </w:rPr>
          <w:t>jcklam@eee.hku.hk</w:t>
        </w:r>
      </w:hyperlink>
      <w:r w:rsidRPr="00A26661">
        <w:rPr>
          <w:rFonts w:ascii="Times New Roman" w:hAnsi="Times New Roman" w:cs="Times New Roman"/>
          <w:lang w:val="en-GB"/>
        </w:rPr>
        <w:t xml:space="preserve">; </w:t>
      </w:r>
      <w:hyperlink r:id="rId7" w:history="1">
        <w:r w:rsidRPr="00A26661">
          <w:rPr>
            <w:rStyle w:val="Hyperlink"/>
            <w:rFonts w:ascii="Times New Roman" w:hAnsi="Times New Roman" w:cs="Times New Roman"/>
            <w:lang w:val="en-GB"/>
          </w:rPr>
          <w:t>vli@eee.hku.hk</w:t>
        </w:r>
      </w:hyperlink>
    </w:p>
    <w:p w14:paraId="2356B00B" w14:textId="79F2A65A" w:rsidR="0016764B" w:rsidRPr="00A26661" w:rsidRDefault="0016764B" w:rsidP="005C21DE">
      <w:pPr>
        <w:spacing w:line="360" w:lineRule="auto"/>
        <w:rPr>
          <w:rFonts w:ascii="Times New Roman" w:hAnsi="Times New Roman" w:cs="Times New Roman"/>
        </w:rPr>
      </w:pPr>
    </w:p>
    <w:p w14:paraId="38F46D7C" w14:textId="6CE4BB29" w:rsidR="0016764B" w:rsidRPr="00A26661" w:rsidRDefault="00953AFF" w:rsidP="00F160AF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666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36F46" w:rsidRPr="00A2666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6764B" w:rsidRPr="00A26661">
        <w:rPr>
          <w:rFonts w:ascii="Times New Roman" w:hAnsi="Times New Roman" w:cs="Times New Roman"/>
          <w:b/>
          <w:bCs/>
          <w:sz w:val="28"/>
          <w:szCs w:val="28"/>
        </w:rPr>
        <w:t>Baseline Selection</w:t>
      </w:r>
    </w:p>
    <w:p w14:paraId="0916B396" w14:textId="20632E1D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 xml:space="preserve">Stepwise ordinary least squares (OLS) regression </w:t>
      </w:r>
      <w:r w:rsidRPr="00A26661">
        <w:rPr>
          <w:rFonts w:ascii="Times New Roman" w:hAnsi="Times New Roman" w:cs="Times New Roman"/>
        </w:rPr>
        <w:t xml:space="preserve">adopted a two-stage procedure (forward and backward regression) that performed stepwise variable selection based on </w:t>
      </w:r>
      <w:r w:rsidRPr="00A26661">
        <w:rPr>
          <w:rFonts w:ascii="Times New Roman" w:hAnsi="Times New Roman" w:cs="Times New Roman"/>
          <w:i/>
          <w:iCs/>
        </w:rPr>
        <w:t>p</w:t>
      </w:r>
      <w:r w:rsidRPr="00A26661">
        <w:rPr>
          <w:rFonts w:ascii="Times New Roman" w:hAnsi="Times New Roman" w:cs="Times New Roman"/>
        </w:rPr>
        <w:t>-value (</w:t>
      </w:r>
      <w:r w:rsidRPr="00A26661">
        <w:rPr>
          <w:rFonts w:ascii="Times New Roman" w:hAnsi="Times New Roman" w:cs="Times New Roman"/>
          <w:i/>
          <w:iCs/>
        </w:rPr>
        <w:t xml:space="preserve">p </w:t>
      </w:r>
      <w:r w:rsidRPr="00A26661">
        <w:rPr>
          <w:rFonts w:ascii="Times New Roman" w:hAnsi="Times New Roman" w:cs="Times New Roman"/>
        </w:rPr>
        <w:t>&lt; 0.05)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(Han et al., 2021)</w:t>
      </w:r>
      <w:r w:rsidRPr="00A26661">
        <w:rPr>
          <w:rFonts w:ascii="Times New Roman" w:hAnsi="Times New Roman" w:cs="Times New Roman"/>
        </w:rPr>
        <w:t>.</w:t>
      </w:r>
    </w:p>
    <w:p w14:paraId="46F430C6" w14:textId="70F80051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 xml:space="preserve">Panel OLS regression </w:t>
      </w:r>
      <w:r w:rsidRPr="00A26661">
        <w:rPr>
          <w:rFonts w:ascii="Times New Roman" w:hAnsi="Times New Roman" w:cs="Times New Roman"/>
        </w:rPr>
        <w:t>included random-effects and fixed-effects regression models for the panel data analysis</w:t>
      </w:r>
      <w:r w:rsidR="00DB5267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(Yan et al., 2021)</w:t>
      </w:r>
      <w:r w:rsidRPr="00A26661">
        <w:rPr>
          <w:rFonts w:ascii="Times New Roman" w:hAnsi="Times New Roman" w:cs="Times New Roman"/>
        </w:rPr>
        <w:t>. The fixed-effects model assumed that the LTLA-specific effects were correlated with the covariates, while the random-effects model assumed no correlation (dependence). The model selection (i.e., whether the random-effects or the fixed-effects model was used) was determined based on Hausman’s test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(Baltagi and Liu, 2016)</w:t>
      </w:r>
      <w:r w:rsidRPr="00A26661">
        <w:rPr>
          <w:rFonts w:ascii="Times New Roman" w:hAnsi="Times New Roman" w:cs="Times New Roman"/>
        </w:rPr>
        <w:t>. Demographic and comorbidity variables were excluded, given that those fixed effects were already addressed in the model.</w:t>
      </w:r>
    </w:p>
    <w:p w14:paraId="20FFE703" w14:textId="0E3D8DEB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Double lasso</w:t>
      </w:r>
      <w:r w:rsidRPr="00A26661">
        <w:rPr>
          <w:rFonts w:ascii="Times New Roman" w:hAnsi="Times New Roman" w:cs="Times New Roman"/>
        </w:rPr>
        <w:t xml:space="preserve"> adopted a three-stage feature selection procedure using lasso (i.e., based on zero vs. non-zero coefficients) to further reduce confounding biases when estimating the causal effects</w:t>
      </w:r>
      <w:r w:rsidR="00DD7C44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(Torrats-Espinosa, 2021)</w:t>
      </w:r>
      <w:r w:rsidRPr="00A26661">
        <w:rPr>
          <w:rFonts w:ascii="Times New Roman" w:hAnsi="Times New Roman" w:cs="Times New Roman"/>
        </w:rPr>
        <w:t>.</w:t>
      </w:r>
    </w:p>
    <w:p w14:paraId="144E11B8" w14:textId="4C3BE5D2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Linear Granger causality</w:t>
      </w:r>
      <w:r w:rsidRPr="00A26661">
        <w:rPr>
          <w:rFonts w:ascii="Times New Roman" w:hAnsi="Times New Roman" w:cs="Times New Roman"/>
        </w:rPr>
        <w:t xml:space="preserve"> identified a causal graph using a Granger causality-based model that best fitted the corresponding time-series data for each LTLA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(Shojaie and Michailidis, 2010)</w:t>
      </w:r>
      <w:r w:rsidRPr="00A26661">
        <w:rPr>
          <w:rFonts w:ascii="Times New Roman" w:hAnsi="Times New Roman" w:cs="Times New Roman"/>
        </w:rPr>
        <w:t>. A final causal graph was constructed using a stability selection procedure that selected edges only when the probability of edge occurrence across all graphs was larger than 0.5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(Belyaeva et al., 2021)</w:t>
      </w:r>
      <w:r w:rsidRPr="00A26661">
        <w:rPr>
          <w:rFonts w:ascii="Times New Roman" w:hAnsi="Times New Roman" w:cs="Times New Roman"/>
        </w:rPr>
        <w:t>.</w:t>
      </w:r>
    </w:p>
    <w:p w14:paraId="120A7918" w14:textId="1642A10E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lastRenderedPageBreak/>
        <w:t>Peter-Clark (PC)</w:t>
      </w:r>
      <w:r w:rsidRPr="00A26661">
        <w:rPr>
          <w:rFonts w:ascii="Times New Roman" w:hAnsi="Times New Roman" w:cs="Times New Roman"/>
        </w:rPr>
        <w:t xml:space="preserve"> algorithm, a constraint-based model, identified a causal graph based on the conditional independence relationships inferred from the data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(Spirtes et al., 2000)</w:t>
      </w:r>
      <w:r w:rsidRPr="00A26661">
        <w:rPr>
          <w:rFonts w:ascii="Times New Roman" w:hAnsi="Times New Roman" w:cs="Times New Roman"/>
        </w:rPr>
        <w:t xml:space="preserve">. Fisher’s </w:t>
      </w:r>
      <w:r w:rsidRPr="00A26661">
        <w:rPr>
          <w:rFonts w:ascii="Times New Roman" w:hAnsi="Times New Roman" w:cs="Times New Roman"/>
          <w:i/>
          <w:iCs/>
        </w:rPr>
        <w:t xml:space="preserve">Z </w:t>
      </w:r>
      <w:r w:rsidRPr="00A26661">
        <w:rPr>
          <w:rFonts w:ascii="Times New Roman" w:hAnsi="Times New Roman" w:cs="Times New Roman"/>
        </w:rPr>
        <w:t>conditional independence test was adopted. Prior knowledge could correct the identified edges during constraint-based graph searching. The same prior knowledge used in the proposed model was incorporated.</w:t>
      </w:r>
    </w:p>
    <w:p w14:paraId="36D43881" w14:textId="4D4E69CF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Greedy equivalence search (GES)</w:t>
      </w:r>
      <w:r w:rsidRPr="00A26661">
        <w:rPr>
          <w:rFonts w:ascii="Times New Roman" w:hAnsi="Times New Roman" w:cs="Times New Roman"/>
        </w:rPr>
        <w:t>, a score-based graph model, identified an optimal causal graph that best fitted the data using a score function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(Chickering, 2002)</w:t>
      </w:r>
      <w:r w:rsidRPr="00A26661">
        <w:rPr>
          <w:rFonts w:ascii="Times New Roman" w:hAnsi="Times New Roman" w:cs="Times New Roman"/>
        </w:rPr>
        <w:t>. The Bayesian Information Criterion (BIC) score function was adopted.</w:t>
      </w:r>
    </w:p>
    <w:p w14:paraId="06887BD7" w14:textId="7D5F9BC1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Greedy sparsest permutation (GSP)</w:t>
      </w:r>
      <w:r w:rsidRPr="00A26661">
        <w:rPr>
          <w:rFonts w:ascii="Times New Roman" w:hAnsi="Times New Roman" w:cs="Times New Roman"/>
        </w:rPr>
        <w:t>, a permutation-based model, identified a sparse causal graph from every ordering of the variables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(Lam et al., 2022)</w:t>
      </w:r>
      <w:r w:rsidRPr="00A26661">
        <w:rPr>
          <w:rFonts w:ascii="Times New Roman" w:hAnsi="Times New Roman" w:cs="Times New Roman"/>
        </w:rPr>
        <w:t>. The BIC score function was adopted.</w:t>
      </w:r>
    </w:p>
    <w:p w14:paraId="3D03ABD1" w14:textId="2E6F4679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Linear non-Gaussian acyclic model (</w:t>
      </w:r>
      <w:proofErr w:type="spellStart"/>
      <w:r w:rsidRPr="00A26661">
        <w:rPr>
          <w:rFonts w:ascii="Times New Roman" w:hAnsi="Times New Roman" w:cs="Times New Roman"/>
          <w:b/>
          <w:bCs/>
        </w:rPr>
        <w:t>LiNGAM</w:t>
      </w:r>
      <w:proofErr w:type="spellEnd"/>
      <w:r w:rsidRPr="00A26661">
        <w:rPr>
          <w:rFonts w:ascii="Times New Roman" w:hAnsi="Times New Roman" w:cs="Times New Roman"/>
          <w:b/>
          <w:bCs/>
        </w:rPr>
        <w:t>)</w:t>
      </w:r>
      <w:r w:rsidRPr="00A26661">
        <w:rPr>
          <w:rFonts w:ascii="Times New Roman" w:hAnsi="Times New Roman" w:cs="Times New Roman"/>
        </w:rPr>
        <w:t>, a constraint-based functional model, identified the causal orderings of variables using a linear non-Gaussian acyclic model (a variant of structural equation model (SEM))</w:t>
      </w:r>
      <w:r w:rsidR="002E1FCA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(Shimizu et al., 2011)</w:t>
      </w:r>
      <w:r w:rsidRPr="00A26661">
        <w:rPr>
          <w:rFonts w:ascii="Times New Roman" w:hAnsi="Times New Roman" w:cs="Times New Roman"/>
        </w:rPr>
        <w:t>. The same prior knowledge used in the proposed model was incorporated into the model.</w:t>
      </w:r>
    </w:p>
    <w:p w14:paraId="50E33A0E" w14:textId="0EAE64B3" w:rsidR="0016764B" w:rsidRPr="00A26661" w:rsidRDefault="0016764B" w:rsidP="00991520">
      <w:pPr>
        <w:spacing w:line="360" w:lineRule="auto"/>
        <w:jc w:val="both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/>
          <w:bCs/>
        </w:rPr>
        <w:t>Causal GNN</w:t>
      </w:r>
      <w:r w:rsidRPr="00A26661">
        <w:rPr>
          <w:rFonts w:ascii="Times New Roman" w:hAnsi="Times New Roman" w:cs="Times New Roman"/>
        </w:rPr>
        <w:t>, the original causal GNN model, identified a causal graph structure based on time-series data</w:t>
      </w:r>
      <w:r w:rsidR="002139A6" w:rsidRPr="00A26661">
        <w:rPr>
          <w:rFonts w:ascii="Times New Roman" w:hAnsi="Times New Roman" w:cs="Times New Roman"/>
        </w:rPr>
        <w:t xml:space="preserve"> </w:t>
      </w:r>
      <w:r w:rsidR="00013208" w:rsidRPr="00A26661">
        <w:rPr>
          <w:rFonts w:ascii="Times New Roman" w:hAnsi="Times New Roman" w:cs="Times New Roman"/>
          <w:noProof/>
        </w:rPr>
        <w:t>(Löwe et al., 2022)</w:t>
      </w:r>
      <w:r w:rsidRPr="00A26661">
        <w:rPr>
          <w:rFonts w:ascii="Times New Roman" w:hAnsi="Times New Roman" w:cs="Times New Roman"/>
        </w:rPr>
        <w:t>. The causal GNN model adopted the same hyperparameters and utilized the same encoder and decoder models in the proposed encoder-decoder framework, except that the decoder (RNN) did not account for the time-varying causal structure. No regularization was used in the causal GNN model.</w:t>
      </w:r>
    </w:p>
    <w:p w14:paraId="0F853305" w14:textId="392CF7FD" w:rsidR="0016764B" w:rsidRDefault="0016764B">
      <w:pPr>
        <w:rPr>
          <w:rFonts w:ascii="Times New Roman" w:hAnsi="Times New Roman" w:cs="Times New Roman"/>
        </w:rPr>
      </w:pPr>
      <w:bookmarkStart w:id="0" w:name="_Toc134013471"/>
    </w:p>
    <w:p w14:paraId="64BF82B9" w14:textId="77777777" w:rsidR="00CF374D" w:rsidRPr="00A26661" w:rsidRDefault="00CF374D">
      <w:pPr>
        <w:rPr>
          <w:rFonts w:ascii="Times New Roman" w:hAnsi="Times New Roman" w:cs="Times New Roman"/>
          <w:b/>
          <w:bCs/>
          <w:iCs/>
          <w:lang w:val="en-HK"/>
        </w:rPr>
      </w:pPr>
    </w:p>
    <w:p w14:paraId="5B74F2E2" w14:textId="2ED3D453" w:rsidR="00B57C05" w:rsidRPr="00A26661" w:rsidRDefault="00B57C05" w:rsidP="00F160AF">
      <w:pPr>
        <w:spacing w:line="360" w:lineRule="auto"/>
        <w:jc w:val="both"/>
        <w:rPr>
          <w:rFonts w:ascii="Times New Roman" w:hAnsi="Times New Roman" w:cs="Times New Roman"/>
          <w:iCs/>
          <w:lang w:val="en-HK"/>
        </w:rPr>
      </w:pPr>
      <w:r w:rsidRPr="00A26661">
        <w:rPr>
          <w:rFonts w:ascii="Times New Roman" w:hAnsi="Times New Roman" w:cs="Times New Roman"/>
          <w:b/>
          <w:bCs/>
          <w:iCs/>
          <w:lang w:val="en-HK"/>
        </w:rPr>
        <w:t xml:space="preserve">Table </w:t>
      </w:r>
      <w:r w:rsidR="000C6859" w:rsidRPr="00A26661">
        <w:rPr>
          <w:rFonts w:ascii="Times New Roman" w:hAnsi="Times New Roman" w:cs="Times New Roman"/>
          <w:b/>
          <w:bCs/>
          <w:iCs/>
          <w:lang w:val="en-HK"/>
        </w:rPr>
        <w:t>S1</w:t>
      </w:r>
      <w:r w:rsidRPr="00A26661">
        <w:rPr>
          <w:rFonts w:ascii="Times New Roman" w:hAnsi="Times New Roman" w:cs="Times New Roman"/>
          <w:b/>
          <w:bCs/>
          <w:iCs/>
          <w:lang w:val="en-HK"/>
        </w:rPr>
        <w:t>.</w:t>
      </w:r>
      <w:r w:rsidRPr="00A26661">
        <w:rPr>
          <w:rFonts w:ascii="Times New Roman" w:hAnsi="Times New Roman" w:cs="Times New Roman"/>
          <w:iCs/>
          <w:lang w:val="en-HK"/>
        </w:rPr>
        <w:t>Variable definition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49"/>
        <w:gridCol w:w="4911"/>
        <w:gridCol w:w="790"/>
      </w:tblGrid>
      <w:tr w:rsidR="00B57C05" w:rsidRPr="00A26661" w14:paraId="71B43F39" w14:textId="77777777" w:rsidTr="00F44781">
        <w:tc>
          <w:tcPr>
            <w:tcW w:w="3681" w:type="dxa"/>
          </w:tcPr>
          <w:p w14:paraId="3096C03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6661">
              <w:rPr>
                <w:rFonts w:ascii="Times New Roman" w:hAnsi="Times New Roman" w:cs="Times New Roman"/>
                <w:b/>
                <w:bCs/>
              </w:rPr>
              <w:t>Variable Name</w:t>
            </w:r>
          </w:p>
        </w:tc>
        <w:tc>
          <w:tcPr>
            <w:tcW w:w="4961" w:type="dxa"/>
          </w:tcPr>
          <w:p w14:paraId="2258B7F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6661">
              <w:rPr>
                <w:rFonts w:ascii="Times New Roman" w:hAnsi="Times New Roman" w:cs="Times New Roman"/>
                <w:b/>
                <w:bCs/>
              </w:rPr>
              <w:t>Description</w:t>
            </w:r>
          </w:p>
        </w:tc>
        <w:tc>
          <w:tcPr>
            <w:tcW w:w="708" w:type="dxa"/>
          </w:tcPr>
          <w:p w14:paraId="4096BBE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6661">
              <w:rPr>
                <w:rFonts w:ascii="Times New Roman" w:hAnsi="Times New Roman" w:cs="Times New Roman"/>
                <w:b/>
                <w:bCs/>
              </w:rPr>
              <w:t>Unit</w:t>
            </w:r>
          </w:p>
        </w:tc>
      </w:tr>
      <w:tr w:rsidR="00B57C05" w:rsidRPr="00A26661" w14:paraId="7BEC7364" w14:textId="77777777" w:rsidTr="00F44781">
        <w:tc>
          <w:tcPr>
            <w:tcW w:w="9350" w:type="dxa"/>
            <w:gridSpan w:val="3"/>
          </w:tcPr>
          <w:p w14:paraId="2AEA5C8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6661">
              <w:rPr>
                <w:rFonts w:ascii="Times New Roman" w:hAnsi="Times New Roman" w:cs="Times New Roman"/>
                <w:b/>
                <w:bCs/>
              </w:rPr>
              <w:t>Dependent Variable</w:t>
            </w:r>
          </w:p>
        </w:tc>
      </w:tr>
      <w:tr w:rsidR="00B57C05" w:rsidRPr="00A26661" w14:paraId="64F9DA91" w14:textId="77777777" w:rsidTr="00F44781">
        <w:tc>
          <w:tcPr>
            <w:tcW w:w="3681" w:type="dxa"/>
          </w:tcPr>
          <w:p w14:paraId="3913C70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COVID-19 Infection Rate</w:t>
            </w:r>
          </w:p>
        </w:tc>
        <w:tc>
          <w:tcPr>
            <w:tcW w:w="4961" w:type="dxa"/>
          </w:tcPr>
          <w:p w14:paraId="46C8242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Confirmed COVID-19 cases per 100,000 population</w:t>
            </w:r>
          </w:p>
        </w:tc>
        <w:tc>
          <w:tcPr>
            <w:tcW w:w="708" w:type="dxa"/>
          </w:tcPr>
          <w:p w14:paraId="071FAB4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7EB7D140" w14:textId="77777777" w:rsidTr="00F44781">
        <w:tc>
          <w:tcPr>
            <w:tcW w:w="9350" w:type="dxa"/>
            <w:gridSpan w:val="3"/>
          </w:tcPr>
          <w:p w14:paraId="6042D37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26661">
              <w:rPr>
                <w:rFonts w:ascii="Times New Roman" w:hAnsi="Times New Roman" w:cs="Times New Roman"/>
                <w:b/>
                <w:bCs/>
              </w:rPr>
              <w:t>Independent Variables</w:t>
            </w:r>
          </w:p>
        </w:tc>
      </w:tr>
      <w:tr w:rsidR="00B57C05" w:rsidRPr="00A26661" w14:paraId="405997C0" w14:textId="77777777" w:rsidTr="00F44781">
        <w:tc>
          <w:tcPr>
            <w:tcW w:w="3681" w:type="dxa"/>
          </w:tcPr>
          <w:p w14:paraId="6CE36D9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COVID-19 Tests</w:t>
            </w:r>
          </w:p>
        </w:tc>
        <w:tc>
          <w:tcPr>
            <w:tcW w:w="4961" w:type="dxa"/>
          </w:tcPr>
          <w:p w14:paraId="6BF06F6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COVID-19 tests (PCR and LFD) per 100,000 population</w:t>
            </w:r>
          </w:p>
        </w:tc>
        <w:tc>
          <w:tcPr>
            <w:tcW w:w="708" w:type="dxa"/>
          </w:tcPr>
          <w:p w14:paraId="01EEC71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626E6877" w14:textId="77777777" w:rsidTr="00F44781">
        <w:tc>
          <w:tcPr>
            <w:tcW w:w="3681" w:type="dxa"/>
          </w:tcPr>
          <w:p w14:paraId="481F700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COVID-19 Vaccination (First Dose)</w:t>
            </w:r>
          </w:p>
        </w:tc>
        <w:tc>
          <w:tcPr>
            <w:tcW w:w="4961" w:type="dxa"/>
          </w:tcPr>
          <w:p w14:paraId="79198DC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First doses per 100,000 population</w:t>
            </w:r>
          </w:p>
        </w:tc>
        <w:tc>
          <w:tcPr>
            <w:tcW w:w="708" w:type="dxa"/>
          </w:tcPr>
          <w:p w14:paraId="64606E2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3EBADD6C" w14:textId="77777777" w:rsidTr="00F44781">
        <w:tc>
          <w:tcPr>
            <w:tcW w:w="3681" w:type="dxa"/>
          </w:tcPr>
          <w:p w14:paraId="40AA941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lastRenderedPageBreak/>
              <w:t>COVID-19 Vaccination (Second Dose)</w:t>
            </w:r>
          </w:p>
        </w:tc>
        <w:tc>
          <w:tcPr>
            <w:tcW w:w="4961" w:type="dxa"/>
          </w:tcPr>
          <w:p w14:paraId="6AFF2D2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Second doses per 100,000 population</w:t>
            </w:r>
          </w:p>
        </w:tc>
        <w:tc>
          <w:tcPr>
            <w:tcW w:w="708" w:type="dxa"/>
          </w:tcPr>
          <w:p w14:paraId="5A7467B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265CE920" w14:textId="77777777" w:rsidTr="00F44781">
        <w:tc>
          <w:tcPr>
            <w:tcW w:w="3681" w:type="dxa"/>
          </w:tcPr>
          <w:p w14:paraId="21CD563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COVID-19 Vaccination (Third Injection)</w:t>
            </w:r>
          </w:p>
        </w:tc>
        <w:tc>
          <w:tcPr>
            <w:tcW w:w="4961" w:type="dxa"/>
          </w:tcPr>
          <w:p w14:paraId="5D708D7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Third doses and booster doses per 100,000 population</w:t>
            </w:r>
          </w:p>
        </w:tc>
        <w:tc>
          <w:tcPr>
            <w:tcW w:w="708" w:type="dxa"/>
          </w:tcPr>
          <w:p w14:paraId="41EFC4C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30F9ECBD" w14:textId="77777777" w:rsidTr="00F44781">
        <w:tc>
          <w:tcPr>
            <w:tcW w:w="3681" w:type="dxa"/>
          </w:tcPr>
          <w:p w14:paraId="55683A8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4961" w:type="dxa"/>
          </w:tcPr>
          <w:p w14:paraId="1A99447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outdoor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2.5 </w:t>
            </w:r>
            <w:r w:rsidRPr="00A26661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708" w:type="dxa"/>
          </w:tcPr>
          <w:p w14:paraId="04E3C49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60F1016A" w14:textId="77777777" w:rsidTr="00F44781">
        <w:tc>
          <w:tcPr>
            <w:tcW w:w="3681" w:type="dxa"/>
          </w:tcPr>
          <w:p w14:paraId="7EFBC94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  <w:lang w:val="en-HK"/>
              </w:rPr>
            </w:pPr>
            <w:r w:rsidRPr="00A26661">
              <w:rPr>
                <w:rFonts w:ascii="Times New Roman" w:hAnsi="Times New Roman" w:cs="Times New Roman"/>
              </w:rPr>
              <w:t xml:space="preserve">Short-term </w:t>
            </w:r>
            <w:r w:rsidRPr="00A26661">
              <w:rPr>
                <w:rFonts w:ascii="Times New Roman" w:hAnsi="Times New Roman" w:cs="Times New Roman"/>
                <w:lang w:val="en-HK"/>
              </w:rPr>
              <w:t>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4961" w:type="dxa"/>
          </w:tcPr>
          <w:p w14:paraId="1C649E1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outdoor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10 </w:t>
            </w:r>
            <w:r w:rsidRPr="00A26661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708" w:type="dxa"/>
          </w:tcPr>
          <w:p w14:paraId="5B121D0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453755E1" w14:textId="77777777" w:rsidTr="00F44781">
        <w:tc>
          <w:tcPr>
            <w:tcW w:w="3681" w:type="dxa"/>
          </w:tcPr>
          <w:p w14:paraId="18D0383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NO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4961" w:type="dxa"/>
          </w:tcPr>
          <w:p w14:paraId="070987B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outdoor NO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A26661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708" w:type="dxa"/>
          </w:tcPr>
          <w:p w14:paraId="13A893B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5594C4C4" w14:textId="77777777" w:rsidTr="00F44781">
        <w:tc>
          <w:tcPr>
            <w:tcW w:w="3681" w:type="dxa"/>
          </w:tcPr>
          <w:p w14:paraId="76E66B6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4961" w:type="dxa"/>
          </w:tcPr>
          <w:p w14:paraId="00B275D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Short-term outdoor 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3 </w:t>
            </w:r>
            <w:r w:rsidRPr="00A26661">
              <w:rPr>
                <w:rFonts w:ascii="Times New Roman" w:hAnsi="Times New Roman" w:cs="Times New Roman"/>
              </w:rPr>
              <w:t>concentration</w:t>
            </w:r>
          </w:p>
        </w:tc>
        <w:tc>
          <w:tcPr>
            <w:tcW w:w="708" w:type="dxa"/>
          </w:tcPr>
          <w:p w14:paraId="596011B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19BADBC4" w14:textId="77777777" w:rsidTr="00F44781">
        <w:tc>
          <w:tcPr>
            <w:tcW w:w="3681" w:type="dxa"/>
          </w:tcPr>
          <w:p w14:paraId="474D815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2.5</w:t>
            </w:r>
          </w:p>
        </w:tc>
        <w:tc>
          <w:tcPr>
            <w:tcW w:w="4961" w:type="dxa"/>
          </w:tcPr>
          <w:p w14:paraId="03680DA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outdoor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2.5 </w:t>
            </w:r>
            <w:r w:rsidRPr="00A26661">
              <w:rPr>
                <w:rFonts w:ascii="Times New Roman" w:hAnsi="Times New Roman" w:cs="Times New Roman"/>
              </w:rPr>
              <w:t>concentration pre-pandemic</w:t>
            </w:r>
          </w:p>
        </w:tc>
        <w:tc>
          <w:tcPr>
            <w:tcW w:w="708" w:type="dxa"/>
          </w:tcPr>
          <w:p w14:paraId="49DF61E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56089278" w14:textId="77777777" w:rsidTr="00F44781">
        <w:tc>
          <w:tcPr>
            <w:tcW w:w="3681" w:type="dxa"/>
          </w:tcPr>
          <w:p w14:paraId="308DBEA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4961" w:type="dxa"/>
          </w:tcPr>
          <w:p w14:paraId="48D8CFD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outdoor PM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10 </w:t>
            </w:r>
            <w:r w:rsidRPr="00A26661">
              <w:rPr>
                <w:rFonts w:ascii="Times New Roman" w:hAnsi="Times New Roman" w:cs="Times New Roman"/>
              </w:rPr>
              <w:t>concentration pre-pandemic</w:t>
            </w:r>
          </w:p>
        </w:tc>
        <w:tc>
          <w:tcPr>
            <w:tcW w:w="708" w:type="dxa"/>
          </w:tcPr>
          <w:p w14:paraId="40AA082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38258BEC" w14:textId="77777777" w:rsidTr="00F44781">
        <w:tc>
          <w:tcPr>
            <w:tcW w:w="3681" w:type="dxa"/>
          </w:tcPr>
          <w:p w14:paraId="21E7E38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NO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4961" w:type="dxa"/>
          </w:tcPr>
          <w:p w14:paraId="58118FE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outdoor NO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2 </w:t>
            </w:r>
            <w:r w:rsidRPr="00A26661">
              <w:rPr>
                <w:rFonts w:ascii="Times New Roman" w:hAnsi="Times New Roman" w:cs="Times New Roman"/>
              </w:rPr>
              <w:t>concentration pre-pandemic</w:t>
            </w:r>
          </w:p>
        </w:tc>
        <w:tc>
          <w:tcPr>
            <w:tcW w:w="708" w:type="dxa"/>
          </w:tcPr>
          <w:p w14:paraId="34C9AE0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4EC6E948" w14:textId="77777777" w:rsidTr="00F44781">
        <w:tc>
          <w:tcPr>
            <w:tcW w:w="3681" w:type="dxa"/>
          </w:tcPr>
          <w:p w14:paraId="1375A69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4961" w:type="dxa"/>
          </w:tcPr>
          <w:p w14:paraId="2385B29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Long-term outdoor O</w:t>
            </w:r>
            <w:r w:rsidRPr="00A26661">
              <w:rPr>
                <w:rFonts w:ascii="Times New Roman" w:hAnsi="Times New Roman" w:cs="Times New Roman"/>
                <w:vertAlign w:val="subscript"/>
              </w:rPr>
              <w:t xml:space="preserve">3 </w:t>
            </w:r>
            <w:r w:rsidRPr="00A26661">
              <w:rPr>
                <w:rFonts w:ascii="Times New Roman" w:hAnsi="Times New Roman" w:cs="Times New Roman"/>
              </w:rPr>
              <w:t>concentration pre-pandemic</w:t>
            </w:r>
          </w:p>
        </w:tc>
        <w:tc>
          <w:tcPr>
            <w:tcW w:w="708" w:type="dxa"/>
          </w:tcPr>
          <w:p w14:paraId="5B22529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ug/m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57C05" w:rsidRPr="00A26661" w14:paraId="2664A3D9" w14:textId="77777777" w:rsidTr="00F44781">
        <w:tc>
          <w:tcPr>
            <w:tcW w:w="3681" w:type="dxa"/>
          </w:tcPr>
          <w:p w14:paraId="3FF0501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Temperature</w:t>
            </w:r>
          </w:p>
        </w:tc>
        <w:tc>
          <w:tcPr>
            <w:tcW w:w="4961" w:type="dxa"/>
          </w:tcPr>
          <w:p w14:paraId="013E440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Air temperature</w:t>
            </w:r>
          </w:p>
        </w:tc>
        <w:tc>
          <w:tcPr>
            <w:tcW w:w="708" w:type="dxa"/>
          </w:tcPr>
          <w:p w14:paraId="4CC46BB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deg C</w:t>
            </w:r>
          </w:p>
        </w:tc>
      </w:tr>
      <w:tr w:rsidR="00B57C05" w:rsidRPr="00A26661" w14:paraId="691FB5C8" w14:textId="77777777" w:rsidTr="00F44781">
        <w:tc>
          <w:tcPr>
            <w:tcW w:w="3681" w:type="dxa"/>
          </w:tcPr>
          <w:p w14:paraId="7DEE776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Relative Humidity</w:t>
            </w:r>
          </w:p>
        </w:tc>
        <w:tc>
          <w:tcPr>
            <w:tcW w:w="4961" w:type="dxa"/>
          </w:tcPr>
          <w:p w14:paraId="40676D6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Calculated relative humidity</w:t>
            </w:r>
          </w:p>
        </w:tc>
        <w:tc>
          <w:tcPr>
            <w:tcW w:w="708" w:type="dxa"/>
          </w:tcPr>
          <w:p w14:paraId="5ADCF13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4CC234DC" w14:textId="77777777" w:rsidTr="00F44781">
        <w:tc>
          <w:tcPr>
            <w:tcW w:w="3681" w:type="dxa"/>
          </w:tcPr>
          <w:p w14:paraId="008DA6D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Pressure</w:t>
            </w:r>
          </w:p>
        </w:tc>
        <w:tc>
          <w:tcPr>
            <w:tcW w:w="4961" w:type="dxa"/>
          </w:tcPr>
          <w:p w14:paraId="5545DF7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Mean sea level air pressure</w:t>
            </w:r>
          </w:p>
        </w:tc>
        <w:tc>
          <w:tcPr>
            <w:tcW w:w="708" w:type="dxa"/>
          </w:tcPr>
          <w:p w14:paraId="7499D66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26661">
              <w:rPr>
                <w:rFonts w:ascii="Times New Roman" w:hAnsi="Times New Roman" w:cs="Times New Roman"/>
              </w:rPr>
              <w:t>hPa</w:t>
            </w:r>
            <w:proofErr w:type="spellEnd"/>
          </w:p>
        </w:tc>
      </w:tr>
      <w:tr w:rsidR="00B57C05" w:rsidRPr="00A26661" w14:paraId="4BCAC5A5" w14:textId="77777777" w:rsidTr="00F44781">
        <w:tc>
          <w:tcPr>
            <w:tcW w:w="3681" w:type="dxa"/>
          </w:tcPr>
          <w:p w14:paraId="5172ABD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Wind Speed</w:t>
            </w:r>
          </w:p>
        </w:tc>
        <w:tc>
          <w:tcPr>
            <w:tcW w:w="4961" w:type="dxa"/>
          </w:tcPr>
          <w:p w14:paraId="37385C9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Wind speed</w:t>
            </w:r>
          </w:p>
        </w:tc>
        <w:tc>
          <w:tcPr>
            <w:tcW w:w="708" w:type="dxa"/>
          </w:tcPr>
          <w:p w14:paraId="0844A06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knot</w:t>
            </w:r>
          </w:p>
        </w:tc>
      </w:tr>
      <w:tr w:rsidR="00B57C05" w:rsidRPr="00A26661" w14:paraId="56DB198D" w14:textId="77777777" w:rsidTr="00F44781">
        <w:tc>
          <w:tcPr>
            <w:tcW w:w="3681" w:type="dxa"/>
          </w:tcPr>
          <w:p w14:paraId="3D0D1B3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Visibility</w:t>
            </w:r>
          </w:p>
        </w:tc>
        <w:tc>
          <w:tcPr>
            <w:tcW w:w="4961" w:type="dxa"/>
          </w:tcPr>
          <w:p w14:paraId="3AD8EEE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Visibility</w:t>
            </w:r>
          </w:p>
        </w:tc>
        <w:tc>
          <w:tcPr>
            <w:tcW w:w="708" w:type="dxa"/>
          </w:tcPr>
          <w:p w14:paraId="2F5123E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dam</w:t>
            </w:r>
          </w:p>
        </w:tc>
      </w:tr>
      <w:tr w:rsidR="00B57C05" w:rsidRPr="00A26661" w14:paraId="4E8773A7" w14:textId="77777777" w:rsidTr="00F44781">
        <w:tc>
          <w:tcPr>
            <w:tcW w:w="3681" w:type="dxa"/>
          </w:tcPr>
          <w:p w14:paraId="2E701EC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Sunshine</w:t>
            </w:r>
          </w:p>
        </w:tc>
        <w:tc>
          <w:tcPr>
            <w:tcW w:w="4961" w:type="dxa"/>
          </w:tcPr>
          <w:p w14:paraId="1E586E2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Sunshine duration</w:t>
            </w:r>
          </w:p>
        </w:tc>
        <w:tc>
          <w:tcPr>
            <w:tcW w:w="708" w:type="dxa"/>
          </w:tcPr>
          <w:p w14:paraId="41860C0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hour</w:t>
            </w:r>
          </w:p>
        </w:tc>
      </w:tr>
      <w:tr w:rsidR="00B57C05" w:rsidRPr="00A26661" w14:paraId="4E16D3A5" w14:textId="77777777" w:rsidTr="00F44781">
        <w:tc>
          <w:tcPr>
            <w:tcW w:w="3681" w:type="dxa"/>
          </w:tcPr>
          <w:p w14:paraId="3D6CC01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Cloud Amount</w:t>
            </w:r>
          </w:p>
        </w:tc>
        <w:tc>
          <w:tcPr>
            <w:tcW w:w="4961" w:type="dxa"/>
          </w:tcPr>
          <w:p w14:paraId="1011CD7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Total cloud amount</w:t>
            </w:r>
          </w:p>
        </w:tc>
        <w:tc>
          <w:tcPr>
            <w:tcW w:w="708" w:type="dxa"/>
          </w:tcPr>
          <w:p w14:paraId="1604B81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okta</w:t>
            </w:r>
          </w:p>
        </w:tc>
      </w:tr>
      <w:tr w:rsidR="00B57C05" w:rsidRPr="00A26661" w14:paraId="2AA097D9" w14:textId="77777777" w:rsidTr="00F44781">
        <w:tc>
          <w:tcPr>
            <w:tcW w:w="3681" w:type="dxa"/>
          </w:tcPr>
          <w:p w14:paraId="5CC24ED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Precipitation</w:t>
            </w:r>
          </w:p>
        </w:tc>
        <w:tc>
          <w:tcPr>
            <w:tcW w:w="4961" w:type="dxa"/>
          </w:tcPr>
          <w:p w14:paraId="255839A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Precipitation amount</w:t>
            </w:r>
          </w:p>
        </w:tc>
        <w:tc>
          <w:tcPr>
            <w:tcW w:w="708" w:type="dxa"/>
          </w:tcPr>
          <w:p w14:paraId="44A9369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mm</w:t>
            </w:r>
          </w:p>
        </w:tc>
      </w:tr>
      <w:tr w:rsidR="00B57C05" w:rsidRPr="00A26661" w14:paraId="66717EF1" w14:textId="77777777" w:rsidTr="00F44781">
        <w:tc>
          <w:tcPr>
            <w:tcW w:w="3681" w:type="dxa"/>
          </w:tcPr>
          <w:p w14:paraId="6DEE3AD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UV Index</w:t>
            </w:r>
          </w:p>
        </w:tc>
        <w:tc>
          <w:tcPr>
            <w:tcW w:w="4961" w:type="dxa"/>
          </w:tcPr>
          <w:p w14:paraId="67554B1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Ultraviolet radiation index</w:t>
            </w:r>
          </w:p>
        </w:tc>
        <w:tc>
          <w:tcPr>
            <w:tcW w:w="708" w:type="dxa"/>
          </w:tcPr>
          <w:p w14:paraId="4E2E6F5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060E511A" w14:textId="77777777" w:rsidTr="00F44781">
        <w:tc>
          <w:tcPr>
            <w:tcW w:w="3681" w:type="dxa"/>
          </w:tcPr>
          <w:p w14:paraId="2B1FE1C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Mobility (Retail &amp; Recreation)</w:t>
            </w:r>
          </w:p>
        </w:tc>
        <w:tc>
          <w:tcPr>
            <w:tcW w:w="4961" w:type="dxa"/>
          </w:tcPr>
          <w:p w14:paraId="0126782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retail and recreation from baseline</w:t>
            </w:r>
          </w:p>
        </w:tc>
        <w:tc>
          <w:tcPr>
            <w:tcW w:w="708" w:type="dxa"/>
          </w:tcPr>
          <w:p w14:paraId="3BDC1B4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5D5DAA21" w14:textId="77777777" w:rsidTr="00F44781">
        <w:tc>
          <w:tcPr>
            <w:tcW w:w="3681" w:type="dxa"/>
          </w:tcPr>
          <w:p w14:paraId="6E4A122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Mobility (Grocery &amp; Pharmacy)</w:t>
            </w:r>
          </w:p>
        </w:tc>
        <w:tc>
          <w:tcPr>
            <w:tcW w:w="4961" w:type="dxa"/>
          </w:tcPr>
          <w:p w14:paraId="2AA68B5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grocery and pharmacy from baseline</w:t>
            </w:r>
          </w:p>
        </w:tc>
        <w:tc>
          <w:tcPr>
            <w:tcW w:w="708" w:type="dxa"/>
          </w:tcPr>
          <w:p w14:paraId="523BDB6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133D9AE2" w14:textId="77777777" w:rsidTr="00F44781">
        <w:tc>
          <w:tcPr>
            <w:tcW w:w="3681" w:type="dxa"/>
          </w:tcPr>
          <w:p w14:paraId="6D54A36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Mobility (Parks)</w:t>
            </w:r>
          </w:p>
        </w:tc>
        <w:tc>
          <w:tcPr>
            <w:tcW w:w="4961" w:type="dxa"/>
          </w:tcPr>
          <w:p w14:paraId="630DAA7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parks from baseline</w:t>
            </w:r>
          </w:p>
        </w:tc>
        <w:tc>
          <w:tcPr>
            <w:tcW w:w="708" w:type="dxa"/>
          </w:tcPr>
          <w:p w14:paraId="1E508CF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4A134B76" w14:textId="77777777" w:rsidTr="00F44781">
        <w:tc>
          <w:tcPr>
            <w:tcW w:w="3681" w:type="dxa"/>
          </w:tcPr>
          <w:p w14:paraId="3D6B82D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Mobility (Transit Stations)</w:t>
            </w:r>
          </w:p>
        </w:tc>
        <w:tc>
          <w:tcPr>
            <w:tcW w:w="4961" w:type="dxa"/>
          </w:tcPr>
          <w:p w14:paraId="6086D7B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transit stations from baseline</w:t>
            </w:r>
          </w:p>
        </w:tc>
        <w:tc>
          <w:tcPr>
            <w:tcW w:w="708" w:type="dxa"/>
          </w:tcPr>
          <w:p w14:paraId="300EFD2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20BFE351" w14:textId="77777777" w:rsidTr="00F44781">
        <w:tc>
          <w:tcPr>
            <w:tcW w:w="3681" w:type="dxa"/>
          </w:tcPr>
          <w:p w14:paraId="6142DCD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Mobility (Workplaces)</w:t>
            </w:r>
          </w:p>
        </w:tc>
        <w:tc>
          <w:tcPr>
            <w:tcW w:w="4961" w:type="dxa"/>
          </w:tcPr>
          <w:p w14:paraId="5D1ED7F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workplaces from baseline</w:t>
            </w:r>
          </w:p>
        </w:tc>
        <w:tc>
          <w:tcPr>
            <w:tcW w:w="708" w:type="dxa"/>
          </w:tcPr>
          <w:p w14:paraId="034FA02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3543C2E0" w14:textId="77777777" w:rsidTr="00F44781">
        <w:tc>
          <w:tcPr>
            <w:tcW w:w="3681" w:type="dxa"/>
          </w:tcPr>
          <w:p w14:paraId="7C806A8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lastRenderedPageBreak/>
              <w:t>Mobility (Residential)</w:t>
            </w:r>
          </w:p>
        </w:tc>
        <w:tc>
          <w:tcPr>
            <w:tcW w:w="4961" w:type="dxa"/>
          </w:tcPr>
          <w:p w14:paraId="65838E3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change in residential from baseline</w:t>
            </w:r>
          </w:p>
        </w:tc>
        <w:tc>
          <w:tcPr>
            <w:tcW w:w="708" w:type="dxa"/>
          </w:tcPr>
          <w:p w14:paraId="02F2BCD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3D1E91E4" w14:textId="77777777" w:rsidTr="00F44781">
        <w:tc>
          <w:tcPr>
            <w:tcW w:w="3681" w:type="dxa"/>
          </w:tcPr>
          <w:p w14:paraId="0397D06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School Closure</w:t>
            </w:r>
          </w:p>
        </w:tc>
        <w:tc>
          <w:tcPr>
            <w:tcW w:w="4961" w:type="dxa"/>
          </w:tcPr>
          <w:p w14:paraId="72223B9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 closure, 2: require closure for some categories, and 3: require closure</w:t>
            </w:r>
          </w:p>
        </w:tc>
        <w:tc>
          <w:tcPr>
            <w:tcW w:w="708" w:type="dxa"/>
          </w:tcPr>
          <w:p w14:paraId="26559AC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13C04974" w14:textId="77777777" w:rsidTr="00F44781">
        <w:tc>
          <w:tcPr>
            <w:tcW w:w="3681" w:type="dxa"/>
          </w:tcPr>
          <w:p w14:paraId="58CF9F0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Workplace Closure</w:t>
            </w:r>
          </w:p>
        </w:tc>
        <w:tc>
          <w:tcPr>
            <w:tcW w:w="4961" w:type="dxa"/>
          </w:tcPr>
          <w:p w14:paraId="3013FEF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 closure, 2: require closure for some categories, and 3: require closure</w:t>
            </w:r>
          </w:p>
        </w:tc>
        <w:tc>
          <w:tcPr>
            <w:tcW w:w="708" w:type="dxa"/>
          </w:tcPr>
          <w:p w14:paraId="0A2A4C5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710E5394" w14:textId="77777777" w:rsidTr="00F44781">
        <w:tc>
          <w:tcPr>
            <w:tcW w:w="3681" w:type="dxa"/>
          </w:tcPr>
          <w:p w14:paraId="52CEAD6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Public Events Cancellation</w:t>
            </w:r>
          </w:p>
        </w:tc>
        <w:tc>
          <w:tcPr>
            <w:tcW w:w="4961" w:type="dxa"/>
          </w:tcPr>
          <w:p w14:paraId="5DDFF09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 canceling, and 2: require canceling</w:t>
            </w:r>
          </w:p>
        </w:tc>
        <w:tc>
          <w:tcPr>
            <w:tcW w:w="708" w:type="dxa"/>
          </w:tcPr>
          <w:p w14:paraId="731E6B7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0D8AE450" w14:textId="77777777" w:rsidTr="00F44781">
        <w:tc>
          <w:tcPr>
            <w:tcW w:w="3681" w:type="dxa"/>
          </w:tcPr>
          <w:p w14:paraId="4DA9456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Gatherings Restrictions</w:t>
            </w:r>
          </w:p>
        </w:tc>
        <w:tc>
          <w:tcPr>
            <w:tcW w:w="4961" w:type="dxa"/>
          </w:tcPr>
          <w:p w14:paraId="71D79AB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restrictions, 1: restrictions on very large gatherings (&gt; 1,000 people), 2: restrictions on gatherings between 101-1,000 people, 3: restrictions on gatherings between 11-100 people, and 4: restrictions on gatherings of 10 people or less</w:t>
            </w:r>
          </w:p>
        </w:tc>
        <w:tc>
          <w:tcPr>
            <w:tcW w:w="708" w:type="dxa"/>
          </w:tcPr>
          <w:p w14:paraId="7758323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3CF2ECD7" w14:textId="77777777" w:rsidTr="00F44781">
        <w:tc>
          <w:tcPr>
            <w:tcW w:w="3681" w:type="dxa"/>
          </w:tcPr>
          <w:p w14:paraId="2465887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Public Transport Closure</w:t>
            </w:r>
          </w:p>
        </w:tc>
        <w:tc>
          <w:tcPr>
            <w:tcW w:w="4961" w:type="dxa"/>
          </w:tcPr>
          <w:p w14:paraId="662FED1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 closure, and 2: require closure</w:t>
            </w:r>
          </w:p>
        </w:tc>
        <w:tc>
          <w:tcPr>
            <w:tcW w:w="708" w:type="dxa"/>
          </w:tcPr>
          <w:p w14:paraId="57A7018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4859C2CD" w14:textId="77777777" w:rsidTr="00F44781">
        <w:tc>
          <w:tcPr>
            <w:tcW w:w="3681" w:type="dxa"/>
          </w:tcPr>
          <w:p w14:paraId="4E74C88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Stay-at-home Requirements</w:t>
            </w:r>
          </w:p>
        </w:tc>
        <w:tc>
          <w:tcPr>
            <w:tcW w:w="4961" w:type="dxa"/>
          </w:tcPr>
          <w:p w14:paraId="713E97E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recommend, 2: require with exceptions, and 3: require with minimal exceptions</w:t>
            </w:r>
          </w:p>
        </w:tc>
        <w:tc>
          <w:tcPr>
            <w:tcW w:w="708" w:type="dxa"/>
          </w:tcPr>
          <w:p w14:paraId="095621C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7A4AF529" w14:textId="77777777" w:rsidTr="00F44781">
        <w:tc>
          <w:tcPr>
            <w:tcW w:w="3681" w:type="dxa"/>
          </w:tcPr>
          <w:p w14:paraId="36931C9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Internal Movement Restrictions</w:t>
            </w:r>
          </w:p>
        </w:tc>
        <w:tc>
          <w:tcPr>
            <w:tcW w:w="4961" w:type="dxa"/>
          </w:tcPr>
          <w:p w14:paraId="44BBEEA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recommend restrictions, and 2: require restrictions</w:t>
            </w:r>
          </w:p>
        </w:tc>
        <w:tc>
          <w:tcPr>
            <w:tcW w:w="708" w:type="dxa"/>
          </w:tcPr>
          <w:p w14:paraId="78C009F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3EA92E60" w14:textId="77777777" w:rsidTr="00F44781">
        <w:tc>
          <w:tcPr>
            <w:tcW w:w="3681" w:type="dxa"/>
          </w:tcPr>
          <w:p w14:paraId="28AC1B2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International Travel Controls</w:t>
            </w:r>
          </w:p>
        </w:tc>
        <w:tc>
          <w:tcPr>
            <w:tcW w:w="4961" w:type="dxa"/>
          </w:tcPr>
          <w:p w14:paraId="6D9AB1B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measures, 1: screening arrivals, 2: quarantine arrivals, 3: ban arrivals from some regions, and 4: total border closure</w:t>
            </w:r>
          </w:p>
        </w:tc>
        <w:tc>
          <w:tcPr>
            <w:tcW w:w="708" w:type="dxa"/>
          </w:tcPr>
          <w:p w14:paraId="62A0675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097805CA" w14:textId="77777777" w:rsidTr="00F44781">
        <w:tc>
          <w:tcPr>
            <w:tcW w:w="3681" w:type="dxa"/>
          </w:tcPr>
          <w:p w14:paraId="7B64F46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Contact Tracing</w:t>
            </w:r>
          </w:p>
        </w:tc>
        <w:tc>
          <w:tcPr>
            <w:tcW w:w="4961" w:type="dxa"/>
          </w:tcPr>
          <w:p w14:paraId="6B02452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0: no contact tracing, 1: limited contact tracing (not done for all cases), and 2: comprehensive contact tracing (done for all cases)</w:t>
            </w:r>
          </w:p>
        </w:tc>
        <w:tc>
          <w:tcPr>
            <w:tcW w:w="708" w:type="dxa"/>
          </w:tcPr>
          <w:p w14:paraId="5124BD1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  <w:tr w:rsidR="00B57C05" w:rsidRPr="00A26661" w14:paraId="580E32EC" w14:textId="77777777" w:rsidTr="00F44781">
        <w:tc>
          <w:tcPr>
            <w:tcW w:w="3681" w:type="dxa"/>
          </w:tcPr>
          <w:p w14:paraId="5C82BA5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Facial Coverings</w:t>
            </w:r>
          </w:p>
        </w:tc>
        <w:tc>
          <w:tcPr>
            <w:tcW w:w="4961" w:type="dxa"/>
          </w:tcPr>
          <w:p w14:paraId="1E33C95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 xml:space="preserve">0: no policy, 1: recommend, 2: require in some specific public spaces or some situations when social distancing is impossible, 3: require in all </w:t>
            </w:r>
            <w:r w:rsidRPr="00A26661">
              <w:rPr>
                <w:rFonts w:ascii="Times New Roman" w:hAnsi="Times New Roman" w:cs="Times New Roman"/>
              </w:rPr>
              <w:lastRenderedPageBreak/>
              <w:t xml:space="preserve">public spaces or all situations when social distancing is impossible, and 4: </w:t>
            </w:r>
            <w:proofErr w:type="gramStart"/>
            <w:r w:rsidRPr="00A26661">
              <w:rPr>
                <w:rFonts w:ascii="Times New Roman" w:hAnsi="Times New Roman" w:cs="Times New Roman"/>
              </w:rPr>
              <w:t>require at all times</w:t>
            </w:r>
            <w:proofErr w:type="gramEnd"/>
          </w:p>
        </w:tc>
        <w:tc>
          <w:tcPr>
            <w:tcW w:w="708" w:type="dxa"/>
          </w:tcPr>
          <w:p w14:paraId="43C0D73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lastRenderedPageBreak/>
              <w:t>NA</w:t>
            </w:r>
          </w:p>
        </w:tc>
      </w:tr>
      <w:tr w:rsidR="00B57C05" w:rsidRPr="00A26661" w14:paraId="4548CD5F" w14:textId="77777777" w:rsidTr="00F44781">
        <w:tc>
          <w:tcPr>
            <w:tcW w:w="3681" w:type="dxa"/>
          </w:tcPr>
          <w:p w14:paraId="33C479E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Young</w:t>
            </w:r>
          </w:p>
        </w:tc>
        <w:tc>
          <w:tcPr>
            <w:tcW w:w="4961" w:type="dxa"/>
          </w:tcPr>
          <w:p w14:paraId="13864C0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young people (0-19 years old)</w:t>
            </w:r>
          </w:p>
        </w:tc>
        <w:tc>
          <w:tcPr>
            <w:tcW w:w="708" w:type="dxa"/>
          </w:tcPr>
          <w:p w14:paraId="22201EC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528F1379" w14:textId="77777777" w:rsidTr="00F44781">
        <w:tc>
          <w:tcPr>
            <w:tcW w:w="3681" w:type="dxa"/>
          </w:tcPr>
          <w:p w14:paraId="14FB87A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Older</w:t>
            </w:r>
          </w:p>
        </w:tc>
        <w:tc>
          <w:tcPr>
            <w:tcW w:w="4961" w:type="dxa"/>
          </w:tcPr>
          <w:p w14:paraId="108F2EB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older people (≥ 65 years old)</w:t>
            </w:r>
          </w:p>
        </w:tc>
        <w:tc>
          <w:tcPr>
            <w:tcW w:w="708" w:type="dxa"/>
          </w:tcPr>
          <w:p w14:paraId="5FFEF1CC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178122B6" w14:textId="77777777" w:rsidTr="00F44781">
        <w:tc>
          <w:tcPr>
            <w:tcW w:w="3681" w:type="dxa"/>
          </w:tcPr>
          <w:p w14:paraId="55EAE62B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Male/Female Ratio</w:t>
            </w:r>
          </w:p>
        </w:tc>
        <w:tc>
          <w:tcPr>
            <w:tcW w:w="4961" w:type="dxa"/>
          </w:tcPr>
          <w:p w14:paraId="2F8CD7F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The ratio of male and female</w:t>
            </w:r>
          </w:p>
        </w:tc>
        <w:tc>
          <w:tcPr>
            <w:tcW w:w="708" w:type="dxa"/>
          </w:tcPr>
          <w:p w14:paraId="4945D82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25F321AF" w14:textId="77777777" w:rsidTr="00F44781">
        <w:tc>
          <w:tcPr>
            <w:tcW w:w="3681" w:type="dxa"/>
          </w:tcPr>
          <w:p w14:paraId="501D66D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Population Density</w:t>
            </w:r>
          </w:p>
        </w:tc>
        <w:tc>
          <w:tcPr>
            <w:tcW w:w="4961" w:type="dxa"/>
          </w:tcPr>
          <w:p w14:paraId="12FF7EA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Persons per hectare</w:t>
            </w:r>
          </w:p>
        </w:tc>
        <w:tc>
          <w:tcPr>
            <w:tcW w:w="708" w:type="dxa"/>
          </w:tcPr>
          <w:p w14:paraId="6EAAB51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ha</w:t>
            </w:r>
            <w:r w:rsidRPr="00A26661">
              <w:rPr>
                <w:rFonts w:ascii="Times New Roman" w:hAnsi="Times New Roman" w:cs="Times New Roman"/>
                <w:vertAlign w:val="superscript"/>
              </w:rPr>
              <w:t>-1</w:t>
            </w:r>
          </w:p>
        </w:tc>
      </w:tr>
      <w:tr w:rsidR="00B57C05" w:rsidRPr="00A26661" w14:paraId="7B2CDA50" w14:textId="77777777" w:rsidTr="00F44781">
        <w:tc>
          <w:tcPr>
            <w:tcW w:w="3681" w:type="dxa"/>
          </w:tcPr>
          <w:p w14:paraId="7B5FEBB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Black Population</w:t>
            </w:r>
          </w:p>
        </w:tc>
        <w:tc>
          <w:tcPr>
            <w:tcW w:w="4961" w:type="dxa"/>
          </w:tcPr>
          <w:p w14:paraId="29E2038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the black population</w:t>
            </w:r>
          </w:p>
        </w:tc>
        <w:tc>
          <w:tcPr>
            <w:tcW w:w="708" w:type="dxa"/>
          </w:tcPr>
          <w:p w14:paraId="5EAF03A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0F27C0AD" w14:textId="77777777" w:rsidTr="00F44781">
        <w:tc>
          <w:tcPr>
            <w:tcW w:w="3681" w:type="dxa"/>
          </w:tcPr>
          <w:p w14:paraId="02C0206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White Population</w:t>
            </w:r>
          </w:p>
        </w:tc>
        <w:tc>
          <w:tcPr>
            <w:tcW w:w="4961" w:type="dxa"/>
          </w:tcPr>
          <w:p w14:paraId="1FA8EF0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the white population</w:t>
            </w:r>
          </w:p>
        </w:tc>
        <w:tc>
          <w:tcPr>
            <w:tcW w:w="708" w:type="dxa"/>
          </w:tcPr>
          <w:p w14:paraId="2EE7D6C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482168A6" w14:textId="77777777" w:rsidTr="00F44781">
        <w:tc>
          <w:tcPr>
            <w:tcW w:w="3681" w:type="dxa"/>
          </w:tcPr>
          <w:p w14:paraId="031776A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Low Education</w:t>
            </w:r>
          </w:p>
        </w:tc>
        <w:tc>
          <w:tcPr>
            <w:tcW w:w="4961" w:type="dxa"/>
          </w:tcPr>
          <w:p w14:paraId="362FBB4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 of the low education population (no qualifications)</w:t>
            </w:r>
          </w:p>
        </w:tc>
        <w:tc>
          <w:tcPr>
            <w:tcW w:w="708" w:type="dxa"/>
          </w:tcPr>
          <w:p w14:paraId="6030B876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193642BC" w14:textId="77777777" w:rsidTr="00F44781">
        <w:tc>
          <w:tcPr>
            <w:tcW w:w="3681" w:type="dxa"/>
          </w:tcPr>
          <w:p w14:paraId="44B883B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Asthma Prevalence</w:t>
            </w:r>
          </w:p>
        </w:tc>
        <w:tc>
          <w:tcPr>
            <w:tcW w:w="4961" w:type="dxa"/>
          </w:tcPr>
          <w:p w14:paraId="75A1F46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Asthma prevalence</w:t>
            </w:r>
          </w:p>
        </w:tc>
        <w:tc>
          <w:tcPr>
            <w:tcW w:w="708" w:type="dxa"/>
          </w:tcPr>
          <w:p w14:paraId="6129BCA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22472391" w14:textId="77777777" w:rsidTr="00F44781">
        <w:tc>
          <w:tcPr>
            <w:tcW w:w="3681" w:type="dxa"/>
          </w:tcPr>
          <w:p w14:paraId="51AADC6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COPD Prevalence</w:t>
            </w:r>
          </w:p>
        </w:tc>
        <w:tc>
          <w:tcPr>
            <w:tcW w:w="4961" w:type="dxa"/>
          </w:tcPr>
          <w:p w14:paraId="22D5EE1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COPD prevalence</w:t>
            </w:r>
          </w:p>
        </w:tc>
        <w:tc>
          <w:tcPr>
            <w:tcW w:w="708" w:type="dxa"/>
          </w:tcPr>
          <w:p w14:paraId="041B318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224CC8F5" w14:textId="77777777" w:rsidTr="00F44781">
        <w:tc>
          <w:tcPr>
            <w:tcW w:w="3681" w:type="dxa"/>
          </w:tcPr>
          <w:p w14:paraId="1E2C354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Dementia Prevalence</w:t>
            </w:r>
          </w:p>
        </w:tc>
        <w:tc>
          <w:tcPr>
            <w:tcW w:w="4961" w:type="dxa"/>
          </w:tcPr>
          <w:p w14:paraId="21041F0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Dementia prevalence</w:t>
            </w:r>
          </w:p>
        </w:tc>
        <w:tc>
          <w:tcPr>
            <w:tcW w:w="708" w:type="dxa"/>
          </w:tcPr>
          <w:p w14:paraId="362771FD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4FB35CF1" w14:textId="77777777" w:rsidTr="00F44781">
        <w:tc>
          <w:tcPr>
            <w:tcW w:w="3681" w:type="dxa"/>
          </w:tcPr>
          <w:p w14:paraId="76C634D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Diabetes Prevalence</w:t>
            </w:r>
          </w:p>
        </w:tc>
        <w:tc>
          <w:tcPr>
            <w:tcW w:w="4961" w:type="dxa"/>
          </w:tcPr>
          <w:p w14:paraId="2CE72EFF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Diabetes prevalence</w:t>
            </w:r>
          </w:p>
        </w:tc>
        <w:tc>
          <w:tcPr>
            <w:tcW w:w="708" w:type="dxa"/>
          </w:tcPr>
          <w:p w14:paraId="3C02BA5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05E4F51C" w14:textId="77777777" w:rsidTr="00F44781">
        <w:tc>
          <w:tcPr>
            <w:tcW w:w="3681" w:type="dxa"/>
          </w:tcPr>
          <w:p w14:paraId="2F017260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Hypertension Prevalence</w:t>
            </w:r>
          </w:p>
        </w:tc>
        <w:tc>
          <w:tcPr>
            <w:tcW w:w="4961" w:type="dxa"/>
          </w:tcPr>
          <w:p w14:paraId="658DAB22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Hypertension prevalence</w:t>
            </w:r>
          </w:p>
        </w:tc>
        <w:tc>
          <w:tcPr>
            <w:tcW w:w="708" w:type="dxa"/>
          </w:tcPr>
          <w:p w14:paraId="06EB248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7CF8493A" w14:textId="77777777" w:rsidTr="00F44781">
        <w:tc>
          <w:tcPr>
            <w:tcW w:w="3681" w:type="dxa"/>
          </w:tcPr>
          <w:p w14:paraId="3B9BF12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Obesity Prevalence</w:t>
            </w:r>
          </w:p>
        </w:tc>
        <w:tc>
          <w:tcPr>
            <w:tcW w:w="4961" w:type="dxa"/>
          </w:tcPr>
          <w:p w14:paraId="687EADDE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Obesity prevalence</w:t>
            </w:r>
          </w:p>
        </w:tc>
        <w:tc>
          <w:tcPr>
            <w:tcW w:w="708" w:type="dxa"/>
          </w:tcPr>
          <w:p w14:paraId="5EE11BE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3DC04E26" w14:textId="77777777" w:rsidTr="00F44781">
        <w:tc>
          <w:tcPr>
            <w:tcW w:w="3681" w:type="dxa"/>
          </w:tcPr>
          <w:p w14:paraId="5C1E2DE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Stroke Prevalence</w:t>
            </w:r>
          </w:p>
        </w:tc>
        <w:tc>
          <w:tcPr>
            <w:tcW w:w="4961" w:type="dxa"/>
          </w:tcPr>
          <w:p w14:paraId="0CD2FBAA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Stroke prevalence</w:t>
            </w:r>
          </w:p>
        </w:tc>
        <w:tc>
          <w:tcPr>
            <w:tcW w:w="708" w:type="dxa"/>
          </w:tcPr>
          <w:p w14:paraId="150D63F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386353EA" w14:textId="77777777" w:rsidTr="00F44781">
        <w:tc>
          <w:tcPr>
            <w:tcW w:w="3681" w:type="dxa"/>
          </w:tcPr>
          <w:p w14:paraId="1582DEB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Smoking Prevalence</w:t>
            </w:r>
          </w:p>
        </w:tc>
        <w:tc>
          <w:tcPr>
            <w:tcW w:w="4961" w:type="dxa"/>
          </w:tcPr>
          <w:p w14:paraId="58A72DA8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Smoking prevalence</w:t>
            </w:r>
          </w:p>
        </w:tc>
        <w:tc>
          <w:tcPr>
            <w:tcW w:w="708" w:type="dxa"/>
          </w:tcPr>
          <w:p w14:paraId="208F66B1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516B42F0" w14:textId="77777777" w:rsidTr="00F44781">
        <w:tc>
          <w:tcPr>
            <w:tcW w:w="3681" w:type="dxa"/>
          </w:tcPr>
          <w:p w14:paraId="55971A03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HIV Prevalence</w:t>
            </w:r>
          </w:p>
        </w:tc>
        <w:tc>
          <w:tcPr>
            <w:tcW w:w="4961" w:type="dxa"/>
          </w:tcPr>
          <w:p w14:paraId="20CDD569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HIV prevalence (per 1,000 population)</w:t>
            </w:r>
          </w:p>
        </w:tc>
        <w:tc>
          <w:tcPr>
            <w:tcW w:w="708" w:type="dxa"/>
          </w:tcPr>
          <w:p w14:paraId="1380DB57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%</w:t>
            </w:r>
          </w:p>
        </w:tc>
      </w:tr>
      <w:tr w:rsidR="00B57C05" w:rsidRPr="00A26661" w14:paraId="21033BD4" w14:textId="77777777" w:rsidTr="00F44781">
        <w:tc>
          <w:tcPr>
            <w:tcW w:w="3681" w:type="dxa"/>
          </w:tcPr>
          <w:p w14:paraId="1AF3E31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Number of Available Hospital Beds</w:t>
            </w:r>
          </w:p>
        </w:tc>
        <w:tc>
          <w:tcPr>
            <w:tcW w:w="4961" w:type="dxa"/>
          </w:tcPr>
          <w:p w14:paraId="195B53B4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The number of available hospital beds</w:t>
            </w:r>
          </w:p>
        </w:tc>
        <w:tc>
          <w:tcPr>
            <w:tcW w:w="708" w:type="dxa"/>
          </w:tcPr>
          <w:p w14:paraId="5FA6E745" w14:textId="77777777" w:rsidR="00B57C05" w:rsidRPr="00A26661" w:rsidRDefault="00B57C05" w:rsidP="00F160AF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26661">
              <w:rPr>
                <w:rFonts w:ascii="Times New Roman" w:hAnsi="Times New Roman" w:cs="Times New Roman"/>
              </w:rPr>
              <w:t>NA</w:t>
            </w:r>
          </w:p>
        </w:tc>
      </w:tr>
    </w:tbl>
    <w:p w14:paraId="4759F9F3" w14:textId="77777777" w:rsidR="00AB469E" w:rsidRDefault="00AB469E" w:rsidP="00F160AF">
      <w:pPr>
        <w:spacing w:line="360" w:lineRule="auto"/>
        <w:rPr>
          <w:rFonts w:ascii="Times New Roman" w:hAnsi="Times New Roman" w:cs="Times New Roman"/>
        </w:rPr>
      </w:pPr>
    </w:p>
    <w:p w14:paraId="76800947" w14:textId="77777777" w:rsidR="004C5F21" w:rsidRPr="00A26661" w:rsidRDefault="004C5F21" w:rsidP="00F160AF">
      <w:pPr>
        <w:spacing w:line="360" w:lineRule="auto"/>
        <w:rPr>
          <w:rFonts w:ascii="Times New Roman" w:hAnsi="Times New Roman" w:cs="Times New Roman"/>
        </w:rPr>
      </w:pPr>
    </w:p>
    <w:p w14:paraId="021496BC" w14:textId="3005E133" w:rsidR="000C6859" w:rsidRPr="00A26661" w:rsidRDefault="00DA72D0" w:rsidP="0034460F">
      <w:pPr>
        <w:spacing w:line="360" w:lineRule="auto"/>
        <w:jc w:val="center"/>
        <w:rPr>
          <w:rFonts w:ascii="Times New Roman" w:hAnsi="Times New Roman" w:cs="Times New Roman"/>
        </w:rPr>
      </w:pPr>
      <w:r w:rsidRPr="00DA72D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C9D2E7A" wp14:editId="0C59DDEC">
            <wp:extent cx="5199530" cy="2267017"/>
            <wp:effectExtent l="0" t="0" r="0" b="6350"/>
            <wp:docPr id="2056864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642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8514" cy="227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75A05" w14:textId="49266ECC" w:rsidR="00D45B0B" w:rsidRDefault="000C6859" w:rsidP="00D45B0B">
      <w:pPr>
        <w:spacing w:line="360" w:lineRule="auto"/>
        <w:jc w:val="both"/>
        <w:rPr>
          <w:rFonts w:ascii="Times New Roman" w:hAnsi="Times New Roman" w:cs="Times New Roman"/>
          <w:iCs/>
          <w:lang w:val="en-HK"/>
        </w:rPr>
      </w:pPr>
      <w:bookmarkStart w:id="1" w:name="_Toc134013448"/>
      <w:r w:rsidRPr="00A26661">
        <w:rPr>
          <w:rFonts w:ascii="Times New Roman" w:hAnsi="Times New Roman" w:cs="Times New Roman"/>
          <w:b/>
          <w:bCs/>
          <w:iCs/>
          <w:lang w:val="en-HK"/>
        </w:rPr>
        <w:t>Figure S1.</w:t>
      </w:r>
      <w:r w:rsidRPr="00A26661">
        <w:rPr>
          <w:rFonts w:ascii="Times New Roman" w:hAnsi="Times New Roman" w:cs="Times New Roman"/>
          <w:iCs/>
          <w:lang w:val="en-HK"/>
        </w:rPr>
        <w:t xml:space="preserve"> Daily median public health policy intervention level at the country level (including England, Wales, Scotland, and Northern Ireland) in the UK</w:t>
      </w:r>
      <w:bookmarkEnd w:id="1"/>
      <w:r w:rsidRPr="00A26661">
        <w:rPr>
          <w:rFonts w:ascii="Times New Roman" w:hAnsi="Times New Roman" w:cs="Times New Roman"/>
          <w:iCs/>
          <w:lang w:val="en-HK"/>
        </w:rPr>
        <w:t>.</w:t>
      </w:r>
    </w:p>
    <w:p w14:paraId="49EE3376" w14:textId="77777777" w:rsidR="0034460F" w:rsidRPr="0034460F" w:rsidRDefault="0034460F" w:rsidP="00D45B0B">
      <w:pPr>
        <w:spacing w:line="360" w:lineRule="auto"/>
        <w:jc w:val="both"/>
        <w:rPr>
          <w:rFonts w:ascii="Times New Roman" w:hAnsi="Times New Roman" w:cs="Times New Roman"/>
          <w:iCs/>
          <w:lang w:val="en-HK"/>
        </w:rPr>
      </w:pPr>
    </w:p>
    <w:p w14:paraId="245E7FAB" w14:textId="41CA3FA6" w:rsidR="00AB469E" w:rsidRPr="00A26661" w:rsidRDefault="00AB469E" w:rsidP="00AB469E">
      <w:pPr>
        <w:spacing w:line="360" w:lineRule="auto"/>
        <w:jc w:val="center"/>
        <w:rPr>
          <w:rFonts w:ascii="Times New Roman" w:hAnsi="Times New Roman" w:cs="Times New Roman"/>
        </w:rPr>
      </w:pPr>
      <w:r w:rsidRPr="00A26661">
        <w:rPr>
          <w:rFonts w:ascii="Times New Roman" w:hAnsi="Times New Roman" w:cs="Times New Roman"/>
          <w:bCs/>
          <w:noProof/>
        </w:rPr>
        <w:drawing>
          <wp:inline distT="0" distB="0" distL="0" distR="0" wp14:anchorId="34E4AD9B" wp14:editId="4B375124">
            <wp:extent cx="2303433" cy="4278086"/>
            <wp:effectExtent l="0" t="0" r="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108" cy="428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6661">
        <w:rPr>
          <w:rFonts w:ascii="Times New Roman" w:hAnsi="Times New Roman" w:cs="Times New Roman"/>
          <w:noProof/>
        </w:rPr>
        <w:drawing>
          <wp:inline distT="0" distB="0" distL="0" distR="0" wp14:anchorId="06F88C10" wp14:editId="7E101D0C">
            <wp:extent cx="2304288" cy="4279673"/>
            <wp:effectExtent l="0" t="0" r="0" b="63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427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E9B77" w14:textId="2C77700B" w:rsidR="000C6859" w:rsidRPr="00A26661" w:rsidRDefault="000C6859" w:rsidP="000C6859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bookmarkStart w:id="2" w:name="_Toc129336085"/>
      <w:bookmarkStart w:id="3" w:name="_Toc134013449"/>
      <w:r w:rsidRPr="00A26661">
        <w:rPr>
          <w:rFonts w:ascii="Times New Roman" w:hAnsi="Times New Roman" w:cs="Times New Roman"/>
          <w:b/>
          <w:bCs/>
          <w:iCs/>
          <w:lang w:val="en-HK"/>
        </w:rPr>
        <w:t>Figure S2.</w:t>
      </w:r>
      <w:r w:rsidRPr="00A26661">
        <w:rPr>
          <w:rFonts w:ascii="Times New Roman" w:hAnsi="Times New Roman" w:cs="Times New Roman"/>
          <w:iCs/>
        </w:rPr>
        <w:t xml:space="preserve"> Population density and </w:t>
      </w:r>
      <w:r w:rsidRPr="00A26661">
        <w:rPr>
          <w:rFonts w:ascii="Times New Roman" w:hAnsi="Times New Roman" w:cs="Times New Roman"/>
          <w:bCs/>
          <w:iCs/>
        </w:rPr>
        <w:t>COVID-19 infection rate at the lower tier local authority (LTLA) level across the UK during the study period. Map visualizations were made using the EPSG:3857 Projected Coordinate System</w:t>
      </w:r>
      <w:bookmarkEnd w:id="2"/>
      <w:bookmarkEnd w:id="3"/>
      <w:r w:rsidRPr="00A26661">
        <w:rPr>
          <w:rFonts w:ascii="Times New Roman" w:hAnsi="Times New Roman" w:cs="Times New Roman"/>
          <w:bCs/>
          <w:iCs/>
        </w:rPr>
        <w:t>.</w:t>
      </w:r>
    </w:p>
    <w:p w14:paraId="69CA5603" w14:textId="02F037A8" w:rsidR="00A60EE9" w:rsidRPr="00A26661" w:rsidRDefault="00F8557F" w:rsidP="00A60EE9">
      <w:pPr>
        <w:spacing w:line="36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26661">
        <w:rPr>
          <w:rFonts w:ascii="Times New Roman" w:hAnsi="Times New Roman" w:cs="Times New Roman"/>
          <w:b/>
          <w:iCs/>
          <w:sz w:val="28"/>
          <w:szCs w:val="28"/>
        </w:rPr>
        <w:lastRenderedPageBreak/>
        <w:t>References</w:t>
      </w:r>
    </w:p>
    <w:p w14:paraId="0657C222" w14:textId="37D2E78A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Baltagi BH, Liu L. (2016). Random effects, fixed effects and Hausman's test for the generalized mixed regressive spatial autoregressive panel data model. Econometric Reviews, 35(4): 638-658. </w:t>
      </w:r>
    </w:p>
    <w:p w14:paraId="206E622A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Belyaeva A, Cammarata L, Radhakrishnan A et al. (2021). Causal network models of SARS-CoV-2 expression and aging to identify candidates for drug repurposing. Nature Communications, 12(1): 1024. </w:t>
      </w:r>
    </w:p>
    <w:p w14:paraId="64A2538A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Chickering DM. (2002). Optimal structure identification with greedy search. Journal of Machine Learning Research, 3(Nov): 507-554. </w:t>
      </w:r>
    </w:p>
    <w:p w14:paraId="3ACAB99C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Han Y, Lam JCK, Li VOK et al. (2021). Outdoor PM2.5 concentration and rate of change in COVID-19 infection in provincial capital cities in China. Scientific Reports, 11(1): 23206. </w:t>
      </w:r>
    </w:p>
    <w:p w14:paraId="7D8AE210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Lam W-Y, Andrews B, Ramsey J. (2022). Greedy relaxations of the sparsest permutation algorithm. Uncertainty in Artificial Intelligence, </w:t>
      </w:r>
    </w:p>
    <w:p w14:paraId="70FF9329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Löwe S, Madras D, Zemel R et al. (2022). Amortized causal discovery: Learning to infer causal graphs from time-series data. Conference on Causal Learning and Reasoning, </w:t>
      </w:r>
    </w:p>
    <w:p w14:paraId="52487C9A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Shimizu S, Inazumi T, Sogawa Y et al. (2011). DirectLiNGAM: A direct method for learning a linear non-Gaussian structural equation model. Journal of Machine Learning Research, 12(Apr): 1225-1248. </w:t>
      </w:r>
    </w:p>
    <w:p w14:paraId="4E65E479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Shojaie A, Michailidis G. (2010). Discovering graphical Granger causality using the truncating lasso penalty. Bioinformatics, 26(18): i517-i523. </w:t>
      </w:r>
    </w:p>
    <w:p w14:paraId="7064A967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>Spirtes P, Glymour CN, Scheines R et al. (2000). Causation, prediction, and search. MIT Press. Cambridge, MA</w:t>
      </w:r>
    </w:p>
    <w:p w14:paraId="60BCC2FA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Torrats-Espinosa G. (2021). Using machine learning to estimate the effect of racial segregation on COVID-19 mortality in the United States. Proceedings of the National Academy of Sciences, 118(7): e2015577118. </w:t>
      </w:r>
    </w:p>
    <w:p w14:paraId="0D72BF96" w14:textId="77777777" w:rsidR="00193039" w:rsidRPr="00A26661" w:rsidRDefault="00193039" w:rsidP="00193039">
      <w:pPr>
        <w:pStyle w:val="EndNoteBibliography"/>
        <w:ind w:left="720" w:hanging="720"/>
        <w:rPr>
          <w:noProof/>
        </w:rPr>
      </w:pPr>
      <w:r w:rsidRPr="00A26661">
        <w:rPr>
          <w:noProof/>
        </w:rPr>
        <w:t xml:space="preserve">Yan Y, Malik AA, Bayham J et al. (2021). Measuring voluntary and policy-induced social distancing behavior during the COVID-19 pandemic. Proceedings of the National Academy of Sciences, 118(16): e2008814118. </w:t>
      </w:r>
    </w:p>
    <w:p w14:paraId="47087D7F" w14:textId="5359D1D0" w:rsidR="000C6859" w:rsidRPr="00A26661" w:rsidRDefault="000C6859" w:rsidP="007C7F2F">
      <w:pPr>
        <w:spacing w:line="360" w:lineRule="auto"/>
        <w:jc w:val="both"/>
        <w:rPr>
          <w:rFonts w:ascii="Times New Roman" w:hAnsi="Times New Roman" w:cs="Times New Roman"/>
        </w:rPr>
      </w:pPr>
    </w:p>
    <w:sectPr w:rsidR="000C6859" w:rsidRPr="00A26661"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DDA30" w14:textId="77777777" w:rsidR="00BD3E0D" w:rsidRDefault="00BD3E0D" w:rsidP="003700F7">
      <w:r>
        <w:separator/>
      </w:r>
    </w:p>
  </w:endnote>
  <w:endnote w:type="continuationSeparator" w:id="0">
    <w:p w14:paraId="23124A70" w14:textId="77777777" w:rsidR="00BD3E0D" w:rsidRDefault="00BD3E0D" w:rsidP="003700F7">
      <w:r>
        <w:continuationSeparator/>
      </w:r>
    </w:p>
  </w:endnote>
  <w:endnote w:type="continuationNotice" w:id="1">
    <w:p w14:paraId="1820610D" w14:textId="77777777" w:rsidR="00BD3E0D" w:rsidRDefault="00BD3E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49992886"/>
      <w:docPartObj>
        <w:docPartGallery w:val="Page Numbers (Bottom of Page)"/>
        <w:docPartUnique/>
      </w:docPartObj>
    </w:sdtPr>
    <w:sdtContent>
      <w:p w14:paraId="56DE5526" w14:textId="0B1202DE" w:rsidR="003700F7" w:rsidRDefault="003700F7" w:rsidP="00F743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53AF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C7D25F" w14:textId="77777777" w:rsidR="003700F7" w:rsidRDefault="003700F7" w:rsidP="003700F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66043987"/>
      <w:docPartObj>
        <w:docPartGallery w:val="Page Numbers (Bottom of Page)"/>
        <w:docPartUnique/>
      </w:docPartObj>
    </w:sdtPr>
    <w:sdtContent>
      <w:p w14:paraId="606B573A" w14:textId="6EDA964C" w:rsidR="003700F7" w:rsidRDefault="003700F7" w:rsidP="00F7434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4E1AEA" w14:textId="77777777" w:rsidR="003700F7" w:rsidRDefault="003700F7" w:rsidP="003700F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117F6" w14:textId="77777777" w:rsidR="00BD3E0D" w:rsidRDefault="00BD3E0D" w:rsidP="003700F7">
      <w:r>
        <w:separator/>
      </w:r>
    </w:p>
  </w:footnote>
  <w:footnote w:type="continuationSeparator" w:id="0">
    <w:p w14:paraId="30DEBED9" w14:textId="77777777" w:rsidR="00BD3E0D" w:rsidRDefault="00BD3E0D" w:rsidP="003700F7">
      <w:r>
        <w:continuationSeparator/>
      </w:r>
    </w:p>
  </w:footnote>
  <w:footnote w:type="continuationNotice" w:id="1">
    <w:p w14:paraId="469A105E" w14:textId="77777777" w:rsidR="00BD3E0D" w:rsidRDefault="00BD3E0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removePersonalInformation/>
  <w:removeDateAndTime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umanities and Social Science Communication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2vasf29atfrmez9rnp5ztcdv059wdxw5te&quot;&gt;CovidUK&lt;record-ids&gt;&lt;item&gt;16&lt;/item&gt;&lt;item&gt;25&lt;/item&gt;&lt;item&gt;29&lt;/item&gt;&lt;item&gt;59&lt;/item&gt;&lt;item&gt;60&lt;/item&gt;&lt;item&gt;61&lt;/item&gt;&lt;item&gt;62&lt;/item&gt;&lt;item&gt;63&lt;/item&gt;&lt;item&gt;64&lt;/item&gt;&lt;item&gt;65&lt;/item&gt;&lt;item&gt;66&lt;/item&gt;&lt;/record-ids&gt;&lt;/item&gt;&lt;/Libraries&gt;"/>
    <w:docVar w:name="EN.UseJSCitationFormat" w:val="False"/>
  </w:docVars>
  <w:rsids>
    <w:rsidRoot w:val="00010268"/>
    <w:rsid w:val="0000380A"/>
    <w:rsid w:val="000055D6"/>
    <w:rsid w:val="0000612F"/>
    <w:rsid w:val="00010268"/>
    <w:rsid w:val="00011C9B"/>
    <w:rsid w:val="00012AB7"/>
    <w:rsid w:val="00013208"/>
    <w:rsid w:val="00017C33"/>
    <w:rsid w:val="0002268A"/>
    <w:rsid w:val="0002693A"/>
    <w:rsid w:val="00035BB9"/>
    <w:rsid w:val="00036F46"/>
    <w:rsid w:val="00041AD0"/>
    <w:rsid w:val="000478C7"/>
    <w:rsid w:val="00053127"/>
    <w:rsid w:val="00054399"/>
    <w:rsid w:val="00055498"/>
    <w:rsid w:val="000617BF"/>
    <w:rsid w:val="00065A0D"/>
    <w:rsid w:val="00067921"/>
    <w:rsid w:val="00071B21"/>
    <w:rsid w:val="00077041"/>
    <w:rsid w:val="000842EF"/>
    <w:rsid w:val="00084A3A"/>
    <w:rsid w:val="00087C3C"/>
    <w:rsid w:val="00092D70"/>
    <w:rsid w:val="00092F62"/>
    <w:rsid w:val="00096A8B"/>
    <w:rsid w:val="000A2CBD"/>
    <w:rsid w:val="000B1350"/>
    <w:rsid w:val="000B14C3"/>
    <w:rsid w:val="000B168A"/>
    <w:rsid w:val="000B22AA"/>
    <w:rsid w:val="000B5AA5"/>
    <w:rsid w:val="000C2600"/>
    <w:rsid w:val="000C2CFB"/>
    <w:rsid w:val="000C6859"/>
    <w:rsid w:val="000C6F86"/>
    <w:rsid w:val="000C7ED6"/>
    <w:rsid w:val="000D0EE7"/>
    <w:rsid w:val="000D4CD3"/>
    <w:rsid w:val="000E0EE3"/>
    <w:rsid w:val="000E7466"/>
    <w:rsid w:val="000F0756"/>
    <w:rsid w:val="000F136B"/>
    <w:rsid w:val="000F3985"/>
    <w:rsid w:val="000F3A39"/>
    <w:rsid w:val="00105867"/>
    <w:rsid w:val="00112940"/>
    <w:rsid w:val="00112D8F"/>
    <w:rsid w:val="001216A1"/>
    <w:rsid w:val="00124D37"/>
    <w:rsid w:val="00136FF2"/>
    <w:rsid w:val="00143716"/>
    <w:rsid w:val="0014470F"/>
    <w:rsid w:val="00155B49"/>
    <w:rsid w:val="00155CD3"/>
    <w:rsid w:val="0015674A"/>
    <w:rsid w:val="00157C91"/>
    <w:rsid w:val="0016611B"/>
    <w:rsid w:val="001666F7"/>
    <w:rsid w:val="0016764B"/>
    <w:rsid w:val="00170FD8"/>
    <w:rsid w:val="001738F6"/>
    <w:rsid w:val="00173FAF"/>
    <w:rsid w:val="00181B35"/>
    <w:rsid w:val="001841F1"/>
    <w:rsid w:val="00187E7C"/>
    <w:rsid w:val="00193039"/>
    <w:rsid w:val="001939C7"/>
    <w:rsid w:val="00195A53"/>
    <w:rsid w:val="001A0677"/>
    <w:rsid w:val="001A1299"/>
    <w:rsid w:val="001A7D71"/>
    <w:rsid w:val="001B0681"/>
    <w:rsid w:val="001E7872"/>
    <w:rsid w:val="002050AE"/>
    <w:rsid w:val="00210CC0"/>
    <w:rsid w:val="00210F69"/>
    <w:rsid w:val="002139A6"/>
    <w:rsid w:val="00216BA9"/>
    <w:rsid w:val="00216F43"/>
    <w:rsid w:val="002203C2"/>
    <w:rsid w:val="00222792"/>
    <w:rsid w:val="00230DA1"/>
    <w:rsid w:val="0023149C"/>
    <w:rsid w:val="00231D55"/>
    <w:rsid w:val="00236974"/>
    <w:rsid w:val="0024050D"/>
    <w:rsid w:val="00241F58"/>
    <w:rsid w:val="00243B26"/>
    <w:rsid w:val="00246559"/>
    <w:rsid w:val="002510BB"/>
    <w:rsid w:val="00252EEE"/>
    <w:rsid w:val="00261F14"/>
    <w:rsid w:val="002641D0"/>
    <w:rsid w:val="00265764"/>
    <w:rsid w:val="002766AE"/>
    <w:rsid w:val="00277818"/>
    <w:rsid w:val="002806C7"/>
    <w:rsid w:val="002851B6"/>
    <w:rsid w:val="00290054"/>
    <w:rsid w:val="00290300"/>
    <w:rsid w:val="00290F01"/>
    <w:rsid w:val="00294538"/>
    <w:rsid w:val="002977B8"/>
    <w:rsid w:val="002A0E35"/>
    <w:rsid w:val="002A156D"/>
    <w:rsid w:val="002A1A82"/>
    <w:rsid w:val="002A74DC"/>
    <w:rsid w:val="002C0B5A"/>
    <w:rsid w:val="002C2D31"/>
    <w:rsid w:val="002E1FCA"/>
    <w:rsid w:val="002E5108"/>
    <w:rsid w:val="002E7EB6"/>
    <w:rsid w:val="002F37CB"/>
    <w:rsid w:val="002F792A"/>
    <w:rsid w:val="00306E51"/>
    <w:rsid w:val="00311292"/>
    <w:rsid w:val="00311303"/>
    <w:rsid w:val="00315D00"/>
    <w:rsid w:val="0031644A"/>
    <w:rsid w:val="0032133F"/>
    <w:rsid w:val="003221D5"/>
    <w:rsid w:val="00340314"/>
    <w:rsid w:val="00343B5D"/>
    <w:rsid w:val="003443A8"/>
    <w:rsid w:val="0034460F"/>
    <w:rsid w:val="00351255"/>
    <w:rsid w:val="003517E1"/>
    <w:rsid w:val="00353A8D"/>
    <w:rsid w:val="00353EAA"/>
    <w:rsid w:val="00357F36"/>
    <w:rsid w:val="00361105"/>
    <w:rsid w:val="00366A53"/>
    <w:rsid w:val="003700F7"/>
    <w:rsid w:val="003705CF"/>
    <w:rsid w:val="00381581"/>
    <w:rsid w:val="00382F62"/>
    <w:rsid w:val="00383725"/>
    <w:rsid w:val="00392CD3"/>
    <w:rsid w:val="003976FB"/>
    <w:rsid w:val="003A1749"/>
    <w:rsid w:val="003A7DED"/>
    <w:rsid w:val="003B0217"/>
    <w:rsid w:val="003B4483"/>
    <w:rsid w:val="003D41A8"/>
    <w:rsid w:val="003E1505"/>
    <w:rsid w:val="003E24E7"/>
    <w:rsid w:val="003E6430"/>
    <w:rsid w:val="003E6B65"/>
    <w:rsid w:val="003E7CBA"/>
    <w:rsid w:val="003F3C23"/>
    <w:rsid w:val="00402008"/>
    <w:rsid w:val="0040425F"/>
    <w:rsid w:val="004062F1"/>
    <w:rsid w:val="00411306"/>
    <w:rsid w:val="00414B45"/>
    <w:rsid w:val="00417E06"/>
    <w:rsid w:val="00422CA8"/>
    <w:rsid w:val="004273A5"/>
    <w:rsid w:val="00430C20"/>
    <w:rsid w:val="0043547C"/>
    <w:rsid w:val="00444364"/>
    <w:rsid w:val="00444586"/>
    <w:rsid w:val="004450BE"/>
    <w:rsid w:val="0044610E"/>
    <w:rsid w:val="00447326"/>
    <w:rsid w:val="00447646"/>
    <w:rsid w:val="0045015C"/>
    <w:rsid w:val="004567A2"/>
    <w:rsid w:val="004632D6"/>
    <w:rsid w:val="00464891"/>
    <w:rsid w:val="004800CC"/>
    <w:rsid w:val="004857EB"/>
    <w:rsid w:val="00494692"/>
    <w:rsid w:val="0049681A"/>
    <w:rsid w:val="004978A7"/>
    <w:rsid w:val="004B4BC8"/>
    <w:rsid w:val="004C1099"/>
    <w:rsid w:val="004C35C7"/>
    <w:rsid w:val="004C5F21"/>
    <w:rsid w:val="004C7B1B"/>
    <w:rsid w:val="004E0207"/>
    <w:rsid w:val="004E2053"/>
    <w:rsid w:val="004E3F7A"/>
    <w:rsid w:val="004E66EE"/>
    <w:rsid w:val="004F72E0"/>
    <w:rsid w:val="0050464E"/>
    <w:rsid w:val="005060FD"/>
    <w:rsid w:val="005071FD"/>
    <w:rsid w:val="00514658"/>
    <w:rsid w:val="00515EFD"/>
    <w:rsid w:val="00521ADC"/>
    <w:rsid w:val="00525044"/>
    <w:rsid w:val="00530A78"/>
    <w:rsid w:val="005321B5"/>
    <w:rsid w:val="00536A6A"/>
    <w:rsid w:val="00542DEC"/>
    <w:rsid w:val="0054416F"/>
    <w:rsid w:val="005522EB"/>
    <w:rsid w:val="0055549D"/>
    <w:rsid w:val="00556092"/>
    <w:rsid w:val="0056309F"/>
    <w:rsid w:val="0056396B"/>
    <w:rsid w:val="0056586E"/>
    <w:rsid w:val="00567D00"/>
    <w:rsid w:val="005707DD"/>
    <w:rsid w:val="005722ED"/>
    <w:rsid w:val="0057282E"/>
    <w:rsid w:val="00575F41"/>
    <w:rsid w:val="00582681"/>
    <w:rsid w:val="005847CA"/>
    <w:rsid w:val="00590392"/>
    <w:rsid w:val="005935EE"/>
    <w:rsid w:val="005A726C"/>
    <w:rsid w:val="005B1AB9"/>
    <w:rsid w:val="005C21DE"/>
    <w:rsid w:val="005C4E96"/>
    <w:rsid w:val="005D4E81"/>
    <w:rsid w:val="005F4B7E"/>
    <w:rsid w:val="005F7C0F"/>
    <w:rsid w:val="0060122D"/>
    <w:rsid w:val="0060369F"/>
    <w:rsid w:val="006070A3"/>
    <w:rsid w:val="00607F8E"/>
    <w:rsid w:val="00610E4A"/>
    <w:rsid w:val="00611E04"/>
    <w:rsid w:val="00622FBB"/>
    <w:rsid w:val="00626FDF"/>
    <w:rsid w:val="00643A47"/>
    <w:rsid w:val="00646572"/>
    <w:rsid w:val="00647315"/>
    <w:rsid w:val="00650E2B"/>
    <w:rsid w:val="00650E34"/>
    <w:rsid w:val="00654CFD"/>
    <w:rsid w:val="006563CC"/>
    <w:rsid w:val="006650D3"/>
    <w:rsid w:val="00666DB9"/>
    <w:rsid w:val="00671188"/>
    <w:rsid w:val="00680CD2"/>
    <w:rsid w:val="00683C9E"/>
    <w:rsid w:val="006870B6"/>
    <w:rsid w:val="006909C1"/>
    <w:rsid w:val="00690AC4"/>
    <w:rsid w:val="00694F82"/>
    <w:rsid w:val="006B0BD0"/>
    <w:rsid w:val="006B1BF6"/>
    <w:rsid w:val="006B2B05"/>
    <w:rsid w:val="006B4807"/>
    <w:rsid w:val="006D45D5"/>
    <w:rsid w:val="006D4E9A"/>
    <w:rsid w:val="006E76F7"/>
    <w:rsid w:val="006F1839"/>
    <w:rsid w:val="006F27B4"/>
    <w:rsid w:val="00714DDB"/>
    <w:rsid w:val="0071791F"/>
    <w:rsid w:val="0073188A"/>
    <w:rsid w:val="00741716"/>
    <w:rsid w:val="007458A3"/>
    <w:rsid w:val="00745935"/>
    <w:rsid w:val="00751C9A"/>
    <w:rsid w:val="007561CE"/>
    <w:rsid w:val="0076522A"/>
    <w:rsid w:val="00771008"/>
    <w:rsid w:val="00772BF1"/>
    <w:rsid w:val="00775027"/>
    <w:rsid w:val="00786C01"/>
    <w:rsid w:val="007875E6"/>
    <w:rsid w:val="00787A3D"/>
    <w:rsid w:val="0079679F"/>
    <w:rsid w:val="00797CFA"/>
    <w:rsid w:val="007A1F48"/>
    <w:rsid w:val="007A7BC8"/>
    <w:rsid w:val="007B1E3B"/>
    <w:rsid w:val="007C0421"/>
    <w:rsid w:val="007C42CD"/>
    <w:rsid w:val="007C7F2F"/>
    <w:rsid w:val="007D71CB"/>
    <w:rsid w:val="007E18A9"/>
    <w:rsid w:val="007E2E93"/>
    <w:rsid w:val="007E7420"/>
    <w:rsid w:val="007F75C2"/>
    <w:rsid w:val="0081353D"/>
    <w:rsid w:val="008170A4"/>
    <w:rsid w:val="008221E7"/>
    <w:rsid w:val="00826F0B"/>
    <w:rsid w:val="008271B1"/>
    <w:rsid w:val="00833258"/>
    <w:rsid w:val="008358CB"/>
    <w:rsid w:val="008418E9"/>
    <w:rsid w:val="00844A35"/>
    <w:rsid w:val="0084599C"/>
    <w:rsid w:val="00845F9F"/>
    <w:rsid w:val="00856801"/>
    <w:rsid w:val="00862C02"/>
    <w:rsid w:val="00863E3D"/>
    <w:rsid w:val="00867DA7"/>
    <w:rsid w:val="00871E4E"/>
    <w:rsid w:val="00875EC9"/>
    <w:rsid w:val="008823A1"/>
    <w:rsid w:val="0088513A"/>
    <w:rsid w:val="00886113"/>
    <w:rsid w:val="008869DD"/>
    <w:rsid w:val="0088716A"/>
    <w:rsid w:val="00895099"/>
    <w:rsid w:val="00895124"/>
    <w:rsid w:val="0089788B"/>
    <w:rsid w:val="00897FE6"/>
    <w:rsid w:val="008A3F1D"/>
    <w:rsid w:val="008B362E"/>
    <w:rsid w:val="008C2E0C"/>
    <w:rsid w:val="008C39E0"/>
    <w:rsid w:val="008C5E02"/>
    <w:rsid w:val="008C7D0D"/>
    <w:rsid w:val="008D1324"/>
    <w:rsid w:val="008D4FB2"/>
    <w:rsid w:val="008D6192"/>
    <w:rsid w:val="008D6B34"/>
    <w:rsid w:val="008E5164"/>
    <w:rsid w:val="008E5DFA"/>
    <w:rsid w:val="008F28EB"/>
    <w:rsid w:val="008F3B8D"/>
    <w:rsid w:val="008F431D"/>
    <w:rsid w:val="00907E6C"/>
    <w:rsid w:val="009107E9"/>
    <w:rsid w:val="00914032"/>
    <w:rsid w:val="00916372"/>
    <w:rsid w:val="00916AA9"/>
    <w:rsid w:val="00920493"/>
    <w:rsid w:val="00923E1E"/>
    <w:rsid w:val="00924E7F"/>
    <w:rsid w:val="00930CD3"/>
    <w:rsid w:val="00941990"/>
    <w:rsid w:val="0094531E"/>
    <w:rsid w:val="0095241D"/>
    <w:rsid w:val="00953AFF"/>
    <w:rsid w:val="0096204A"/>
    <w:rsid w:val="00962EA5"/>
    <w:rsid w:val="00975B2E"/>
    <w:rsid w:val="009760F8"/>
    <w:rsid w:val="00980B85"/>
    <w:rsid w:val="0099047C"/>
    <w:rsid w:val="009904C5"/>
    <w:rsid w:val="00990D54"/>
    <w:rsid w:val="009913E5"/>
    <w:rsid w:val="00991520"/>
    <w:rsid w:val="00997BA2"/>
    <w:rsid w:val="009B3AB5"/>
    <w:rsid w:val="009B56C8"/>
    <w:rsid w:val="009B631B"/>
    <w:rsid w:val="009B7635"/>
    <w:rsid w:val="009C2EDF"/>
    <w:rsid w:val="009C352D"/>
    <w:rsid w:val="009D5E1C"/>
    <w:rsid w:val="009D6685"/>
    <w:rsid w:val="009E1268"/>
    <w:rsid w:val="009E5052"/>
    <w:rsid w:val="009E559B"/>
    <w:rsid w:val="009E567E"/>
    <w:rsid w:val="009E784B"/>
    <w:rsid w:val="009F5F09"/>
    <w:rsid w:val="009F7A88"/>
    <w:rsid w:val="00A005F4"/>
    <w:rsid w:val="00A02C9F"/>
    <w:rsid w:val="00A10194"/>
    <w:rsid w:val="00A1215A"/>
    <w:rsid w:val="00A15489"/>
    <w:rsid w:val="00A15F66"/>
    <w:rsid w:val="00A1699E"/>
    <w:rsid w:val="00A17C12"/>
    <w:rsid w:val="00A26661"/>
    <w:rsid w:val="00A3309C"/>
    <w:rsid w:val="00A376C8"/>
    <w:rsid w:val="00A40765"/>
    <w:rsid w:val="00A4682A"/>
    <w:rsid w:val="00A50C74"/>
    <w:rsid w:val="00A55D5A"/>
    <w:rsid w:val="00A55FBC"/>
    <w:rsid w:val="00A5694F"/>
    <w:rsid w:val="00A60EE9"/>
    <w:rsid w:val="00A60F66"/>
    <w:rsid w:val="00A61EE9"/>
    <w:rsid w:val="00A629DF"/>
    <w:rsid w:val="00A63DD2"/>
    <w:rsid w:val="00A70DAA"/>
    <w:rsid w:val="00A7559C"/>
    <w:rsid w:val="00A814FE"/>
    <w:rsid w:val="00A860EF"/>
    <w:rsid w:val="00A9215E"/>
    <w:rsid w:val="00A95F13"/>
    <w:rsid w:val="00AA2892"/>
    <w:rsid w:val="00AA3F6A"/>
    <w:rsid w:val="00AA54E8"/>
    <w:rsid w:val="00AB45B0"/>
    <w:rsid w:val="00AB469E"/>
    <w:rsid w:val="00AB4CD0"/>
    <w:rsid w:val="00AB7E96"/>
    <w:rsid w:val="00AC1EF1"/>
    <w:rsid w:val="00AC2021"/>
    <w:rsid w:val="00AC22EF"/>
    <w:rsid w:val="00AC6FC7"/>
    <w:rsid w:val="00AD72F6"/>
    <w:rsid w:val="00AE13BE"/>
    <w:rsid w:val="00B028DE"/>
    <w:rsid w:val="00B07A68"/>
    <w:rsid w:val="00B1140D"/>
    <w:rsid w:val="00B126D3"/>
    <w:rsid w:val="00B22619"/>
    <w:rsid w:val="00B23987"/>
    <w:rsid w:val="00B24CF9"/>
    <w:rsid w:val="00B2569E"/>
    <w:rsid w:val="00B25D53"/>
    <w:rsid w:val="00B42D5F"/>
    <w:rsid w:val="00B43EEA"/>
    <w:rsid w:val="00B523A2"/>
    <w:rsid w:val="00B57369"/>
    <w:rsid w:val="00B57C05"/>
    <w:rsid w:val="00B66153"/>
    <w:rsid w:val="00B738D7"/>
    <w:rsid w:val="00B747E4"/>
    <w:rsid w:val="00B75831"/>
    <w:rsid w:val="00B77595"/>
    <w:rsid w:val="00B823C2"/>
    <w:rsid w:val="00B82476"/>
    <w:rsid w:val="00B8291F"/>
    <w:rsid w:val="00B83D74"/>
    <w:rsid w:val="00B84053"/>
    <w:rsid w:val="00B87056"/>
    <w:rsid w:val="00B87FCE"/>
    <w:rsid w:val="00B936BE"/>
    <w:rsid w:val="00B941F2"/>
    <w:rsid w:val="00BA42C4"/>
    <w:rsid w:val="00BC144C"/>
    <w:rsid w:val="00BD2ED1"/>
    <w:rsid w:val="00BD3E0D"/>
    <w:rsid w:val="00BD65D5"/>
    <w:rsid w:val="00BD7363"/>
    <w:rsid w:val="00BE1A8D"/>
    <w:rsid w:val="00BE2501"/>
    <w:rsid w:val="00BE25B3"/>
    <w:rsid w:val="00BE2B56"/>
    <w:rsid w:val="00BE7F8C"/>
    <w:rsid w:val="00BF0697"/>
    <w:rsid w:val="00BF3575"/>
    <w:rsid w:val="00BF3B1E"/>
    <w:rsid w:val="00BF5177"/>
    <w:rsid w:val="00BF6881"/>
    <w:rsid w:val="00C00A8A"/>
    <w:rsid w:val="00C01BFF"/>
    <w:rsid w:val="00C024F3"/>
    <w:rsid w:val="00C037BD"/>
    <w:rsid w:val="00C10879"/>
    <w:rsid w:val="00C15230"/>
    <w:rsid w:val="00C16B19"/>
    <w:rsid w:val="00C17A44"/>
    <w:rsid w:val="00C17F64"/>
    <w:rsid w:val="00C22195"/>
    <w:rsid w:val="00C234CE"/>
    <w:rsid w:val="00C3154D"/>
    <w:rsid w:val="00C339D4"/>
    <w:rsid w:val="00C35144"/>
    <w:rsid w:val="00C362A1"/>
    <w:rsid w:val="00C40E02"/>
    <w:rsid w:val="00C463D0"/>
    <w:rsid w:val="00C46AB0"/>
    <w:rsid w:val="00C47846"/>
    <w:rsid w:val="00C47984"/>
    <w:rsid w:val="00C560BD"/>
    <w:rsid w:val="00C5737C"/>
    <w:rsid w:val="00C60388"/>
    <w:rsid w:val="00C72CF5"/>
    <w:rsid w:val="00C72D39"/>
    <w:rsid w:val="00C74357"/>
    <w:rsid w:val="00C7534E"/>
    <w:rsid w:val="00C76424"/>
    <w:rsid w:val="00C92BF9"/>
    <w:rsid w:val="00C94ADC"/>
    <w:rsid w:val="00C96166"/>
    <w:rsid w:val="00CA0F68"/>
    <w:rsid w:val="00CA2F65"/>
    <w:rsid w:val="00CB1E5C"/>
    <w:rsid w:val="00CB2731"/>
    <w:rsid w:val="00CB38D6"/>
    <w:rsid w:val="00CB6971"/>
    <w:rsid w:val="00CC0EED"/>
    <w:rsid w:val="00CC2152"/>
    <w:rsid w:val="00CC6E61"/>
    <w:rsid w:val="00CD2264"/>
    <w:rsid w:val="00CD6D28"/>
    <w:rsid w:val="00CE07EB"/>
    <w:rsid w:val="00CE20BB"/>
    <w:rsid w:val="00CF374D"/>
    <w:rsid w:val="00D022A1"/>
    <w:rsid w:val="00D02B55"/>
    <w:rsid w:val="00D05546"/>
    <w:rsid w:val="00D06085"/>
    <w:rsid w:val="00D23E19"/>
    <w:rsid w:val="00D2443D"/>
    <w:rsid w:val="00D27299"/>
    <w:rsid w:val="00D30138"/>
    <w:rsid w:val="00D30F48"/>
    <w:rsid w:val="00D31492"/>
    <w:rsid w:val="00D40D80"/>
    <w:rsid w:val="00D45026"/>
    <w:rsid w:val="00D45B0B"/>
    <w:rsid w:val="00D65E89"/>
    <w:rsid w:val="00D66AF7"/>
    <w:rsid w:val="00D66D35"/>
    <w:rsid w:val="00D67569"/>
    <w:rsid w:val="00D726F7"/>
    <w:rsid w:val="00D72993"/>
    <w:rsid w:val="00D72CBE"/>
    <w:rsid w:val="00D86E5B"/>
    <w:rsid w:val="00D870B0"/>
    <w:rsid w:val="00D876ED"/>
    <w:rsid w:val="00D93350"/>
    <w:rsid w:val="00D9574F"/>
    <w:rsid w:val="00D973BB"/>
    <w:rsid w:val="00DA1494"/>
    <w:rsid w:val="00DA1E8F"/>
    <w:rsid w:val="00DA4CFC"/>
    <w:rsid w:val="00DA72D0"/>
    <w:rsid w:val="00DB199D"/>
    <w:rsid w:val="00DB25E9"/>
    <w:rsid w:val="00DB430B"/>
    <w:rsid w:val="00DB5267"/>
    <w:rsid w:val="00DC35C5"/>
    <w:rsid w:val="00DC7BEB"/>
    <w:rsid w:val="00DD4328"/>
    <w:rsid w:val="00DD7C44"/>
    <w:rsid w:val="00DE0145"/>
    <w:rsid w:val="00DE5E72"/>
    <w:rsid w:val="00DF42A2"/>
    <w:rsid w:val="00DF673B"/>
    <w:rsid w:val="00E01967"/>
    <w:rsid w:val="00E028D4"/>
    <w:rsid w:val="00E03D28"/>
    <w:rsid w:val="00E0464B"/>
    <w:rsid w:val="00E1116A"/>
    <w:rsid w:val="00E13B5B"/>
    <w:rsid w:val="00E15FB0"/>
    <w:rsid w:val="00E23A02"/>
    <w:rsid w:val="00E303DC"/>
    <w:rsid w:val="00E314A7"/>
    <w:rsid w:val="00E3178E"/>
    <w:rsid w:val="00E3223D"/>
    <w:rsid w:val="00E32951"/>
    <w:rsid w:val="00E33A6A"/>
    <w:rsid w:val="00E368EB"/>
    <w:rsid w:val="00E4271D"/>
    <w:rsid w:val="00E51759"/>
    <w:rsid w:val="00E54C66"/>
    <w:rsid w:val="00E57E64"/>
    <w:rsid w:val="00E60EDA"/>
    <w:rsid w:val="00E6298C"/>
    <w:rsid w:val="00E6633C"/>
    <w:rsid w:val="00E67D15"/>
    <w:rsid w:val="00E7418A"/>
    <w:rsid w:val="00E87119"/>
    <w:rsid w:val="00E87289"/>
    <w:rsid w:val="00E9589B"/>
    <w:rsid w:val="00EA1C71"/>
    <w:rsid w:val="00EA6ABB"/>
    <w:rsid w:val="00EA7CB4"/>
    <w:rsid w:val="00EB6941"/>
    <w:rsid w:val="00EB75A7"/>
    <w:rsid w:val="00ED0C8C"/>
    <w:rsid w:val="00ED4EE7"/>
    <w:rsid w:val="00EE554D"/>
    <w:rsid w:val="00EF0EF8"/>
    <w:rsid w:val="00EF7094"/>
    <w:rsid w:val="00F05826"/>
    <w:rsid w:val="00F07227"/>
    <w:rsid w:val="00F105EB"/>
    <w:rsid w:val="00F1278B"/>
    <w:rsid w:val="00F13246"/>
    <w:rsid w:val="00F143F1"/>
    <w:rsid w:val="00F15998"/>
    <w:rsid w:val="00F160AF"/>
    <w:rsid w:val="00F2102F"/>
    <w:rsid w:val="00F236FC"/>
    <w:rsid w:val="00F24FE6"/>
    <w:rsid w:val="00F25227"/>
    <w:rsid w:val="00F328A9"/>
    <w:rsid w:val="00F356F4"/>
    <w:rsid w:val="00F3645A"/>
    <w:rsid w:val="00F43704"/>
    <w:rsid w:val="00F44C1F"/>
    <w:rsid w:val="00F45684"/>
    <w:rsid w:val="00F5192E"/>
    <w:rsid w:val="00F63E94"/>
    <w:rsid w:val="00F71133"/>
    <w:rsid w:val="00F77E4B"/>
    <w:rsid w:val="00F80BB7"/>
    <w:rsid w:val="00F80F99"/>
    <w:rsid w:val="00F8351A"/>
    <w:rsid w:val="00F84970"/>
    <w:rsid w:val="00F8557F"/>
    <w:rsid w:val="00F8689A"/>
    <w:rsid w:val="00F91DD0"/>
    <w:rsid w:val="00F95A8A"/>
    <w:rsid w:val="00F95C32"/>
    <w:rsid w:val="00F969B0"/>
    <w:rsid w:val="00F9739A"/>
    <w:rsid w:val="00F9784B"/>
    <w:rsid w:val="00FA3F56"/>
    <w:rsid w:val="00FB1C5F"/>
    <w:rsid w:val="00FC2701"/>
    <w:rsid w:val="00FC6D54"/>
    <w:rsid w:val="00FD156E"/>
    <w:rsid w:val="00FD1B59"/>
    <w:rsid w:val="00FD7253"/>
    <w:rsid w:val="00FD7D05"/>
    <w:rsid w:val="00FE4CB8"/>
    <w:rsid w:val="00FF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717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A60EE9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0EE9"/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A60EE9"/>
    <w:pPr>
      <w:spacing w:line="360" w:lineRule="auto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A60EE9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60E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E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3700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0F7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700F7"/>
  </w:style>
  <w:style w:type="paragraph" w:styleId="ListParagraph">
    <w:name w:val="List Paragraph"/>
    <w:basedOn w:val="Normal"/>
    <w:uiPriority w:val="34"/>
    <w:qFormat/>
    <w:rsid w:val="00036F46"/>
    <w:pPr>
      <w:ind w:left="720"/>
      <w:contextualSpacing/>
    </w:pPr>
  </w:style>
  <w:style w:type="paragraph" w:styleId="Revision">
    <w:name w:val="Revision"/>
    <w:hidden/>
    <w:uiPriority w:val="99"/>
    <w:semiHidden/>
    <w:rsid w:val="00953AFF"/>
  </w:style>
  <w:style w:type="paragraph" w:styleId="Header">
    <w:name w:val="header"/>
    <w:basedOn w:val="Normal"/>
    <w:link w:val="HeaderChar"/>
    <w:uiPriority w:val="99"/>
    <w:semiHidden/>
    <w:unhideWhenUsed/>
    <w:rsid w:val="00494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4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li@eee.hku.hk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klam@eee.hku.h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1421</Words>
  <Characters>8503</Characters>
  <Application>Microsoft Office Word</Application>
  <DocSecurity>0</DocSecurity>
  <Lines>303</Lines>
  <Paragraphs>236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2024-08-07T06:11:00Z</dcterms:created>
  <dcterms:modified xsi:type="dcterms:W3CDTF">2024-12-01T15:32:00Z</dcterms:modified>
</cp:coreProperties>
</file>