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43EF" w14:textId="35398D55" w:rsidR="0090249E" w:rsidRPr="00CE65F6" w:rsidRDefault="007F7D73" w:rsidP="00CE65F6">
      <w:pPr>
        <w:pStyle w:val="MDPI31text"/>
        <w:spacing w:before="120" w:after="120" w:line="240" w:lineRule="auto"/>
        <w:ind w:left="2045" w:firstLine="504"/>
        <w:rPr>
          <w:rFonts w:ascii="Times New Roman" w:hAnsi="Times New Roman"/>
          <w:b/>
          <w:iCs/>
          <w:color w:val="auto"/>
          <w:sz w:val="24"/>
          <w:szCs w:val="20"/>
        </w:rPr>
      </w:pPr>
      <w:r w:rsidRPr="00CE65F6">
        <w:rPr>
          <w:rFonts w:ascii="Times New Roman" w:hAnsi="Times New Roman"/>
          <w:b/>
          <w:iCs/>
          <w:color w:val="auto"/>
          <w:sz w:val="24"/>
          <w:szCs w:val="20"/>
        </w:rPr>
        <w:t>Supp</w:t>
      </w:r>
      <w:r>
        <w:rPr>
          <w:rFonts w:ascii="Times New Roman" w:hAnsi="Times New Roman"/>
          <w:b/>
          <w:iCs/>
          <w:color w:val="auto"/>
          <w:sz w:val="24"/>
          <w:szCs w:val="20"/>
        </w:rPr>
        <w:t>l</w:t>
      </w:r>
      <w:r w:rsidRPr="00CE65F6">
        <w:rPr>
          <w:rFonts w:ascii="Times New Roman" w:hAnsi="Times New Roman"/>
          <w:b/>
          <w:iCs/>
          <w:color w:val="auto"/>
          <w:sz w:val="24"/>
          <w:szCs w:val="20"/>
        </w:rPr>
        <w:t>ementary</w:t>
      </w:r>
      <w:r w:rsidR="00CE65F6" w:rsidRPr="00CE65F6">
        <w:rPr>
          <w:rFonts w:ascii="Times New Roman" w:hAnsi="Times New Roman"/>
          <w:b/>
          <w:iCs/>
          <w:color w:val="auto"/>
          <w:sz w:val="24"/>
          <w:szCs w:val="20"/>
        </w:rPr>
        <w:t xml:space="preserve"> Material</w:t>
      </w:r>
    </w:p>
    <w:p w14:paraId="5E243F53" w14:textId="0E31B8C3" w:rsidR="0090249E" w:rsidRPr="00631EB5" w:rsidRDefault="00CE65F6" w:rsidP="00CE65F6">
      <w:pPr>
        <w:pStyle w:val="MDPI31text"/>
        <w:ind w:left="0" w:firstLine="0"/>
        <w:rPr>
          <w:rFonts w:asciiTheme="majorBidi" w:hAnsiTheme="majorBidi" w:cstheme="majorBidi"/>
          <w:color w:val="auto"/>
          <w:szCs w:val="20"/>
        </w:rPr>
      </w:pPr>
      <w:r w:rsidRPr="00CE65F6">
        <w:rPr>
          <w:rFonts w:ascii="Times New Roman" w:hAnsi="Times New Roman"/>
          <w:b/>
          <w:bCs/>
          <w:color w:val="auto"/>
          <w:szCs w:val="20"/>
        </w:rPr>
        <w:t>Supplementary Material</w:t>
      </w:r>
      <w:r>
        <w:rPr>
          <w:rFonts w:ascii="Times New Roman" w:hAnsi="Times New Roman"/>
          <w:b/>
          <w:bCs/>
          <w:color w:val="auto"/>
          <w:szCs w:val="20"/>
        </w:rPr>
        <w:t xml:space="preserve"> 1</w:t>
      </w:r>
      <w:r w:rsidR="0090249E" w:rsidRPr="004A23E6">
        <w:rPr>
          <w:rFonts w:ascii="Times New Roman" w:hAnsi="Times New Roman"/>
          <w:b/>
          <w:bCs/>
          <w:color w:val="auto"/>
          <w:szCs w:val="20"/>
        </w:rPr>
        <w:t xml:space="preserve">: Summary of the major dimensions of adaptive capacity research framework </w:t>
      </w:r>
    </w:p>
    <w:tbl>
      <w:tblPr>
        <w:tblStyle w:val="PlainTable2"/>
        <w:tblpPr w:leftFromText="180" w:rightFromText="180" w:vertAnchor="text" w:horzAnchor="margin" w:tblpXSpec="center" w:tblpY="27"/>
        <w:tblW w:w="10080" w:type="dxa"/>
        <w:tblLayout w:type="fixed"/>
        <w:tblLook w:val="04A0" w:firstRow="1" w:lastRow="0" w:firstColumn="1" w:lastColumn="0" w:noHBand="0" w:noVBand="1"/>
      </w:tblPr>
      <w:tblGrid>
        <w:gridCol w:w="1525"/>
        <w:gridCol w:w="1440"/>
        <w:gridCol w:w="1175"/>
        <w:gridCol w:w="2160"/>
        <w:gridCol w:w="3780"/>
      </w:tblGrid>
      <w:tr w:rsidR="0090249E" w:rsidRPr="0090249E" w14:paraId="75895BC3" w14:textId="77777777" w:rsidTr="00B45E9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2F9E408D" w14:textId="77777777" w:rsidR="0090249E" w:rsidRPr="0090249E" w:rsidRDefault="0090249E" w:rsidP="00B45E94">
            <w:pPr>
              <w:autoSpaceDE w:val="0"/>
              <w:autoSpaceDN w:val="0"/>
              <w:adjustRightInd w:val="0"/>
              <w:snapToGrid w:val="0"/>
              <w:spacing w:line="240" w:lineRule="auto"/>
              <w:jc w:val="center"/>
              <w:rPr>
                <w:rFonts w:ascii="Times New Roman" w:hAnsi="Times New Roman"/>
                <w:color w:val="auto"/>
                <w:sz w:val="18"/>
                <w:szCs w:val="18"/>
              </w:rPr>
            </w:pPr>
            <w:r w:rsidRPr="0090249E">
              <w:rPr>
                <w:rFonts w:ascii="Times New Roman" w:hAnsi="Times New Roman"/>
                <w:color w:val="auto"/>
                <w:sz w:val="18"/>
                <w:szCs w:val="18"/>
              </w:rPr>
              <w:t>Dimension</w:t>
            </w:r>
          </w:p>
        </w:tc>
        <w:tc>
          <w:tcPr>
            <w:tcW w:w="8555" w:type="dxa"/>
            <w:gridSpan w:val="4"/>
          </w:tcPr>
          <w:p w14:paraId="651F1C30" w14:textId="77777777" w:rsidR="0090249E" w:rsidRPr="0090249E" w:rsidRDefault="0090249E" w:rsidP="00B45E94">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Reference literature with time series</w:t>
            </w:r>
          </w:p>
        </w:tc>
      </w:tr>
      <w:tr w:rsidR="0090249E" w:rsidRPr="0090249E" w14:paraId="1A2360A4" w14:textId="77777777" w:rsidTr="00B45E9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25" w:type="dxa"/>
            <w:vMerge/>
          </w:tcPr>
          <w:p w14:paraId="3192517C" w14:textId="77777777" w:rsidR="0090249E" w:rsidRPr="0090249E" w:rsidRDefault="0090249E" w:rsidP="00B45E94">
            <w:pPr>
              <w:autoSpaceDE w:val="0"/>
              <w:autoSpaceDN w:val="0"/>
              <w:adjustRightInd w:val="0"/>
              <w:snapToGrid w:val="0"/>
              <w:spacing w:line="240" w:lineRule="auto"/>
              <w:jc w:val="center"/>
              <w:rPr>
                <w:rFonts w:ascii="Times New Roman" w:hAnsi="Times New Roman"/>
                <w:color w:val="auto"/>
                <w:sz w:val="18"/>
                <w:szCs w:val="18"/>
              </w:rPr>
            </w:pPr>
          </w:p>
        </w:tc>
        <w:tc>
          <w:tcPr>
            <w:tcW w:w="1440" w:type="dxa"/>
          </w:tcPr>
          <w:p w14:paraId="554CCF72" w14:textId="77777777" w:rsidR="0090249E" w:rsidRPr="0090249E" w:rsidRDefault="0090249E" w:rsidP="00B45E94">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Before 2005</w:t>
            </w:r>
          </w:p>
        </w:tc>
        <w:tc>
          <w:tcPr>
            <w:tcW w:w="1175" w:type="dxa"/>
          </w:tcPr>
          <w:p w14:paraId="7EBF3A9A" w14:textId="77777777" w:rsidR="0090249E" w:rsidRPr="0090249E" w:rsidRDefault="0090249E" w:rsidP="00B45E94">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2006 - 2010</w:t>
            </w:r>
          </w:p>
        </w:tc>
        <w:tc>
          <w:tcPr>
            <w:tcW w:w="2160" w:type="dxa"/>
          </w:tcPr>
          <w:p w14:paraId="09381F42" w14:textId="77777777" w:rsidR="0090249E" w:rsidRPr="0090249E" w:rsidRDefault="0090249E" w:rsidP="00B45E94">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2011 - 2015</w:t>
            </w:r>
          </w:p>
        </w:tc>
        <w:tc>
          <w:tcPr>
            <w:tcW w:w="3780" w:type="dxa"/>
          </w:tcPr>
          <w:p w14:paraId="4913DD73" w14:textId="77777777" w:rsidR="0090249E" w:rsidRPr="0090249E" w:rsidRDefault="0090249E" w:rsidP="00B45E94">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After 2016</w:t>
            </w:r>
          </w:p>
        </w:tc>
      </w:tr>
      <w:tr w:rsidR="0090249E" w:rsidRPr="0090249E" w14:paraId="4ED8D255" w14:textId="77777777" w:rsidTr="00B45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5A3F4194"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r w:rsidRPr="0090249E">
              <w:rPr>
                <w:rFonts w:ascii="Times New Roman" w:hAnsi="Times New Roman"/>
                <w:color w:val="auto"/>
                <w:sz w:val="18"/>
                <w:szCs w:val="18"/>
              </w:rPr>
              <w:t>Household assets and resources (Hunan, physical, natural, financial and social)</w:t>
            </w:r>
          </w:p>
        </w:tc>
        <w:tc>
          <w:tcPr>
            <w:tcW w:w="1440" w:type="dxa"/>
          </w:tcPr>
          <w:p w14:paraId="47C3A7FA"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Ellis (2000), IPCC (2001), Pretty and Ward (2001), Yohe and Tol (2002), Brooks et al. (2005), Adger and Vincent (2005), Armitage (2005), Folke et al. (2005), Pelling and High (2005)</w:t>
            </w:r>
          </w:p>
        </w:tc>
        <w:tc>
          <w:tcPr>
            <w:tcW w:w="1175" w:type="dxa"/>
          </w:tcPr>
          <w:p w14:paraId="380FFA29"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Pahl Wostl (2009), Engle and Lemos (2010), Nelson et al. (2010), Yates (2010), </w:t>
            </w:r>
          </w:p>
          <w:p w14:paraId="57FCD6A7"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Gupta et al. (2010)</w:t>
            </w:r>
          </w:p>
          <w:p w14:paraId="19C3A3C1"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p>
        </w:tc>
        <w:tc>
          <w:tcPr>
            <w:tcW w:w="2160" w:type="dxa"/>
          </w:tcPr>
          <w:p w14:paraId="016DE9DA" w14:textId="4DC03F7A"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Pandey et al. (2011), Naher and Khulna (2012), Piya et al. (2012), Fosu-Mensah et al. (2012), Teklewold et al. (2013), Lockwood et al. (2015), Dixon et al. (2014), Defiesta and Rapera (2014), Juhola and Kruse (201</w:t>
            </w:r>
            <w:r w:rsidR="007D0CFA">
              <w:rPr>
                <w:rFonts w:ascii="Times New Roman" w:hAnsi="Times New Roman"/>
                <w:color w:val="auto"/>
                <w:sz w:val="18"/>
                <w:szCs w:val="18"/>
              </w:rPr>
              <w:t>5</w:t>
            </w:r>
            <w:r w:rsidRPr="0090249E">
              <w:rPr>
                <w:rFonts w:ascii="Times New Roman" w:hAnsi="Times New Roman"/>
                <w:color w:val="auto"/>
                <w:sz w:val="18"/>
                <w:szCs w:val="18"/>
              </w:rPr>
              <w:t>)</w:t>
            </w:r>
          </w:p>
        </w:tc>
        <w:tc>
          <w:tcPr>
            <w:tcW w:w="3780" w:type="dxa"/>
          </w:tcPr>
          <w:p w14:paraId="70B0EF4A" w14:textId="4145453B"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Hua et al. (2017), Pagnani et al. (2021), Datta and Behere (2022), Yves C. Zanmassou et al. (2020), Thapa et al. (2016), Pickson et al. (2021), Kabobah et al. (2018), Lindsey et al. (2018), Krishnaiah (2019), Holland et al. (2017), Cinner at al. (2018), Abagat et al., (2017), Razak and Kruse (2017), Kabobah et al. (2018), Krishnaiah (2019), Mesfin et al. (2020), Chepkoech et al. (2020), Datta and  Behera (2022), Hua et al. (2017), Wu et al., (2021), Pickson </w:t>
            </w:r>
            <w:r w:rsidR="007D0CFA">
              <w:rPr>
                <w:rFonts w:ascii="Times New Roman" w:hAnsi="Times New Roman"/>
                <w:color w:val="auto"/>
                <w:sz w:val="18"/>
                <w:szCs w:val="18"/>
              </w:rPr>
              <w:t>&amp;</w:t>
            </w:r>
            <w:r w:rsidRPr="0090249E">
              <w:rPr>
                <w:rFonts w:ascii="Times New Roman" w:hAnsi="Times New Roman"/>
                <w:color w:val="auto"/>
                <w:sz w:val="18"/>
                <w:szCs w:val="18"/>
              </w:rPr>
              <w:t xml:space="preserve"> He (2021)</w:t>
            </w:r>
          </w:p>
        </w:tc>
      </w:tr>
      <w:tr w:rsidR="0090249E" w:rsidRPr="0090249E" w14:paraId="7B98A150" w14:textId="77777777" w:rsidTr="00B45E94">
        <w:tc>
          <w:tcPr>
            <w:cnfStyle w:val="001000000000" w:firstRow="0" w:lastRow="0" w:firstColumn="1" w:lastColumn="0" w:oddVBand="0" w:evenVBand="0" w:oddHBand="0" w:evenHBand="0" w:firstRowFirstColumn="0" w:firstRowLastColumn="0" w:lastRowFirstColumn="0" w:lastRowLastColumn="0"/>
            <w:tcW w:w="1525" w:type="dxa"/>
          </w:tcPr>
          <w:p w14:paraId="6F09F432"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r w:rsidRPr="0090249E">
              <w:rPr>
                <w:rFonts w:ascii="Times New Roman" w:hAnsi="Times New Roman"/>
                <w:color w:val="auto"/>
                <w:sz w:val="18"/>
                <w:szCs w:val="18"/>
              </w:rPr>
              <w:t>Knowledge, information and communication</w:t>
            </w:r>
          </w:p>
        </w:tc>
        <w:tc>
          <w:tcPr>
            <w:tcW w:w="1440" w:type="dxa"/>
          </w:tcPr>
          <w:p w14:paraId="6BEA22E3"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p>
        </w:tc>
        <w:tc>
          <w:tcPr>
            <w:tcW w:w="1175" w:type="dxa"/>
          </w:tcPr>
          <w:p w14:paraId="10496111"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Fazey et al. (2007)</w:t>
            </w:r>
          </w:p>
        </w:tc>
        <w:tc>
          <w:tcPr>
            <w:tcW w:w="2160" w:type="dxa"/>
          </w:tcPr>
          <w:p w14:paraId="6A1D93BA" w14:textId="3C2FEDEA"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Levine et al. (2011), Kruse et al. </w:t>
            </w:r>
            <w:r w:rsidR="008D4C99">
              <w:rPr>
                <w:rFonts w:ascii="Times New Roman" w:hAnsi="Times New Roman"/>
                <w:color w:val="auto"/>
                <w:sz w:val="18"/>
                <w:szCs w:val="18"/>
              </w:rPr>
              <w:t>(</w:t>
            </w:r>
            <w:r w:rsidRPr="0090249E">
              <w:rPr>
                <w:rFonts w:ascii="Times New Roman" w:hAnsi="Times New Roman"/>
                <w:color w:val="auto"/>
                <w:sz w:val="18"/>
                <w:szCs w:val="18"/>
              </w:rPr>
              <w:t xml:space="preserve">2013), Defiesta and Rapera (2014), Juhola and Kruse (2014) </w:t>
            </w:r>
          </w:p>
        </w:tc>
        <w:tc>
          <w:tcPr>
            <w:tcW w:w="3780" w:type="dxa"/>
          </w:tcPr>
          <w:p w14:paraId="0BB93C83" w14:textId="46EACD9A"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Cinner at al. (2018), Mesfin et al. (2020), Chepkoech et al. (2020), Thapa et al. (2016), Jamsiddi et al. (2020), Lindsey et al. (2018), Krishnaiah (2019), </w:t>
            </w:r>
          </w:p>
          <w:p w14:paraId="5C531D51" w14:textId="59955C5E"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Abagat et al. (2017), Jones, et al., (2019), </w:t>
            </w:r>
            <w:r w:rsidR="007D0CFA">
              <w:rPr>
                <w:rFonts w:ascii="Times New Roman" w:hAnsi="Times New Roman"/>
                <w:color w:val="auto"/>
                <w:sz w:val="18"/>
                <w:szCs w:val="18"/>
              </w:rPr>
              <w:t>Abdul-</w:t>
            </w:r>
            <w:r w:rsidRPr="0090249E">
              <w:rPr>
                <w:rFonts w:ascii="Times New Roman" w:hAnsi="Times New Roman"/>
                <w:color w:val="auto"/>
                <w:sz w:val="18"/>
                <w:szCs w:val="18"/>
              </w:rPr>
              <w:t>Razak and Kruse (2017), Krishnaiah, P. (2019), Mesfin et al. (2020), Singh (2020), Pickson and  He (2021)</w:t>
            </w:r>
          </w:p>
        </w:tc>
      </w:tr>
      <w:tr w:rsidR="0090249E" w:rsidRPr="0090249E" w14:paraId="3D01A95A" w14:textId="77777777" w:rsidTr="00B45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297161B1"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r w:rsidRPr="0090249E">
              <w:rPr>
                <w:rFonts w:ascii="Times New Roman" w:hAnsi="Times New Roman"/>
                <w:color w:val="auto"/>
                <w:sz w:val="18"/>
                <w:szCs w:val="18"/>
              </w:rPr>
              <w:t>Institutions and Agency</w:t>
            </w:r>
          </w:p>
        </w:tc>
        <w:tc>
          <w:tcPr>
            <w:tcW w:w="1440" w:type="dxa"/>
          </w:tcPr>
          <w:p w14:paraId="7DBD7EDE"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p>
        </w:tc>
        <w:tc>
          <w:tcPr>
            <w:tcW w:w="1175" w:type="dxa"/>
          </w:tcPr>
          <w:p w14:paraId="69B8F3FF"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p>
        </w:tc>
        <w:tc>
          <w:tcPr>
            <w:tcW w:w="2160" w:type="dxa"/>
          </w:tcPr>
          <w:p w14:paraId="77756675" w14:textId="260CE955"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Levine et al. (2011),  Kruse et al. (2013), Dixon et al. (2014),  Juhola </w:t>
            </w:r>
            <w:r w:rsidR="007D0CFA">
              <w:rPr>
                <w:rFonts w:ascii="Times New Roman" w:hAnsi="Times New Roman"/>
                <w:color w:val="auto"/>
                <w:sz w:val="18"/>
                <w:szCs w:val="18"/>
              </w:rPr>
              <w:t>and</w:t>
            </w:r>
            <w:r w:rsidRPr="0090249E">
              <w:rPr>
                <w:rFonts w:ascii="Times New Roman" w:hAnsi="Times New Roman"/>
                <w:color w:val="auto"/>
                <w:sz w:val="18"/>
                <w:szCs w:val="18"/>
              </w:rPr>
              <w:t xml:space="preserve"> Kruse (2014)</w:t>
            </w:r>
          </w:p>
        </w:tc>
        <w:tc>
          <w:tcPr>
            <w:tcW w:w="3780" w:type="dxa"/>
          </w:tcPr>
          <w:p w14:paraId="6DE89B20"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Cinner at al. (2018), Mesfin et al. (2020), Jamsiddi et al. (2020), Lindsey et al. (2018), Krishnaiah (2019), Jones, et al. (2019), Razak and Kruse (2017), Krishnaiah, P. (2019), Singh (2020)</w:t>
            </w:r>
          </w:p>
          <w:p w14:paraId="0F9407F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p>
        </w:tc>
      </w:tr>
      <w:tr w:rsidR="0090249E" w:rsidRPr="0090249E" w14:paraId="4B045454" w14:textId="77777777" w:rsidTr="00B45E94">
        <w:tc>
          <w:tcPr>
            <w:cnfStyle w:val="001000000000" w:firstRow="0" w:lastRow="0" w:firstColumn="1" w:lastColumn="0" w:oddVBand="0" w:evenVBand="0" w:oddHBand="0" w:evenHBand="0" w:firstRowFirstColumn="0" w:firstRowLastColumn="0" w:lastRowFirstColumn="0" w:lastRowLastColumn="0"/>
            <w:tcW w:w="1525" w:type="dxa"/>
          </w:tcPr>
          <w:p w14:paraId="03CAC4C1"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r w:rsidRPr="0090249E">
              <w:rPr>
                <w:rFonts w:ascii="Times New Roman" w:hAnsi="Times New Roman"/>
                <w:color w:val="auto"/>
                <w:sz w:val="18"/>
                <w:szCs w:val="18"/>
              </w:rPr>
              <w:t>Diversity and Flexibility</w:t>
            </w:r>
          </w:p>
        </w:tc>
        <w:tc>
          <w:tcPr>
            <w:tcW w:w="1440" w:type="dxa"/>
          </w:tcPr>
          <w:p w14:paraId="14EAD88A"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p>
        </w:tc>
        <w:tc>
          <w:tcPr>
            <w:tcW w:w="1175" w:type="dxa"/>
          </w:tcPr>
          <w:p w14:paraId="1081D0FF"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p>
        </w:tc>
        <w:tc>
          <w:tcPr>
            <w:tcW w:w="2160" w:type="dxa"/>
          </w:tcPr>
          <w:p w14:paraId="5F3B7637" w14:textId="7908955A"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Defiesta </w:t>
            </w:r>
            <w:r w:rsidR="007D0CFA">
              <w:rPr>
                <w:rFonts w:ascii="Times New Roman" w:hAnsi="Times New Roman"/>
                <w:color w:val="auto"/>
                <w:sz w:val="18"/>
                <w:szCs w:val="18"/>
              </w:rPr>
              <w:t>&amp;</w:t>
            </w:r>
            <w:r w:rsidRPr="0090249E">
              <w:rPr>
                <w:rFonts w:ascii="Times New Roman" w:hAnsi="Times New Roman"/>
                <w:color w:val="auto"/>
                <w:sz w:val="18"/>
                <w:szCs w:val="18"/>
              </w:rPr>
              <w:t xml:space="preserve"> Rapera (2014), Dixon et al. (2014)</w:t>
            </w:r>
          </w:p>
        </w:tc>
        <w:tc>
          <w:tcPr>
            <w:tcW w:w="3780" w:type="dxa"/>
          </w:tcPr>
          <w:p w14:paraId="073302F0" w14:textId="54A116EC"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Aase, TH. (2017)</w:t>
            </w:r>
            <w:r w:rsidR="007D0CFA">
              <w:rPr>
                <w:rFonts w:ascii="Times New Roman" w:hAnsi="Times New Roman"/>
                <w:color w:val="auto"/>
                <w:sz w:val="18"/>
                <w:szCs w:val="18"/>
              </w:rPr>
              <w:t>,</w:t>
            </w:r>
            <w:r w:rsidRPr="0090249E">
              <w:rPr>
                <w:rFonts w:ascii="Times New Roman" w:hAnsi="Times New Roman"/>
                <w:color w:val="auto"/>
                <w:sz w:val="18"/>
                <w:szCs w:val="18"/>
              </w:rPr>
              <w:t xml:space="preserve"> Cinner at al. (2018), Lindsey et al. (2018),  Abagat et al. (2017), Mesfin et al. (2020), </w:t>
            </w:r>
          </w:p>
        </w:tc>
      </w:tr>
      <w:tr w:rsidR="0090249E" w:rsidRPr="0090249E" w14:paraId="3A80C62F" w14:textId="77777777" w:rsidTr="00B45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0023FBA0"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r w:rsidRPr="0090249E">
              <w:rPr>
                <w:rFonts w:ascii="Times New Roman" w:hAnsi="Times New Roman"/>
                <w:color w:val="auto"/>
                <w:sz w:val="18"/>
                <w:szCs w:val="18"/>
              </w:rPr>
              <w:t>Infrastructure and services</w:t>
            </w:r>
          </w:p>
        </w:tc>
        <w:tc>
          <w:tcPr>
            <w:tcW w:w="1440" w:type="dxa"/>
          </w:tcPr>
          <w:p w14:paraId="7F78EC2F"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p>
        </w:tc>
        <w:tc>
          <w:tcPr>
            <w:tcW w:w="1175" w:type="dxa"/>
          </w:tcPr>
          <w:p w14:paraId="5D09B6B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p>
        </w:tc>
        <w:tc>
          <w:tcPr>
            <w:tcW w:w="2160" w:type="dxa"/>
          </w:tcPr>
          <w:p w14:paraId="58B38B6E"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Naher and Khulna (2012), (Kruse et al. 2013), Juhola and Kruse (2014), Lockwood et al. (2015)</w:t>
            </w:r>
          </w:p>
        </w:tc>
        <w:tc>
          <w:tcPr>
            <w:tcW w:w="3780" w:type="dxa"/>
          </w:tcPr>
          <w:p w14:paraId="7AF8EBF3" w14:textId="3BB6B31B"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Razak and Kruse (2017)</w:t>
            </w:r>
            <w:r w:rsidR="007D0CFA">
              <w:rPr>
                <w:rFonts w:ascii="Times New Roman" w:hAnsi="Times New Roman"/>
                <w:color w:val="auto"/>
                <w:sz w:val="18"/>
                <w:szCs w:val="18"/>
              </w:rPr>
              <w:t xml:space="preserve">, </w:t>
            </w:r>
            <w:r w:rsidRPr="0090249E">
              <w:rPr>
                <w:rFonts w:ascii="Times New Roman" w:hAnsi="Times New Roman"/>
                <w:color w:val="auto"/>
                <w:sz w:val="18"/>
                <w:szCs w:val="18"/>
              </w:rPr>
              <w:t>Mesfin, et al. (2020)</w:t>
            </w:r>
          </w:p>
        </w:tc>
      </w:tr>
      <w:tr w:rsidR="0090249E" w:rsidRPr="0090249E" w14:paraId="5E6F81C6" w14:textId="77777777" w:rsidTr="00B45E94">
        <w:tc>
          <w:tcPr>
            <w:cnfStyle w:val="001000000000" w:firstRow="0" w:lastRow="0" w:firstColumn="1" w:lastColumn="0" w:oddVBand="0" w:evenVBand="0" w:oddHBand="0" w:evenHBand="0" w:firstRowFirstColumn="0" w:firstRowLastColumn="0" w:lastRowFirstColumn="0" w:lastRowLastColumn="0"/>
            <w:tcW w:w="1525" w:type="dxa"/>
          </w:tcPr>
          <w:p w14:paraId="793FCB1E"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r w:rsidRPr="0090249E">
              <w:rPr>
                <w:rFonts w:ascii="Times New Roman" w:hAnsi="Times New Roman"/>
                <w:color w:val="auto"/>
                <w:sz w:val="18"/>
                <w:szCs w:val="18"/>
              </w:rPr>
              <w:t>Technology and Innovation</w:t>
            </w:r>
          </w:p>
        </w:tc>
        <w:tc>
          <w:tcPr>
            <w:tcW w:w="1440" w:type="dxa"/>
          </w:tcPr>
          <w:p w14:paraId="1F603A22"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p>
        </w:tc>
        <w:tc>
          <w:tcPr>
            <w:tcW w:w="1175" w:type="dxa"/>
          </w:tcPr>
          <w:p w14:paraId="49A2E41F"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p>
        </w:tc>
        <w:tc>
          <w:tcPr>
            <w:tcW w:w="2160" w:type="dxa"/>
          </w:tcPr>
          <w:p w14:paraId="091654D4" w14:textId="15C6FBAF"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Levine et al. (2011), Juhola and Kruse (2014), Kruse et al. (2013), Lockwood et al. (2015)</w:t>
            </w:r>
          </w:p>
        </w:tc>
        <w:tc>
          <w:tcPr>
            <w:tcW w:w="3780" w:type="dxa"/>
          </w:tcPr>
          <w:p w14:paraId="38C0FB25" w14:textId="05F7D57A"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Mesfin et al. (2020), Pickson et al. (2021), Pickson and He (2021), Lindsey et al. (2018),  Jones et al. (2019), </w:t>
            </w:r>
            <w:r w:rsidR="008D4C99">
              <w:rPr>
                <w:rFonts w:ascii="Times New Roman" w:hAnsi="Times New Roman"/>
                <w:color w:val="auto"/>
                <w:sz w:val="18"/>
                <w:szCs w:val="18"/>
              </w:rPr>
              <w:t>Abdul-</w:t>
            </w:r>
            <w:r w:rsidRPr="0090249E">
              <w:rPr>
                <w:rFonts w:ascii="Times New Roman" w:hAnsi="Times New Roman"/>
                <w:color w:val="auto"/>
                <w:sz w:val="18"/>
                <w:szCs w:val="18"/>
              </w:rPr>
              <w:t>Razak and Kruse (2017), Krishnaiah  (2019), Mesfin et al. (2020), Singh (2020), Pickson and  He (2021)</w:t>
            </w:r>
          </w:p>
        </w:tc>
      </w:tr>
      <w:tr w:rsidR="0090249E" w:rsidRPr="0090249E" w14:paraId="5847B63F" w14:textId="77777777" w:rsidTr="00B45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76D25FC5"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r w:rsidRPr="0090249E">
              <w:rPr>
                <w:rFonts w:ascii="Times New Roman" w:hAnsi="Times New Roman"/>
                <w:color w:val="auto"/>
                <w:sz w:val="18"/>
                <w:szCs w:val="18"/>
              </w:rPr>
              <w:t>Governance</w:t>
            </w:r>
          </w:p>
        </w:tc>
        <w:tc>
          <w:tcPr>
            <w:tcW w:w="1440" w:type="dxa"/>
          </w:tcPr>
          <w:p w14:paraId="7FB0F66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p>
        </w:tc>
        <w:tc>
          <w:tcPr>
            <w:tcW w:w="1175" w:type="dxa"/>
          </w:tcPr>
          <w:p w14:paraId="42E9FF1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Brooks et al. (2005), Folke et al. (2005),</w:t>
            </w:r>
          </w:p>
        </w:tc>
        <w:tc>
          <w:tcPr>
            <w:tcW w:w="2160" w:type="dxa"/>
          </w:tcPr>
          <w:p w14:paraId="25EB492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Gupta et al. (2010), Engle and Lemos (2010), Lockwood et al. (2015),</w:t>
            </w:r>
          </w:p>
        </w:tc>
        <w:tc>
          <w:tcPr>
            <w:tcW w:w="3780" w:type="dxa"/>
          </w:tcPr>
          <w:p w14:paraId="4E62416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Thapa et al. (2016), Lindsey et al. (2018), Jones, et al., (2019),</w:t>
            </w:r>
          </w:p>
          <w:p w14:paraId="2A74A76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bl>
    <w:p w14:paraId="2226C88B" w14:textId="77777777" w:rsidR="008D4C99" w:rsidRDefault="008D4C99" w:rsidP="0090249E">
      <w:pPr>
        <w:pStyle w:val="MDPI31text"/>
        <w:ind w:left="2040" w:firstLine="510"/>
        <w:rPr>
          <w:rFonts w:asciiTheme="majorBidi" w:hAnsiTheme="majorBidi" w:cstheme="majorBidi"/>
          <w:color w:val="auto"/>
          <w:sz w:val="10"/>
          <w:szCs w:val="10"/>
        </w:rPr>
      </w:pPr>
    </w:p>
    <w:p w14:paraId="2812B9B8" w14:textId="77777777" w:rsidR="00714215" w:rsidRDefault="00714215" w:rsidP="0090249E">
      <w:pPr>
        <w:pStyle w:val="MDPI31text"/>
        <w:ind w:left="2040" w:firstLine="510"/>
        <w:rPr>
          <w:rFonts w:asciiTheme="majorBidi" w:hAnsiTheme="majorBidi" w:cstheme="majorBidi"/>
          <w:color w:val="auto"/>
          <w:sz w:val="10"/>
          <w:szCs w:val="10"/>
        </w:rPr>
      </w:pPr>
    </w:p>
    <w:p w14:paraId="716B96AA" w14:textId="77777777" w:rsidR="00714215" w:rsidRDefault="00714215" w:rsidP="0090249E">
      <w:pPr>
        <w:pStyle w:val="MDPI31text"/>
        <w:ind w:left="2040" w:firstLine="510"/>
        <w:rPr>
          <w:rFonts w:asciiTheme="majorBidi" w:hAnsiTheme="majorBidi" w:cstheme="majorBidi"/>
          <w:color w:val="auto"/>
          <w:sz w:val="10"/>
          <w:szCs w:val="10"/>
        </w:rPr>
      </w:pPr>
    </w:p>
    <w:p w14:paraId="477FFB42" w14:textId="77777777" w:rsidR="00714215" w:rsidRDefault="00714215" w:rsidP="0090249E">
      <w:pPr>
        <w:pStyle w:val="MDPI31text"/>
        <w:ind w:left="2040" w:firstLine="510"/>
        <w:rPr>
          <w:rFonts w:asciiTheme="majorBidi" w:hAnsiTheme="majorBidi" w:cstheme="majorBidi"/>
          <w:color w:val="auto"/>
          <w:sz w:val="10"/>
          <w:szCs w:val="10"/>
        </w:rPr>
      </w:pPr>
    </w:p>
    <w:p w14:paraId="13D6E46D" w14:textId="77777777" w:rsidR="00714215" w:rsidRDefault="00714215" w:rsidP="0090249E">
      <w:pPr>
        <w:pStyle w:val="MDPI31text"/>
        <w:ind w:left="2040" w:firstLine="510"/>
        <w:rPr>
          <w:rFonts w:asciiTheme="majorBidi" w:hAnsiTheme="majorBidi" w:cstheme="majorBidi"/>
          <w:color w:val="auto"/>
          <w:sz w:val="10"/>
          <w:szCs w:val="10"/>
        </w:rPr>
      </w:pPr>
    </w:p>
    <w:p w14:paraId="3605EE15" w14:textId="77777777" w:rsidR="00714215" w:rsidRDefault="00714215" w:rsidP="0090249E">
      <w:pPr>
        <w:pStyle w:val="MDPI31text"/>
        <w:ind w:left="2040" w:firstLine="510"/>
        <w:rPr>
          <w:rFonts w:asciiTheme="majorBidi" w:hAnsiTheme="majorBidi" w:cstheme="majorBidi"/>
          <w:color w:val="auto"/>
          <w:sz w:val="10"/>
          <w:szCs w:val="10"/>
        </w:rPr>
      </w:pPr>
    </w:p>
    <w:p w14:paraId="1C8B7638" w14:textId="77777777" w:rsidR="00714215" w:rsidRDefault="00714215" w:rsidP="0090249E">
      <w:pPr>
        <w:pStyle w:val="MDPI31text"/>
        <w:ind w:left="2040" w:firstLine="510"/>
        <w:rPr>
          <w:rFonts w:asciiTheme="majorBidi" w:hAnsiTheme="majorBidi" w:cstheme="majorBidi"/>
          <w:color w:val="auto"/>
          <w:sz w:val="10"/>
          <w:szCs w:val="10"/>
        </w:rPr>
      </w:pPr>
    </w:p>
    <w:p w14:paraId="2D430CF9" w14:textId="77777777" w:rsidR="00714215" w:rsidRDefault="00714215" w:rsidP="0090249E">
      <w:pPr>
        <w:pStyle w:val="MDPI31text"/>
        <w:ind w:left="2040" w:firstLine="510"/>
        <w:rPr>
          <w:rFonts w:asciiTheme="majorBidi" w:hAnsiTheme="majorBidi" w:cstheme="majorBidi"/>
          <w:color w:val="auto"/>
          <w:sz w:val="10"/>
          <w:szCs w:val="10"/>
        </w:rPr>
      </w:pPr>
    </w:p>
    <w:p w14:paraId="00558301" w14:textId="77777777" w:rsidR="00714215" w:rsidRDefault="00714215" w:rsidP="0090249E">
      <w:pPr>
        <w:pStyle w:val="MDPI31text"/>
        <w:ind w:left="2040" w:firstLine="510"/>
        <w:rPr>
          <w:rFonts w:asciiTheme="majorBidi" w:hAnsiTheme="majorBidi" w:cstheme="majorBidi"/>
          <w:color w:val="auto"/>
          <w:sz w:val="10"/>
          <w:szCs w:val="10"/>
        </w:rPr>
      </w:pPr>
    </w:p>
    <w:p w14:paraId="6B8F68F8" w14:textId="77777777" w:rsidR="00714215" w:rsidRDefault="00714215" w:rsidP="0090249E">
      <w:pPr>
        <w:pStyle w:val="MDPI31text"/>
        <w:ind w:left="2040" w:firstLine="510"/>
        <w:rPr>
          <w:rFonts w:asciiTheme="majorBidi" w:hAnsiTheme="majorBidi" w:cstheme="majorBidi"/>
          <w:color w:val="auto"/>
          <w:sz w:val="10"/>
          <w:szCs w:val="10"/>
        </w:rPr>
      </w:pPr>
    </w:p>
    <w:p w14:paraId="77BAE75B" w14:textId="77777777" w:rsidR="00714215" w:rsidRDefault="00714215" w:rsidP="0090249E">
      <w:pPr>
        <w:pStyle w:val="MDPI31text"/>
        <w:ind w:left="2040" w:firstLine="510"/>
        <w:rPr>
          <w:rFonts w:asciiTheme="majorBidi" w:hAnsiTheme="majorBidi" w:cstheme="majorBidi"/>
          <w:color w:val="auto"/>
          <w:sz w:val="10"/>
          <w:szCs w:val="10"/>
        </w:rPr>
      </w:pPr>
    </w:p>
    <w:p w14:paraId="584A809F" w14:textId="77777777" w:rsidR="00714215" w:rsidRDefault="00714215" w:rsidP="0090249E">
      <w:pPr>
        <w:pStyle w:val="MDPI31text"/>
        <w:ind w:left="2040" w:firstLine="510"/>
        <w:rPr>
          <w:rFonts w:asciiTheme="majorBidi" w:hAnsiTheme="majorBidi" w:cstheme="majorBidi"/>
          <w:color w:val="auto"/>
          <w:sz w:val="10"/>
          <w:szCs w:val="10"/>
        </w:rPr>
      </w:pPr>
    </w:p>
    <w:p w14:paraId="3D3549A0" w14:textId="77777777" w:rsidR="00714215" w:rsidRDefault="00714215" w:rsidP="0090249E">
      <w:pPr>
        <w:pStyle w:val="MDPI31text"/>
        <w:ind w:left="2040" w:firstLine="510"/>
        <w:rPr>
          <w:rFonts w:asciiTheme="majorBidi" w:hAnsiTheme="majorBidi" w:cstheme="majorBidi"/>
          <w:color w:val="auto"/>
          <w:sz w:val="10"/>
          <w:szCs w:val="10"/>
        </w:rPr>
      </w:pPr>
    </w:p>
    <w:p w14:paraId="40564E40" w14:textId="77777777" w:rsidR="00714215" w:rsidRDefault="00714215" w:rsidP="0090249E">
      <w:pPr>
        <w:pStyle w:val="MDPI31text"/>
        <w:ind w:left="2040" w:firstLine="510"/>
        <w:rPr>
          <w:rFonts w:asciiTheme="majorBidi" w:hAnsiTheme="majorBidi" w:cstheme="majorBidi"/>
          <w:color w:val="auto"/>
          <w:sz w:val="10"/>
          <w:szCs w:val="10"/>
        </w:rPr>
      </w:pPr>
    </w:p>
    <w:p w14:paraId="4A04BFE5" w14:textId="77777777" w:rsidR="00714215" w:rsidRDefault="00714215" w:rsidP="0090249E">
      <w:pPr>
        <w:pStyle w:val="MDPI31text"/>
        <w:ind w:left="2040" w:firstLine="510"/>
        <w:rPr>
          <w:rFonts w:asciiTheme="majorBidi" w:hAnsiTheme="majorBidi" w:cstheme="majorBidi"/>
          <w:color w:val="auto"/>
          <w:sz w:val="10"/>
          <w:szCs w:val="10"/>
        </w:rPr>
      </w:pPr>
    </w:p>
    <w:p w14:paraId="33429B72" w14:textId="77777777" w:rsidR="00714215" w:rsidRDefault="00714215" w:rsidP="0090249E">
      <w:pPr>
        <w:pStyle w:val="MDPI31text"/>
        <w:ind w:left="2040" w:firstLine="510"/>
        <w:rPr>
          <w:rFonts w:asciiTheme="majorBidi" w:hAnsiTheme="majorBidi" w:cstheme="majorBidi"/>
          <w:color w:val="auto"/>
          <w:sz w:val="10"/>
          <w:szCs w:val="10"/>
        </w:rPr>
      </w:pPr>
    </w:p>
    <w:p w14:paraId="1D52236E" w14:textId="77777777" w:rsidR="00714215" w:rsidRDefault="00714215" w:rsidP="0090249E">
      <w:pPr>
        <w:pStyle w:val="MDPI31text"/>
        <w:ind w:left="2040" w:firstLine="510"/>
        <w:rPr>
          <w:rFonts w:asciiTheme="majorBidi" w:hAnsiTheme="majorBidi" w:cstheme="majorBidi"/>
          <w:color w:val="auto"/>
          <w:sz w:val="10"/>
          <w:szCs w:val="10"/>
        </w:rPr>
      </w:pPr>
    </w:p>
    <w:p w14:paraId="73260395" w14:textId="77777777" w:rsidR="00714215" w:rsidRDefault="00714215" w:rsidP="0090249E">
      <w:pPr>
        <w:pStyle w:val="MDPI31text"/>
        <w:ind w:left="2040" w:firstLine="510"/>
        <w:rPr>
          <w:rFonts w:asciiTheme="majorBidi" w:hAnsiTheme="majorBidi" w:cstheme="majorBidi"/>
          <w:color w:val="auto"/>
          <w:sz w:val="10"/>
          <w:szCs w:val="10"/>
        </w:rPr>
      </w:pPr>
    </w:p>
    <w:p w14:paraId="1464560E" w14:textId="77777777" w:rsidR="00714215" w:rsidRDefault="00714215" w:rsidP="0090249E">
      <w:pPr>
        <w:pStyle w:val="MDPI31text"/>
        <w:ind w:left="2040" w:firstLine="510"/>
        <w:rPr>
          <w:rFonts w:asciiTheme="majorBidi" w:hAnsiTheme="majorBidi" w:cstheme="majorBidi"/>
          <w:color w:val="auto"/>
          <w:sz w:val="10"/>
          <w:szCs w:val="10"/>
        </w:rPr>
      </w:pPr>
    </w:p>
    <w:p w14:paraId="6846125A" w14:textId="77777777" w:rsidR="00714215" w:rsidRDefault="00714215" w:rsidP="0090249E">
      <w:pPr>
        <w:pStyle w:val="MDPI31text"/>
        <w:ind w:left="2040" w:firstLine="510"/>
        <w:rPr>
          <w:rFonts w:asciiTheme="majorBidi" w:hAnsiTheme="majorBidi" w:cstheme="majorBidi"/>
          <w:color w:val="auto"/>
          <w:sz w:val="10"/>
          <w:szCs w:val="10"/>
        </w:rPr>
      </w:pPr>
    </w:p>
    <w:p w14:paraId="633AFA88" w14:textId="77777777" w:rsidR="00714215" w:rsidRDefault="00714215" w:rsidP="0090249E">
      <w:pPr>
        <w:pStyle w:val="MDPI31text"/>
        <w:ind w:left="2040" w:firstLine="510"/>
        <w:rPr>
          <w:rFonts w:asciiTheme="majorBidi" w:hAnsiTheme="majorBidi" w:cstheme="majorBidi"/>
          <w:color w:val="auto"/>
          <w:sz w:val="10"/>
          <w:szCs w:val="10"/>
        </w:rPr>
      </w:pPr>
    </w:p>
    <w:p w14:paraId="68AA2C90" w14:textId="77777777" w:rsidR="00714215" w:rsidRDefault="00714215" w:rsidP="0090249E">
      <w:pPr>
        <w:pStyle w:val="MDPI31text"/>
        <w:ind w:left="2040" w:firstLine="510"/>
        <w:rPr>
          <w:rFonts w:asciiTheme="majorBidi" w:hAnsiTheme="majorBidi" w:cstheme="majorBidi"/>
          <w:color w:val="auto"/>
          <w:sz w:val="10"/>
          <w:szCs w:val="10"/>
        </w:rPr>
      </w:pPr>
    </w:p>
    <w:p w14:paraId="4390ADDA" w14:textId="12BC9DF8" w:rsidR="0090249E" w:rsidRPr="004A23E6" w:rsidRDefault="00CE65F6" w:rsidP="00CE65F6">
      <w:pPr>
        <w:pStyle w:val="MDPI51figurecaption"/>
        <w:spacing w:after="0" w:line="240" w:lineRule="auto"/>
        <w:ind w:left="0"/>
        <w:rPr>
          <w:rFonts w:ascii="Times New Roman" w:hAnsi="Times New Roman"/>
          <w:b/>
          <w:bCs/>
          <w:color w:val="auto"/>
          <w:sz w:val="20"/>
        </w:rPr>
      </w:pPr>
      <w:r w:rsidRPr="00CE65F6">
        <w:rPr>
          <w:rFonts w:ascii="Times New Roman" w:hAnsi="Times New Roman"/>
          <w:b/>
          <w:bCs/>
          <w:color w:val="auto"/>
          <w:sz w:val="20"/>
        </w:rPr>
        <w:lastRenderedPageBreak/>
        <w:t>Supplementary Material</w:t>
      </w:r>
      <w:r>
        <w:rPr>
          <w:rFonts w:ascii="Times New Roman" w:hAnsi="Times New Roman"/>
          <w:b/>
          <w:bCs/>
          <w:color w:val="auto"/>
        </w:rPr>
        <w:t xml:space="preserve"> 2</w:t>
      </w:r>
      <w:r w:rsidRPr="004A23E6">
        <w:rPr>
          <w:rFonts w:ascii="Times New Roman" w:hAnsi="Times New Roman"/>
          <w:b/>
          <w:bCs/>
          <w:color w:val="auto"/>
        </w:rPr>
        <w:t>:</w:t>
      </w:r>
      <w:r w:rsidR="0090249E" w:rsidRPr="004A23E6">
        <w:rPr>
          <w:rFonts w:ascii="Times New Roman" w:hAnsi="Times New Roman"/>
          <w:b/>
          <w:bCs/>
          <w:color w:val="auto"/>
          <w:sz w:val="20"/>
        </w:rPr>
        <w:t xml:space="preserve"> Dimensions and indicators of adaptive capacity</w:t>
      </w:r>
    </w:p>
    <w:tbl>
      <w:tblPr>
        <w:tblStyle w:val="PlainTable2"/>
        <w:tblpPr w:leftFromText="180" w:rightFromText="180" w:vertAnchor="text" w:tblpY="1"/>
        <w:tblOverlap w:val="never"/>
        <w:tblW w:w="9395" w:type="dxa"/>
        <w:tblLayout w:type="fixed"/>
        <w:tblLook w:val="04A0" w:firstRow="1" w:lastRow="0" w:firstColumn="1" w:lastColumn="0" w:noHBand="0" w:noVBand="1"/>
      </w:tblPr>
      <w:tblGrid>
        <w:gridCol w:w="1260"/>
        <w:gridCol w:w="1412"/>
        <w:gridCol w:w="1863"/>
        <w:gridCol w:w="1696"/>
        <w:gridCol w:w="3164"/>
      </w:tblGrid>
      <w:tr w:rsidR="0090249E" w:rsidRPr="0090249E" w14:paraId="7203B3BD" w14:textId="77777777" w:rsidTr="00F64965">
        <w:trPr>
          <w:cnfStyle w:val="100000000000" w:firstRow="1" w:lastRow="0" w:firstColumn="0" w:lastColumn="0" w:oddVBand="0" w:evenVBand="0" w:oddHBand="0" w:evenHBand="0" w:firstRowFirstColumn="0" w:firstRowLastColumn="0" w:lastRowFirstColumn="0" w:lastRowLastColumn="0"/>
          <w:trHeight w:val="410"/>
          <w:tblHeader/>
        </w:trPr>
        <w:tc>
          <w:tcPr>
            <w:cnfStyle w:val="001000000000" w:firstRow="0" w:lastRow="0" w:firstColumn="1" w:lastColumn="0" w:oddVBand="0" w:evenVBand="0" w:oddHBand="0" w:evenHBand="0" w:firstRowFirstColumn="0" w:firstRowLastColumn="0" w:lastRowFirstColumn="0" w:lastRowLastColumn="0"/>
            <w:tcW w:w="1260" w:type="dxa"/>
          </w:tcPr>
          <w:p w14:paraId="206A5CEA" w14:textId="77777777" w:rsidR="0090249E" w:rsidRPr="0090249E" w:rsidRDefault="0090249E" w:rsidP="00B45E94">
            <w:pPr>
              <w:spacing w:line="240" w:lineRule="auto"/>
              <w:jc w:val="center"/>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Dimensions</w:t>
            </w:r>
          </w:p>
        </w:tc>
        <w:tc>
          <w:tcPr>
            <w:tcW w:w="1412" w:type="dxa"/>
          </w:tcPr>
          <w:p w14:paraId="2B7B32E2" w14:textId="77777777" w:rsidR="0090249E" w:rsidRPr="0090249E" w:rsidRDefault="0090249E" w:rsidP="00B45E9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Indicators</w:t>
            </w:r>
          </w:p>
        </w:tc>
        <w:tc>
          <w:tcPr>
            <w:tcW w:w="1863" w:type="dxa"/>
          </w:tcPr>
          <w:p w14:paraId="305BD295" w14:textId="77777777" w:rsidR="0090249E" w:rsidRPr="0090249E" w:rsidRDefault="0090249E" w:rsidP="00B45E9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Description</w:t>
            </w:r>
          </w:p>
        </w:tc>
        <w:tc>
          <w:tcPr>
            <w:tcW w:w="1696" w:type="dxa"/>
          </w:tcPr>
          <w:p w14:paraId="4DAA66BC" w14:textId="77777777" w:rsidR="0090249E" w:rsidRPr="0090249E" w:rsidRDefault="0090249E" w:rsidP="00B45E9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Relationship with adaptive capacity</w:t>
            </w:r>
          </w:p>
        </w:tc>
        <w:tc>
          <w:tcPr>
            <w:tcW w:w="3164" w:type="dxa"/>
          </w:tcPr>
          <w:p w14:paraId="1D341483" w14:textId="77777777" w:rsidR="0090249E" w:rsidRPr="0090249E" w:rsidRDefault="0090249E" w:rsidP="00B45E9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Reference</w:t>
            </w:r>
          </w:p>
        </w:tc>
      </w:tr>
      <w:tr w:rsidR="0090249E" w:rsidRPr="0090249E" w14:paraId="027F9095" w14:textId="77777777" w:rsidTr="00F64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260" w:type="dxa"/>
          </w:tcPr>
          <w:p w14:paraId="131344D0" w14:textId="77777777" w:rsidR="0090249E" w:rsidRPr="0090249E" w:rsidRDefault="0090249E" w:rsidP="00B45E94">
            <w:pPr>
              <w:spacing w:line="240" w:lineRule="auto"/>
              <w:contextualSpacing/>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Assets base</w:t>
            </w:r>
          </w:p>
        </w:tc>
        <w:tc>
          <w:tcPr>
            <w:tcW w:w="1412" w:type="dxa"/>
          </w:tcPr>
          <w:p w14:paraId="65438972" w14:textId="77777777" w:rsidR="0090249E" w:rsidRPr="0090249E" w:rsidRDefault="0090249E" w:rsidP="00B45E94">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val="0"/>
                <w:color w:val="auto"/>
                <w:sz w:val="18"/>
                <w:szCs w:val="18"/>
                <w:lang w:eastAsia="en-US"/>
              </w:rPr>
            </w:pPr>
          </w:p>
        </w:tc>
        <w:tc>
          <w:tcPr>
            <w:tcW w:w="1863" w:type="dxa"/>
          </w:tcPr>
          <w:p w14:paraId="6AFCC8DB" w14:textId="77777777" w:rsidR="0090249E" w:rsidRPr="0090249E" w:rsidRDefault="0090249E" w:rsidP="00B45E94">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val="0"/>
                <w:color w:val="auto"/>
                <w:sz w:val="18"/>
                <w:szCs w:val="18"/>
                <w:lang w:eastAsia="en-US"/>
              </w:rPr>
            </w:pPr>
          </w:p>
        </w:tc>
        <w:tc>
          <w:tcPr>
            <w:tcW w:w="1696" w:type="dxa"/>
          </w:tcPr>
          <w:p w14:paraId="7EB26FB8" w14:textId="77777777" w:rsidR="0090249E" w:rsidRPr="0090249E" w:rsidRDefault="0090249E" w:rsidP="00B45E94">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val="0"/>
                <w:color w:val="auto"/>
                <w:sz w:val="18"/>
                <w:szCs w:val="18"/>
                <w:lang w:eastAsia="en-US"/>
              </w:rPr>
            </w:pPr>
          </w:p>
        </w:tc>
        <w:tc>
          <w:tcPr>
            <w:tcW w:w="3164" w:type="dxa"/>
          </w:tcPr>
          <w:p w14:paraId="1E74D0EB" w14:textId="77777777" w:rsidR="0090249E" w:rsidRPr="0090249E" w:rsidRDefault="0090249E" w:rsidP="00B45E94">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val="0"/>
                <w:color w:val="auto"/>
                <w:sz w:val="18"/>
                <w:szCs w:val="18"/>
                <w:lang w:eastAsia="en-US"/>
              </w:rPr>
            </w:pPr>
          </w:p>
        </w:tc>
      </w:tr>
      <w:tr w:rsidR="0090249E" w:rsidRPr="0090249E" w14:paraId="1ED9327B" w14:textId="77777777" w:rsidTr="00F64965">
        <w:trPr>
          <w:trHeight w:val="287"/>
        </w:trPr>
        <w:tc>
          <w:tcPr>
            <w:cnfStyle w:val="001000000000" w:firstRow="0" w:lastRow="0" w:firstColumn="1" w:lastColumn="0" w:oddVBand="0" w:evenVBand="0" w:oddHBand="0" w:evenHBand="0" w:firstRowFirstColumn="0" w:firstRowLastColumn="0" w:lastRowFirstColumn="0" w:lastRowLastColumn="0"/>
            <w:tcW w:w="1260" w:type="dxa"/>
          </w:tcPr>
          <w:p w14:paraId="72DA42FF"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r w:rsidRPr="0090249E">
              <w:rPr>
                <w:rFonts w:ascii="Times New Roman" w:hAnsi="Times New Roman"/>
                <w:color w:val="auto"/>
                <w:sz w:val="18"/>
                <w:szCs w:val="18"/>
              </w:rPr>
              <w:t>Human assets</w:t>
            </w:r>
          </w:p>
        </w:tc>
        <w:tc>
          <w:tcPr>
            <w:tcW w:w="1412" w:type="dxa"/>
          </w:tcPr>
          <w:p w14:paraId="3A492A8C"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Education attainment of HH head </w:t>
            </w:r>
          </w:p>
        </w:tc>
        <w:tc>
          <w:tcPr>
            <w:tcW w:w="1863" w:type="dxa"/>
          </w:tcPr>
          <w:p w14:paraId="23F21BA5"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Number of years of education attainment of HH head</w:t>
            </w:r>
          </w:p>
        </w:tc>
        <w:tc>
          <w:tcPr>
            <w:tcW w:w="1696" w:type="dxa"/>
          </w:tcPr>
          <w:p w14:paraId="1A1B5A2B"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r w:rsidRPr="0090249E" w:rsidDel="00C47DE9">
              <w:rPr>
                <w:rFonts w:ascii="Times New Roman" w:hAnsi="Times New Roman"/>
                <w:color w:val="auto"/>
                <w:sz w:val="18"/>
                <w:szCs w:val="18"/>
              </w:rPr>
              <w:t xml:space="preserve"> </w:t>
            </w:r>
          </w:p>
        </w:tc>
        <w:tc>
          <w:tcPr>
            <w:tcW w:w="3164" w:type="dxa"/>
          </w:tcPr>
          <w:p w14:paraId="265ED334" w14:textId="59AF16B9"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Naher and Khulna (2012), Defiesta and Rapera (201</w:t>
            </w:r>
            <w:r w:rsidR="008D4C99">
              <w:rPr>
                <w:rFonts w:ascii="Times New Roman" w:hAnsi="Times New Roman"/>
                <w:color w:val="auto"/>
                <w:sz w:val="18"/>
                <w:szCs w:val="18"/>
              </w:rPr>
              <w:t>4</w:t>
            </w:r>
            <w:r w:rsidRPr="0090249E">
              <w:rPr>
                <w:rFonts w:ascii="Times New Roman" w:hAnsi="Times New Roman"/>
                <w:color w:val="auto"/>
                <w:sz w:val="18"/>
                <w:szCs w:val="18"/>
              </w:rPr>
              <w:t xml:space="preserve">), Abagat et al. (2017), Gupta et al. (2017), Ali and Erenstein (2017), </w:t>
            </w:r>
            <w:r w:rsidR="008D4C99">
              <w:rPr>
                <w:rFonts w:ascii="Times New Roman" w:hAnsi="Times New Roman"/>
                <w:color w:val="auto"/>
                <w:sz w:val="18"/>
                <w:szCs w:val="18"/>
              </w:rPr>
              <w:t>Abdul-</w:t>
            </w:r>
            <w:r w:rsidRPr="0090249E">
              <w:rPr>
                <w:rFonts w:ascii="Times New Roman" w:hAnsi="Times New Roman"/>
                <w:color w:val="auto"/>
                <w:sz w:val="18"/>
                <w:szCs w:val="18"/>
              </w:rPr>
              <w:t xml:space="preserve">Razak and Kruse (2017), Ullah et al. (2018), Chepkoech et al. (2020), Jamshidi et al. (2020), Mesfin et al. (2020), Siders (2019), Datta and Behera, (2022) </w:t>
            </w:r>
          </w:p>
        </w:tc>
      </w:tr>
      <w:tr w:rsidR="0090249E" w:rsidRPr="0090249E" w14:paraId="00AFD35A" w14:textId="77777777" w:rsidTr="00F64965">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0D726231"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p>
        </w:tc>
        <w:tc>
          <w:tcPr>
            <w:tcW w:w="1412" w:type="dxa"/>
          </w:tcPr>
          <w:p w14:paraId="782DAC8B"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Skill training</w:t>
            </w:r>
          </w:p>
        </w:tc>
        <w:tc>
          <w:tcPr>
            <w:tcW w:w="1863" w:type="dxa"/>
          </w:tcPr>
          <w:p w14:paraId="0B4139E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Number of types of training that the HH member attended </w:t>
            </w:r>
          </w:p>
        </w:tc>
        <w:tc>
          <w:tcPr>
            <w:tcW w:w="1696" w:type="dxa"/>
          </w:tcPr>
          <w:p w14:paraId="6057DC1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25A33187" w14:textId="47CD212C"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Defiesta and Rapera (201</w:t>
            </w:r>
            <w:r w:rsidR="008D4C99">
              <w:rPr>
                <w:rFonts w:ascii="Times New Roman" w:hAnsi="Times New Roman"/>
                <w:color w:val="auto"/>
                <w:sz w:val="18"/>
                <w:szCs w:val="18"/>
              </w:rPr>
              <w:t>4</w:t>
            </w:r>
            <w:r w:rsidRPr="0090249E">
              <w:rPr>
                <w:rFonts w:ascii="Times New Roman" w:hAnsi="Times New Roman"/>
                <w:color w:val="auto"/>
                <w:sz w:val="18"/>
                <w:szCs w:val="18"/>
              </w:rPr>
              <w:t xml:space="preserve">), </w:t>
            </w:r>
            <w:r w:rsidR="008D4C99" w:rsidRPr="008D4C99">
              <w:rPr>
                <w:rFonts w:ascii="Times New Roman" w:hAnsi="Times New Roman"/>
                <w:color w:val="auto"/>
                <w:sz w:val="18"/>
                <w:szCs w:val="18"/>
              </w:rPr>
              <w:t xml:space="preserve">Abagat et al. </w:t>
            </w:r>
            <w:r w:rsidR="008D4C99">
              <w:rPr>
                <w:rFonts w:ascii="Times New Roman" w:hAnsi="Times New Roman"/>
                <w:color w:val="auto"/>
                <w:sz w:val="18"/>
                <w:szCs w:val="18"/>
              </w:rPr>
              <w:t xml:space="preserve"> </w:t>
            </w:r>
            <w:r w:rsidRPr="0090249E">
              <w:rPr>
                <w:rFonts w:ascii="Times New Roman" w:hAnsi="Times New Roman"/>
                <w:color w:val="auto"/>
                <w:sz w:val="18"/>
                <w:szCs w:val="18"/>
              </w:rPr>
              <w:t xml:space="preserve">(2017), Mesfin et al. (2020) </w:t>
            </w:r>
          </w:p>
        </w:tc>
      </w:tr>
      <w:tr w:rsidR="0090249E" w:rsidRPr="0090249E" w14:paraId="506CA8C8"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744BC5DC"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p>
        </w:tc>
        <w:tc>
          <w:tcPr>
            <w:tcW w:w="1412" w:type="dxa"/>
          </w:tcPr>
          <w:p w14:paraId="19F2828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Health status</w:t>
            </w:r>
          </w:p>
        </w:tc>
        <w:tc>
          <w:tcPr>
            <w:tcW w:w="1863" w:type="dxa"/>
          </w:tcPr>
          <w:p w14:paraId="0786794C"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Number of types and frequency of diseases in the household</w:t>
            </w:r>
          </w:p>
        </w:tc>
        <w:tc>
          <w:tcPr>
            <w:tcW w:w="1696" w:type="dxa"/>
          </w:tcPr>
          <w:p w14:paraId="4CE7FC93"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7AD1746E" w14:textId="237E7CD6" w:rsidR="0090249E" w:rsidRPr="0090249E" w:rsidRDefault="008D4C99"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8D4C99">
              <w:rPr>
                <w:rFonts w:ascii="Times New Roman" w:hAnsi="Times New Roman"/>
                <w:color w:val="auto"/>
                <w:sz w:val="18"/>
                <w:szCs w:val="18"/>
              </w:rPr>
              <w:t>Abagat et al.</w:t>
            </w:r>
            <w:r w:rsidR="0090249E" w:rsidRPr="0090249E">
              <w:rPr>
                <w:rFonts w:ascii="Times New Roman" w:hAnsi="Times New Roman"/>
                <w:color w:val="auto"/>
                <w:sz w:val="18"/>
                <w:szCs w:val="18"/>
              </w:rPr>
              <w:t xml:space="preserve"> (2017), Mesfin et al. (2020)</w:t>
            </w:r>
          </w:p>
        </w:tc>
      </w:tr>
      <w:tr w:rsidR="0090249E" w:rsidRPr="0090249E" w14:paraId="581A4454" w14:textId="77777777" w:rsidTr="00F64965">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260" w:type="dxa"/>
            <w:vMerge/>
          </w:tcPr>
          <w:p w14:paraId="7393CE34" w14:textId="77777777" w:rsidR="0090249E" w:rsidRPr="0090249E" w:rsidRDefault="0090249E" w:rsidP="00B45E94">
            <w:pPr>
              <w:autoSpaceDE w:val="0"/>
              <w:autoSpaceDN w:val="0"/>
              <w:adjustRightInd w:val="0"/>
              <w:snapToGrid w:val="0"/>
              <w:spacing w:line="240" w:lineRule="auto"/>
              <w:jc w:val="left"/>
              <w:rPr>
                <w:rFonts w:ascii="Times New Roman" w:hAnsi="Times New Roman"/>
                <w:color w:val="auto"/>
                <w:sz w:val="18"/>
                <w:szCs w:val="18"/>
              </w:rPr>
            </w:pPr>
          </w:p>
        </w:tc>
        <w:tc>
          <w:tcPr>
            <w:tcW w:w="1412" w:type="dxa"/>
          </w:tcPr>
          <w:p w14:paraId="085AA10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Farming experience </w:t>
            </w:r>
          </w:p>
        </w:tc>
        <w:tc>
          <w:tcPr>
            <w:tcW w:w="1863" w:type="dxa"/>
          </w:tcPr>
          <w:p w14:paraId="17E007A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Number of years of farming</w:t>
            </w:r>
          </w:p>
        </w:tc>
        <w:tc>
          <w:tcPr>
            <w:tcW w:w="1696" w:type="dxa"/>
          </w:tcPr>
          <w:p w14:paraId="08931692"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0DD5A4A7" w14:textId="67C7B118"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Defiesta and Rapera (201</w:t>
            </w:r>
            <w:r w:rsidR="008D4C99">
              <w:rPr>
                <w:rFonts w:ascii="Times New Roman" w:hAnsi="Times New Roman"/>
                <w:color w:val="auto"/>
                <w:sz w:val="18"/>
                <w:szCs w:val="18"/>
              </w:rPr>
              <w:t>4</w:t>
            </w:r>
            <w:r w:rsidRPr="0090249E">
              <w:rPr>
                <w:rFonts w:ascii="Times New Roman" w:hAnsi="Times New Roman"/>
                <w:color w:val="auto"/>
                <w:sz w:val="18"/>
                <w:szCs w:val="18"/>
              </w:rPr>
              <w:t xml:space="preserve">), Razak and Kruse (2017), Ullah et al. (2018), Chepkoech et al. (2020), Mesfin et al. (2020), Datta and Behera, (2022), Pickson et al. (2021) </w:t>
            </w:r>
          </w:p>
        </w:tc>
      </w:tr>
      <w:tr w:rsidR="0090249E" w:rsidRPr="0090249E" w14:paraId="7A93F5EF" w14:textId="77777777" w:rsidTr="00F64965">
        <w:trPr>
          <w:trHeight w:val="621"/>
        </w:trPr>
        <w:tc>
          <w:tcPr>
            <w:cnfStyle w:val="001000000000" w:firstRow="0" w:lastRow="0" w:firstColumn="1" w:lastColumn="0" w:oddVBand="0" w:evenVBand="0" w:oddHBand="0" w:evenHBand="0" w:firstRowFirstColumn="0" w:firstRowLastColumn="0" w:lastRowFirstColumn="0" w:lastRowLastColumn="0"/>
            <w:tcW w:w="1260" w:type="dxa"/>
            <w:vMerge/>
          </w:tcPr>
          <w:p w14:paraId="02BC240F"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06C00940"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Dependency ratio</w:t>
            </w:r>
          </w:p>
        </w:tc>
        <w:tc>
          <w:tcPr>
            <w:tcW w:w="1863" w:type="dxa"/>
          </w:tcPr>
          <w:p w14:paraId="102F9FC4"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The dependency ratio al HH</w:t>
            </w:r>
          </w:p>
        </w:tc>
        <w:tc>
          <w:tcPr>
            <w:tcW w:w="1696" w:type="dxa"/>
          </w:tcPr>
          <w:p w14:paraId="0E10DF90"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85D58D7" w14:textId="46F46F23" w:rsidR="0090249E" w:rsidRPr="0090249E" w:rsidRDefault="008D4C99"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8D4C99">
              <w:rPr>
                <w:rFonts w:ascii="Times New Roman" w:hAnsi="Times New Roman"/>
                <w:color w:val="auto"/>
                <w:sz w:val="18"/>
                <w:szCs w:val="18"/>
              </w:rPr>
              <w:t>Abagat et al.</w:t>
            </w:r>
            <w:r w:rsidRPr="0090249E">
              <w:rPr>
                <w:rFonts w:ascii="Times New Roman" w:hAnsi="Times New Roman"/>
                <w:color w:val="auto"/>
                <w:sz w:val="18"/>
                <w:szCs w:val="18"/>
              </w:rPr>
              <w:t xml:space="preserve"> </w:t>
            </w:r>
            <w:r w:rsidR="0090249E" w:rsidRPr="0090249E">
              <w:rPr>
                <w:rFonts w:ascii="Times New Roman" w:hAnsi="Times New Roman"/>
                <w:color w:val="auto"/>
                <w:sz w:val="18"/>
                <w:szCs w:val="18"/>
              </w:rPr>
              <w:t xml:space="preserve">(2017), Ullah et al. (2018), </w:t>
            </w:r>
          </w:p>
          <w:p w14:paraId="7025F0CE"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0BBBB781"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194ECFA2"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F802C6D"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of adults  population (15 – 65)</w:t>
            </w:r>
          </w:p>
        </w:tc>
        <w:tc>
          <w:tcPr>
            <w:tcW w:w="1863" w:type="dxa"/>
          </w:tcPr>
          <w:p w14:paraId="733542BD"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Number of adult population at HH</w:t>
            </w:r>
          </w:p>
        </w:tc>
        <w:tc>
          <w:tcPr>
            <w:tcW w:w="1696" w:type="dxa"/>
          </w:tcPr>
          <w:p w14:paraId="5D4E314A"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1BC5BBA0" w14:textId="72E1D3A3"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Defiesta and Rapera (2015)</w:t>
            </w:r>
            <w:r w:rsidR="008D4C99">
              <w:rPr>
                <w:rFonts w:ascii="Times New Roman" w:hAnsi="Times New Roman"/>
                <w:color w:val="auto"/>
                <w:sz w:val="18"/>
                <w:szCs w:val="18"/>
              </w:rPr>
              <w:t>,</w:t>
            </w:r>
            <w:r w:rsidRPr="0090249E">
              <w:rPr>
                <w:rFonts w:ascii="Times New Roman" w:hAnsi="Times New Roman"/>
                <w:color w:val="auto"/>
                <w:sz w:val="18"/>
                <w:szCs w:val="18"/>
              </w:rPr>
              <w:t xml:space="preserve"> Jamshidi et al. (2020), Mesfin et al. (2020)</w:t>
            </w:r>
          </w:p>
        </w:tc>
      </w:tr>
      <w:tr w:rsidR="0090249E" w:rsidRPr="0090249E" w14:paraId="6E7DEABB"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3B7B8331"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0C64B28A"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of adult enable to work</w:t>
            </w:r>
          </w:p>
        </w:tc>
        <w:tc>
          <w:tcPr>
            <w:tcW w:w="1863" w:type="dxa"/>
          </w:tcPr>
          <w:p w14:paraId="0E221368"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Number of adult population enable to work</w:t>
            </w:r>
          </w:p>
        </w:tc>
        <w:tc>
          <w:tcPr>
            <w:tcW w:w="1696" w:type="dxa"/>
          </w:tcPr>
          <w:p w14:paraId="4C4F23E5"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1320DAFD" w14:textId="76237002" w:rsidR="0090249E" w:rsidRPr="0090249E" w:rsidRDefault="006E62CB"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8D4C99">
              <w:rPr>
                <w:rFonts w:ascii="Times New Roman" w:hAnsi="Times New Roman"/>
                <w:color w:val="auto"/>
                <w:sz w:val="18"/>
                <w:szCs w:val="18"/>
              </w:rPr>
              <w:t>Abagat et al.</w:t>
            </w:r>
            <w:r>
              <w:rPr>
                <w:rFonts w:ascii="Times New Roman" w:hAnsi="Times New Roman"/>
                <w:color w:val="auto"/>
                <w:sz w:val="18"/>
                <w:szCs w:val="18"/>
              </w:rPr>
              <w:t xml:space="preserve"> </w:t>
            </w:r>
            <w:r w:rsidR="0090249E" w:rsidRPr="0090249E">
              <w:rPr>
                <w:rFonts w:ascii="Times New Roman" w:hAnsi="Times New Roman"/>
                <w:color w:val="auto"/>
                <w:sz w:val="18"/>
                <w:szCs w:val="18"/>
              </w:rPr>
              <w:t>(2017), Ali and Erenstein (2017), Mesfin et al. (2020)</w:t>
            </w:r>
          </w:p>
        </w:tc>
      </w:tr>
      <w:tr w:rsidR="0090249E" w:rsidRPr="0090249E" w14:paraId="578ED8DC" w14:textId="77777777" w:rsidTr="00F6496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260" w:type="dxa"/>
          </w:tcPr>
          <w:p w14:paraId="6FA30B6E"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5CFA72C5"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Distance to basic health services</w:t>
            </w:r>
          </w:p>
        </w:tc>
        <w:tc>
          <w:tcPr>
            <w:tcW w:w="1863" w:type="dxa"/>
          </w:tcPr>
          <w:p w14:paraId="0F11DA7E"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Time distance to nearest health services</w:t>
            </w:r>
          </w:p>
        </w:tc>
        <w:tc>
          <w:tcPr>
            <w:tcW w:w="1696" w:type="dxa"/>
          </w:tcPr>
          <w:p w14:paraId="3AF7CEF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4FCBC69A"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Choden et al. (2020), Datta and Behera (2022)</w:t>
            </w:r>
          </w:p>
        </w:tc>
      </w:tr>
      <w:tr w:rsidR="0090249E" w:rsidRPr="0090249E" w14:paraId="4497E3E5" w14:textId="77777777" w:rsidTr="00F64965">
        <w:trPr>
          <w:trHeight w:val="1032"/>
        </w:trPr>
        <w:tc>
          <w:tcPr>
            <w:cnfStyle w:val="001000000000" w:firstRow="0" w:lastRow="0" w:firstColumn="1" w:lastColumn="0" w:oddVBand="0" w:evenVBand="0" w:oddHBand="0" w:evenHBand="0" w:firstRowFirstColumn="0" w:firstRowLastColumn="0" w:lastRowFirstColumn="0" w:lastRowLastColumn="0"/>
            <w:tcW w:w="1260" w:type="dxa"/>
          </w:tcPr>
          <w:p w14:paraId="1E2264BD"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 xml:space="preserve">Physical </w:t>
            </w:r>
          </w:p>
          <w:p w14:paraId="287F60F5"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assets</w:t>
            </w:r>
          </w:p>
        </w:tc>
        <w:tc>
          <w:tcPr>
            <w:tcW w:w="1412" w:type="dxa"/>
          </w:tcPr>
          <w:p w14:paraId="39B7569E"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Access to irrigation </w:t>
            </w:r>
          </w:p>
        </w:tc>
        <w:tc>
          <w:tcPr>
            <w:tcW w:w="1863" w:type="dxa"/>
          </w:tcPr>
          <w:p w14:paraId="4982CD68"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Regular access to  irrigation</w:t>
            </w:r>
          </w:p>
        </w:tc>
        <w:tc>
          <w:tcPr>
            <w:tcW w:w="1696" w:type="dxa"/>
          </w:tcPr>
          <w:p w14:paraId="3A0ED8BC"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669D88D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Defiesta and Rapera (2014), Razak and Kruse (2017), Ullah et al. (2018), Kabobah et al. (2018), Chepkoech et al. (2020), Datta and Behera, (2022), Jamshidi et al. (2020), Mesfin et al. (2020), Pickson et al. (2021)</w:t>
            </w:r>
          </w:p>
        </w:tc>
      </w:tr>
      <w:tr w:rsidR="0090249E" w:rsidRPr="0090249E" w14:paraId="7909EB47" w14:textId="77777777" w:rsidTr="00F64965">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120E93B9"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5445D747"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Types of irrigation</w:t>
            </w:r>
          </w:p>
        </w:tc>
        <w:tc>
          <w:tcPr>
            <w:tcW w:w="1863" w:type="dxa"/>
          </w:tcPr>
          <w:p w14:paraId="1660AC0B"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Types and number  of irrigation sources </w:t>
            </w:r>
          </w:p>
        </w:tc>
        <w:tc>
          <w:tcPr>
            <w:tcW w:w="1696" w:type="dxa"/>
          </w:tcPr>
          <w:p w14:paraId="15B4CF0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54771FC0" w14:textId="13E16DDA" w:rsidR="0090249E" w:rsidRPr="0090249E" w:rsidRDefault="006E62CB"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8D4C99">
              <w:rPr>
                <w:rFonts w:ascii="Times New Roman" w:hAnsi="Times New Roman"/>
                <w:color w:val="auto"/>
                <w:sz w:val="18"/>
                <w:szCs w:val="18"/>
              </w:rPr>
              <w:t>Abagat et al.</w:t>
            </w:r>
            <w:r w:rsidRPr="0090249E">
              <w:rPr>
                <w:rFonts w:ascii="Times New Roman" w:hAnsi="Times New Roman"/>
                <w:color w:val="auto"/>
                <w:sz w:val="18"/>
                <w:szCs w:val="18"/>
              </w:rPr>
              <w:t xml:space="preserve"> </w:t>
            </w:r>
            <w:r w:rsidR="0090249E" w:rsidRPr="0090249E">
              <w:rPr>
                <w:rFonts w:ascii="Times New Roman" w:hAnsi="Times New Roman"/>
                <w:color w:val="auto"/>
                <w:sz w:val="18"/>
                <w:szCs w:val="18"/>
              </w:rPr>
              <w:t>(2017), Ullah et al. (2018), Chepkoech et al. (2020), Datta and Behera, (2022)</w:t>
            </w:r>
          </w:p>
        </w:tc>
      </w:tr>
      <w:tr w:rsidR="0090249E" w:rsidRPr="0090249E" w14:paraId="650099A5" w14:textId="77777777" w:rsidTr="00F64965">
        <w:trPr>
          <w:trHeight w:val="765"/>
        </w:trPr>
        <w:tc>
          <w:tcPr>
            <w:cnfStyle w:val="001000000000" w:firstRow="0" w:lastRow="0" w:firstColumn="1" w:lastColumn="0" w:oddVBand="0" w:evenVBand="0" w:oddHBand="0" w:evenHBand="0" w:firstRowFirstColumn="0" w:firstRowLastColumn="0" w:lastRowFirstColumn="0" w:lastRowLastColumn="0"/>
            <w:tcW w:w="1260" w:type="dxa"/>
            <w:vMerge/>
          </w:tcPr>
          <w:p w14:paraId="0C93FD87"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2471EBE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Road accessibility </w:t>
            </w:r>
          </w:p>
        </w:tc>
        <w:tc>
          <w:tcPr>
            <w:tcW w:w="1863" w:type="dxa"/>
          </w:tcPr>
          <w:p w14:paraId="4173B7D0"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Time distance to nearest road head </w:t>
            </w:r>
          </w:p>
        </w:tc>
        <w:tc>
          <w:tcPr>
            <w:tcW w:w="1696" w:type="dxa"/>
          </w:tcPr>
          <w:p w14:paraId="0F5F7790"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5C7A905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Razak and Kruse (2017), Jamshidi et al. (2020), Mesfin et al. (2020), Chepkoech et al. (2020), Datta and Behera, (2022)</w:t>
            </w:r>
          </w:p>
        </w:tc>
      </w:tr>
      <w:tr w:rsidR="0090249E" w:rsidRPr="0090249E" w14:paraId="0F6E8110" w14:textId="77777777" w:rsidTr="00F64965">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260" w:type="dxa"/>
            <w:vMerge/>
          </w:tcPr>
          <w:p w14:paraId="63133DAF"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4324E3E"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Nearest to the market</w:t>
            </w:r>
          </w:p>
        </w:tc>
        <w:tc>
          <w:tcPr>
            <w:tcW w:w="1863" w:type="dxa"/>
          </w:tcPr>
          <w:p w14:paraId="48F0A16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Time distance to nearest market</w:t>
            </w:r>
          </w:p>
        </w:tc>
        <w:tc>
          <w:tcPr>
            <w:tcW w:w="1696" w:type="dxa"/>
          </w:tcPr>
          <w:p w14:paraId="526CB014"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2EABC9EE" w14:textId="7418DBDA" w:rsidR="0090249E" w:rsidRPr="0090249E" w:rsidRDefault="006E62CB"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8D4C99">
              <w:rPr>
                <w:rFonts w:ascii="Times New Roman" w:hAnsi="Times New Roman"/>
                <w:color w:val="auto"/>
                <w:sz w:val="18"/>
                <w:szCs w:val="18"/>
              </w:rPr>
              <w:t>Abagat et al.</w:t>
            </w:r>
            <w:r>
              <w:rPr>
                <w:rFonts w:ascii="Times New Roman" w:hAnsi="Times New Roman"/>
                <w:color w:val="auto"/>
                <w:sz w:val="18"/>
                <w:szCs w:val="18"/>
              </w:rPr>
              <w:t xml:space="preserve"> </w:t>
            </w:r>
            <w:r w:rsidR="0090249E" w:rsidRPr="0090249E">
              <w:rPr>
                <w:rFonts w:ascii="Times New Roman" w:hAnsi="Times New Roman"/>
                <w:color w:val="auto"/>
                <w:sz w:val="18"/>
                <w:szCs w:val="18"/>
              </w:rPr>
              <w:t>(2017),  Datta and Behera (2022)</w:t>
            </w:r>
          </w:p>
        </w:tc>
      </w:tr>
      <w:tr w:rsidR="0090249E" w:rsidRPr="0090249E" w14:paraId="4B436FC6"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1D59EEDF"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1E2DB35C"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Farm tenure </w:t>
            </w:r>
          </w:p>
        </w:tc>
        <w:tc>
          <w:tcPr>
            <w:tcW w:w="1863" w:type="dxa"/>
          </w:tcPr>
          <w:p w14:paraId="5A469BCC"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Farm tenure</w:t>
            </w:r>
          </w:p>
        </w:tc>
        <w:tc>
          <w:tcPr>
            <w:tcW w:w="1696" w:type="dxa"/>
          </w:tcPr>
          <w:p w14:paraId="61D3D6F8"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16EADD9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Jones et al. (2010), Naher and Khulna (2012), Fosu-Mensah et al. (2012), Teklewold et al. (2013), Defiesta and Rapera (2014), Abagat et al. (2017), Razak and Kruse (2017), Kabobah et al. (2018), Chepkoech et al. (2020), Jamshidi et al. (2020), Mesfin et al. (2020), Datta and Behera, (2022)</w:t>
            </w:r>
          </w:p>
        </w:tc>
      </w:tr>
      <w:tr w:rsidR="0090249E" w:rsidRPr="0090249E" w14:paraId="0EB8B19B"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7523E62E"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D42581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Farm size</w:t>
            </w:r>
          </w:p>
        </w:tc>
        <w:tc>
          <w:tcPr>
            <w:tcW w:w="1863" w:type="dxa"/>
          </w:tcPr>
          <w:p w14:paraId="753A3B0D"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Size of farm </w:t>
            </w:r>
          </w:p>
        </w:tc>
        <w:tc>
          <w:tcPr>
            <w:tcW w:w="1696" w:type="dxa"/>
          </w:tcPr>
          <w:p w14:paraId="55F853B0"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2AF6B6B" w14:textId="2798D4C4"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Defiesta and Rapera (2015), Razak and Kruse (2017), Abagat et al. (2017), Chepkoech et al. (2020), Choden et al. (2020), Mesfin, et al. (2020)</w:t>
            </w:r>
            <w:r w:rsidR="006E62CB">
              <w:rPr>
                <w:rFonts w:ascii="Times New Roman" w:hAnsi="Times New Roman"/>
                <w:color w:val="auto"/>
                <w:sz w:val="18"/>
                <w:szCs w:val="18"/>
              </w:rPr>
              <w:t>,</w:t>
            </w:r>
            <w:r w:rsidRPr="0090249E">
              <w:rPr>
                <w:rFonts w:ascii="Times New Roman" w:hAnsi="Times New Roman"/>
                <w:color w:val="auto"/>
                <w:sz w:val="18"/>
                <w:szCs w:val="18"/>
              </w:rPr>
              <w:t xml:space="preserve"> Datta and Behera, (2022), Pickson et al. (2021) </w:t>
            </w:r>
          </w:p>
        </w:tc>
      </w:tr>
      <w:tr w:rsidR="0090249E" w:rsidRPr="0090249E" w14:paraId="066271D1"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5E823098"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438F1448"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Modern farm tool </w:t>
            </w:r>
          </w:p>
        </w:tc>
        <w:tc>
          <w:tcPr>
            <w:tcW w:w="1863" w:type="dxa"/>
          </w:tcPr>
          <w:p w14:paraId="6309D88F"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Access and use modern farm tool /machinery</w:t>
            </w:r>
          </w:p>
        </w:tc>
        <w:tc>
          <w:tcPr>
            <w:tcW w:w="1696" w:type="dxa"/>
          </w:tcPr>
          <w:p w14:paraId="0BC5CDF4"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E7AC19D" w14:textId="54D3A6E0"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Defiesta and Rapera (2015), Abagat et al. (2017), Chepkoech et al. (2020)</w:t>
            </w:r>
            <w:r w:rsidR="006E62CB">
              <w:rPr>
                <w:rFonts w:ascii="Times New Roman" w:hAnsi="Times New Roman"/>
                <w:color w:val="auto"/>
                <w:sz w:val="18"/>
                <w:szCs w:val="18"/>
              </w:rPr>
              <w:t>,</w:t>
            </w:r>
            <w:r w:rsidRPr="0090249E">
              <w:rPr>
                <w:rFonts w:ascii="Times New Roman" w:hAnsi="Times New Roman"/>
                <w:color w:val="auto"/>
                <w:sz w:val="18"/>
                <w:szCs w:val="18"/>
              </w:rPr>
              <w:t xml:space="preserve"> Mesfin et al. (2020), </w:t>
            </w:r>
          </w:p>
        </w:tc>
      </w:tr>
      <w:tr w:rsidR="0090249E" w:rsidRPr="0090249E" w14:paraId="3D50E44B"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09B500DF"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FEF2959"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House type </w:t>
            </w:r>
          </w:p>
        </w:tc>
        <w:tc>
          <w:tcPr>
            <w:tcW w:w="1863" w:type="dxa"/>
          </w:tcPr>
          <w:p w14:paraId="15124055"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More permanent Type of house</w:t>
            </w:r>
          </w:p>
        </w:tc>
        <w:tc>
          <w:tcPr>
            <w:tcW w:w="1696" w:type="dxa"/>
          </w:tcPr>
          <w:p w14:paraId="783AC03D"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00EDC951"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6BE26473"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6352F01B"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FD21F7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Access to electricity </w:t>
            </w:r>
          </w:p>
        </w:tc>
        <w:tc>
          <w:tcPr>
            <w:tcW w:w="1863" w:type="dxa"/>
          </w:tcPr>
          <w:p w14:paraId="3B0DE20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Access to energy source</w:t>
            </w:r>
          </w:p>
        </w:tc>
        <w:tc>
          <w:tcPr>
            <w:tcW w:w="1696" w:type="dxa"/>
          </w:tcPr>
          <w:p w14:paraId="1EA549F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4613424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Naher and Khulna (2012), Kabobah et al. (2018)</w:t>
            </w:r>
          </w:p>
        </w:tc>
      </w:tr>
      <w:tr w:rsidR="0090249E" w:rsidRPr="0090249E" w14:paraId="6DCFDE43"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673474A1"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626B3135"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Livestock </w:t>
            </w:r>
          </w:p>
        </w:tc>
        <w:tc>
          <w:tcPr>
            <w:tcW w:w="1863" w:type="dxa"/>
          </w:tcPr>
          <w:p w14:paraId="454BAD99"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Number of livestock </w:t>
            </w:r>
          </w:p>
        </w:tc>
        <w:tc>
          <w:tcPr>
            <w:tcW w:w="1696" w:type="dxa"/>
          </w:tcPr>
          <w:p w14:paraId="034F9D47"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20516657"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Jamshidi et al. (2020)</w:t>
            </w:r>
          </w:p>
        </w:tc>
      </w:tr>
      <w:tr w:rsidR="0090249E" w:rsidRPr="0090249E" w14:paraId="660B287B"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5A8EAC32"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2E70DDBF"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Mobile phone</w:t>
            </w:r>
          </w:p>
        </w:tc>
        <w:tc>
          <w:tcPr>
            <w:tcW w:w="1863" w:type="dxa"/>
          </w:tcPr>
          <w:p w14:paraId="3AF7AB3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Access to phone</w:t>
            </w:r>
          </w:p>
        </w:tc>
        <w:tc>
          <w:tcPr>
            <w:tcW w:w="1696" w:type="dxa"/>
          </w:tcPr>
          <w:p w14:paraId="4A708472"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5995E1FA"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Kabobah et al. (2018), Jamshidi et al. (2020), Mesfin et al. (2020)</w:t>
            </w:r>
          </w:p>
        </w:tc>
      </w:tr>
      <w:tr w:rsidR="0090249E" w:rsidRPr="0090249E" w14:paraId="01D2650D"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551CEFC4"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5227206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Radio, TV </w:t>
            </w:r>
          </w:p>
        </w:tc>
        <w:tc>
          <w:tcPr>
            <w:tcW w:w="1863" w:type="dxa"/>
          </w:tcPr>
          <w:p w14:paraId="4213B07E"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Access to radio and TV</w:t>
            </w:r>
          </w:p>
        </w:tc>
        <w:tc>
          <w:tcPr>
            <w:tcW w:w="1696" w:type="dxa"/>
          </w:tcPr>
          <w:p w14:paraId="0866A2C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647F46F7"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Kabobah et al. (2018)</w:t>
            </w:r>
          </w:p>
        </w:tc>
      </w:tr>
      <w:tr w:rsidR="0090249E" w:rsidRPr="0090249E" w14:paraId="3DB06C58"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7F7B45BD"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372F4F5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Access to health services </w:t>
            </w:r>
          </w:p>
        </w:tc>
        <w:tc>
          <w:tcPr>
            <w:tcW w:w="1863" w:type="dxa"/>
          </w:tcPr>
          <w:p w14:paraId="2D03616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Time distance to health services</w:t>
            </w:r>
          </w:p>
        </w:tc>
        <w:tc>
          <w:tcPr>
            <w:tcW w:w="1696" w:type="dxa"/>
          </w:tcPr>
          <w:p w14:paraId="75BC40A5"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5208FBCB"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Choden et al. (2020), Jamshidi et al. (2020)</w:t>
            </w:r>
          </w:p>
        </w:tc>
      </w:tr>
      <w:tr w:rsidR="0090249E" w:rsidRPr="0090249E" w14:paraId="6DA7BA2B"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34393E64"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 xml:space="preserve">Natural </w:t>
            </w:r>
          </w:p>
          <w:p w14:paraId="131B54AD"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assets</w:t>
            </w:r>
          </w:p>
        </w:tc>
        <w:tc>
          <w:tcPr>
            <w:tcW w:w="1412" w:type="dxa"/>
          </w:tcPr>
          <w:p w14:paraId="1A8C3C3A"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Access to drinking water</w:t>
            </w:r>
          </w:p>
        </w:tc>
        <w:tc>
          <w:tcPr>
            <w:tcW w:w="1863" w:type="dxa"/>
          </w:tcPr>
          <w:p w14:paraId="10EF4C9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Time distance to drinking water source</w:t>
            </w:r>
          </w:p>
        </w:tc>
        <w:tc>
          <w:tcPr>
            <w:tcW w:w="1696" w:type="dxa"/>
          </w:tcPr>
          <w:p w14:paraId="47594C2A"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47CBB9E7"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Naher and Khulna (2012), Chepkoech et al. (2020), Mesfin et al. (2020) </w:t>
            </w:r>
          </w:p>
        </w:tc>
      </w:tr>
      <w:tr w:rsidR="0090249E" w:rsidRPr="0090249E" w14:paraId="0FF03282"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569DE8FF"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030075B4"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Access to grazing land</w:t>
            </w:r>
          </w:p>
        </w:tc>
        <w:tc>
          <w:tcPr>
            <w:tcW w:w="1863" w:type="dxa"/>
          </w:tcPr>
          <w:p w14:paraId="43B01F8E"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Access to  grazing land</w:t>
            </w:r>
          </w:p>
        </w:tc>
        <w:tc>
          <w:tcPr>
            <w:tcW w:w="1696" w:type="dxa"/>
          </w:tcPr>
          <w:p w14:paraId="56B7680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551E8C10"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66395AA9"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0CCE5FE6"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6441B6A5"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Access to forest resources</w:t>
            </w:r>
          </w:p>
        </w:tc>
        <w:tc>
          <w:tcPr>
            <w:tcW w:w="1863" w:type="dxa"/>
          </w:tcPr>
          <w:p w14:paraId="4808CBB5"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Access to forest resources</w:t>
            </w:r>
          </w:p>
        </w:tc>
        <w:tc>
          <w:tcPr>
            <w:tcW w:w="1696" w:type="dxa"/>
          </w:tcPr>
          <w:p w14:paraId="147BAA9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674BE91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2B1B59FF" w14:textId="77777777" w:rsidTr="00F64965">
        <w:trPr>
          <w:trHeight w:val="1072"/>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415800A7"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 xml:space="preserve">Financial </w:t>
            </w:r>
          </w:p>
          <w:p w14:paraId="681DD8CA"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assets</w:t>
            </w:r>
          </w:p>
        </w:tc>
        <w:tc>
          <w:tcPr>
            <w:tcW w:w="1412" w:type="dxa"/>
          </w:tcPr>
          <w:p w14:paraId="5C129A38"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Types of income source </w:t>
            </w:r>
          </w:p>
        </w:tc>
        <w:tc>
          <w:tcPr>
            <w:tcW w:w="1863" w:type="dxa"/>
          </w:tcPr>
          <w:p w14:paraId="50B33235"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 Multiple income sources</w:t>
            </w:r>
          </w:p>
        </w:tc>
        <w:tc>
          <w:tcPr>
            <w:tcW w:w="1696" w:type="dxa"/>
          </w:tcPr>
          <w:p w14:paraId="0599E942"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7C963FD2"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Ahemed et al. (2010), Naher and Khulna (2012), Defiesta and Rapera (2015), Abagat et al. (2017), Razak and Kruse (2017), Chepkoech et al. (2020), Jamshidi et al. (2020), Kabobah et al. (2018), Mesfin et al. (2020), Pickson et al. (2021), Datta and Behera (2022)</w:t>
            </w:r>
          </w:p>
        </w:tc>
      </w:tr>
      <w:tr w:rsidR="0090249E" w:rsidRPr="0090249E" w14:paraId="25590143"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5358451B"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C6002D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Income from remittance </w:t>
            </w:r>
          </w:p>
        </w:tc>
        <w:tc>
          <w:tcPr>
            <w:tcW w:w="1863" w:type="dxa"/>
          </w:tcPr>
          <w:p w14:paraId="0A5A9AE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Amount of income from remittance </w:t>
            </w:r>
          </w:p>
        </w:tc>
        <w:tc>
          <w:tcPr>
            <w:tcW w:w="1696" w:type="dxa"/>
          </w:tcPr>
          <w:p w14:paraId="50F52F7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692AADC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Defiesta and Rapera (2015), Razak and Kruse (2017), Kabobah et al. (2018), Mesfin et al. (2020), Pickson et al. (2021) </w:t>
            </w:r>
          </w:p>
        </w:tc>
      </w:tr>
      <w:tr w:rsidR="0090249E" w:rsidRPr="0090249E" w14:paraId="21BD98E0"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62921EA3"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1AAE2F01"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Annual income</w:t>
            </w:r>
          </w:p>
        </w:tc>
        <w:tc>
          <w:tcPr>
            <w:tcW w:w="1863" w:type="dxa"/>
          </w:tcPr>
          <w:p w14:paraId="274E006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The total amount of annual income </w:t>
            </w:r>
          </w:p>
        </w:tc>
        <w:tc>
          <w:tcPr>
            <w:tcW w:w="1696" w:type="dxa"/>
          </w:tcPr>
          <w:p w14:paraId="76720405"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0F11322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3E9DE352"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019E7E47"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385F2669"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Income from farming</w:t>
            </w:r>
          </w:p>
        </w:tc>
        <w:tc>
          <w:tcPr>
            <w:tcW w:w="1863" w:type="dxa"/>
          </w:tcPr>
          <w:p w14:paraId="355161F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total amount of income from farming</w:t>
            </w:r>
          </w:p>
        </w:tc>
        <w:tc>
          <w:tcPr>
            <w:tcW w:w="1696" w:type="dxa"/>
          </w:tcPr>
          <w:p w14:paraId="0E27FB2E"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2EDBBAE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Abagat et al. (2017), Ullah et al. (2018), Jamshidi et al. (2020)</w:t>
            </w:r>
          </w:p>
        </w:tc>
      </w:tr>
      <w:tr w:rsidR="0090249E" w:rsidRPr="0090249E" w14:paraId="36648CF5"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4A268B7E"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43C23E4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Ownership of livestock</w:t>
            </w:r>
          </w:p>
        </w:tc>
        <w:tc>
          <w:tcPr>
            <w:tcW w:w="1863" w:type="dxa"/>
          </w:tcPr>
          <w:p w14:paraId="0DDC4460"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Number and type of livestock </w:t>
            </w:r>
          </w:p>
        </w:tc>
        <w:tc>
          <w:tcPr>
            <w:tcW w:w="1696" w:type="dxa"/>
          </w:tcPr>
          <w:p w14:paraId="5637BFC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3C5629A"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0DFC659C" w14:textId="77777777" w:rsidTr="00F6496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260" w:type="dxa"/>
            <w:vMerge/>
          </w:tcPr>
          <w:p w14:paraId="4A8052C4"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37F4192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Access to financial services (saving, loan) </w:t>
            </w:r>
          </w:p>
        </w:tc>
        <w:tc>
          <w:tcPr>
            <w:tcW w:w="1863" w:type="dxa"/>
          </w:tcPr>
          <w:p w14:paraId="2A758885"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access to financial services </w:t>
            </w:r>
          </w:p>
        </w:tc>
        <w:tc>
          <w:tcPr>
            <w:tcW w:w="1696" w:type="dxa"/>
          </w:tcPr>
          <w:p w14:paraId="7A031541"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63534EA1"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Abagat (2017), Razak and Kruse (2017), Kabobah et al. (2018), Chepkoech et al. (2020), Jamshidi et al. (2020), Pickson et al. (2021), Datta and Behera, (2022), </w:t>
            </w:r>
          </w:p>
        </w:tc>
      </w:tr>
      <w:tr w:rsidR="0090249E" w:rsidRPr="0090249E" w14:paraId="431D8880"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26D2D376"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01071BC8"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Total loan</w:t>
            </w:r>
          </w:p>
        </w:tc>
        <w:tc>
          <w:tcPr>
            <w:tcW w:w="1863" w:type="dxa"/>
          </w:tcPr>
          <w:p w14:paraId="08C166D5"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Amount of total loan</w:t>
            </w:r>
          </w:p>
        </w:tc>
        <w:tc>
          <w:tcPr>
            <w:tcW w:w="1696" w:type="dxa"/>
          </w:tcPr>
          <w:p w14:paraId="7E929C12"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597A47B3"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156CBF38"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5F0A749C"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2F2863E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Total household savings</w:t>
            </w:r>
          </w:p>
        </w:tc>
        <w:tc>
          <w:tcPr>
            <w:tcW w:w="1863" w:type="dxa"/>
          </w:tcPr>
          <w:p w14:paraId="3B8D8FF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Amount of household saving</w:t>
            </w:r>
          </w:p>
        </w:tc>
        <w:tc>
          <w:tcPr>
            <w:tcW w:w="1696" w:type="dxa"/>
          </w:tcPr>
          <w:p w14:paraId="40D840DB"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433CFAC2"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50D2E420"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07F0798D"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 xml:space="preserve">Social </w:t>
            </w:r>
          </w:p>
          <w:p w14:paraId="2F73BE29"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assets</w:t>
            </w:r>
          </w:p>
        </w:tc>
        <w:tc>
          <w:tcPr>
            <w:tcW w:w="1412" w:type="dxa"/>
          </w:tcPr>
          <w:p w14:paraId="0652FD9F"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Membership in Social Organization </w:t>
            </w:r>
          </w:p>
        </w:tc>
        <w:tc>
          <w:tcPr>
            <w:tcW w:w="1863" w:type="dxa"/>
          </w:tcPr>
          <w:p w14:paraId="38D85E41"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Number of membership of social organization of family members</w:t>
            </w:r>
          </w:p>
        </w:tc>
        <w:tc>
          <w:tcPr>
            <w:tcW w:w="1696" w:type="dxa"/>
          </w:tcPr>
          <w:p w14:paraId="5FA4C4DE"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4F217002"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Defiesta and Rapera (2015), Razak and Kruse (2017), Abagat et al. (2017), Kabobah et al. (2018), Chepkoech et al. (2020), Choden et al. (2020), Jamshidi et al. (2020), Mesfin et al. (2020)</w:t>
            </w:r>
          </w:p>
        </w:tc>
      </w:tr>
      <w:tr w:rsidR="0090249E" w:rsidRPr="0090249E" w14:paraId="69C0A85C"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458692F1"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56BFEFEE"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Social network </w:t>
            </w:r>
          </w:p>
        </w:tc>
        <w:tc>
          <w:tcPr>
            <w:tcW w:w="1863" w:type="dxa"/>
          </w:tcPr>
          <w:p w14:paraId="1C64692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number of the social network involved</w:t>
            </w:r>
          </w:p>
        </w:tc>
        <w:tc>
          <w:tcPr>
            <w:tcW w:w="1696" w:type="dxa"/>
          </w:tcPr>
          <w:p w14:paraId="532217DD"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5DFA634F"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Mesfin et al. (2020) </w:t>
            </w:r>
          </w:p>
        </w:tc>
      </w:tr>
      <w:tr w:rsidR="0090249E" w:rsidRPr="0090249E" w14:paraId="5459C66C"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1F07C962"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08C5870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Social exclusion</w:t>
            </w:r>
          </w:p>
        </w:tc>
        <w:tc>
          <w:tcPr>
            <w:tcW w:w="1863" w:type="dxa"/>
          </w:tcPr>
          <w:p w14:paraId="1CD9C38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event/cases of social exclusion</w:t>
            </w:r>
          </w:p>
        </w:tc>
        <w:tc>
          <w:tcPr>
            <w:tcW w:w="1696" w:type="dxa"/>
          </w:tcPr>
          <w:p w14:paraId="692EDD6B"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45F147BC"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1B62F878"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131DEFE2"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E8871F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Collective action</w:t>
            </w:r>
          </w:p>
        </w:tc>
        <w:tc>
          <w:tcPr>
            <w:tcW w:w="1863" w:type="dxa"/>
          </w:tcPr>
          <w:p w14:paraId="5389DC4A"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practice of collective action</w:t>
            </w:r>
          </w:p>
        </w:tc>
        <w:tc>
          <w:tcPr>
            <w:tcW w:w="1696" w:type="dxa"/>
          </w:tcPr>
          <w:p w14:paraId="6AD4D394"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01C5C6A9"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Defiesta and Rapera (2015), Mesfin et al. (2020)</w:t>
            </w:r>
          </w:p>
        </w:tc>
      </w:tr>
      <w:tr w:rsidR="0090249E" w:rsidRPr="0090249E" w14:paraId="32136FB8"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3EE2DA7B"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1FE464B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Support from the community  </w:t>
            </w:r>
          </w:p>
        </w:tc>
        <w:tc>
          <w:tcPr>
            <w:tcW w:w="1863" w:type="dxa"/>
          </w:tcPr>
          <w:p w14:paraId="17F8BDFD"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support of community in borrowing and exchange</w:t>
            </w:r>
          </w:p>
        </w:tc>
        <w:tc>
          <w:tcPr>
            <w:tcW w:w="1696" w:type="dxa"/>
          </w:tcPr>
          <w:p w14:paraId="3C9D4FE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7A0F253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3A1EFAE7"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2EB1BD49"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3B77262"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Cooperation in farming activities </w:t>
            </w:r>
          </w:p>
        </w:tc>
        <w:tc>
          <w:tcPr>
            <w:tcW w:w="1863" w:type="dxa"/>
          </w:tcPr>
          <w:p w14:paraId="5FAC03C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The cooperation practice</w:t>
            </w:r>
          </w:p>
        </w:tc>
        <w:tc>
          <w:tcPr>
            <w:tcW w:w="1696" w:type="dxa"/>
          </w:tcPr>
          <w:p w14:paraId="6519AB9A"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24D929A2"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52C35070"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518C3B98"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0BD72198"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Social cohesion </w:t>
            </w:r>
          </w:p>
        </w:tc>
        <w:tc>
          <w:tcPr>
            <w:tcW w:w="1863" w:type="dxa"/>
          </w:tcPr>
          <w:p w14:paraId="573082DC"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The events of dispute </w:t>
            </w:r>
          </w:p>
        </w:tc>
        <w:tc>
          <w:tcPr>
            <w:tcW w:w="1696" w:type="dxa"/>
          </w:tcPr>
          <w:p w14:paraId="7B190610"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0A0A9358"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6917F9BC"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tcPr>
          <w:p w14:paraId="29F1BEBE" w14:textId="77777777" w:rsidR="0090249E" w:rsidRPr="0090249E" w:rsidRDefault="0090249E" w:rsidP="00B45E94">
            <w:pPr>
              <w:spacing w:line="240" w:lineRule="auto"/>
              <w:contextualSpacing/>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lastRenderedPageBreak/>
              <w:t>Knowledge, information and communication</w:t>
            </w:r>
          </w:p>
        </w:tc>
        <w:tc>
          <w:tcPr>
            <w:tcW w:w="1412" w:type="dxa"/>
          </w:tcPr>
          <w:p w14:paraId="3A2F41A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Availability of weather information</w:t>
            </w:r>
          </w:p>
        </w:tc>
        <w:tc>
          <w:tcPr>
            <w:tcW w:w="1863" w:type="dxa"/>
          </w:tcPr>
          <w:p w14:paraId="41F5D00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Number of sources accessed by the farmer about the weather information</w:t>
            </w:r>
          </w:p>
        </w:tc>
        <w:tc>
          <w:tcPr>
            <w:tcW w:w="1696" w:type="dxa"/>
          </w:tcPr>
          <w:p w14:paraId="0E3B414B"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12448110"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Defiesta and Rapera (2015), Ullah et al. (2018), Chepkoech et al. (2020), Mesfin et al. (2020)</w:t>
            </w:r>
          </w:p>
        </w:tc>
      </w:tr>
      <w:tr w:rsidR="0090249E" w:rsidRPr="0090249E" w14:paraId="7172BC93"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57D4809B"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0E5695F3"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Access to weather information</w:t>
            </w:r>
          </w:p>
        </w:tc>
        <w:tc>
          <w:tcPr>
            <w:tcW w:w="1863" w:type="dxa"/>
          </w:tcPr>
          <w:p w14:paraId="2AC34460"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Number of available medium to access whether information</w:t>
            </w:r>
          </w:p>
        </w:tc>
        <w:tc>
          <w:tcPr>
            <w:tcW w:w="1696" w:type="dxa"/>
          </w:tcPr>
          <w:p w14:paraId="2022DA1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74155535"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Razak and Kruse (2017), Kabobah et al. (2018), Mesfin et al. (2020), Pickson et al. (2021)</w:t>
            </w:r>
          </w:p>
        </w:tc>
      </w:tr>
      <w:tr w:rsidR="0090249E" w:rsidRPr="0090249E" w14:paraId="092D92D9"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59B94A03"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3459439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Mechanism of information interpretation/ sharing</w:t>
            </w:r>
          </w:p>
        </w:tc>
        <w:tc>
          <w:tcPr>
            <w:tcW w:w="1863" w:type="dxa"/>
          </w:tcPr>
          <w:p w14:paraId="5F838E70"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Information sharing mechanism is in place</w:t>
            </w:r>
          </w:p>
        </w:tc>
        <w:tc>
          <w:tcPr>
            <w:tcW w:w="1696" w:type="dxa"/>
          </w:tcPr>
          <w:p w14:paraId="54FC4590"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6D058E3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761C16F1"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34675198"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AB207FC"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Access of agriculture input </w:t>
            </w:r>
          </w:p>
        </w:tc>
        <w:tc>
          <w:tcPr>
            <w:tcW w:w="1863" w:type="dxa"/>
          </w:tcPr>
          <w:p w14:paraId="1AE9519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Access of agriculture input to farmers</w:t>
            </w:r>
          </w:p>
        </w:tc>
        <w:tc>
          <w:tcPr>
            <w:tcW w:w="1696" w:type="dxa"/>
          </w:tcPr>
          <w:p w14:paraId="03EC289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15DDB958"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Kabobah et al. (2018), Jamshidi et al. (2020) </w:t>
            </w:r>
          </w:p>
        </w:tc>
      </w:tr>
      <w:tr w:rsidR="0090249E" w:rsidRPr="0090249E" w14:paraId="034AB708"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2EA921AC"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297DA2B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Knowledge of improve climate adaptive seed varieties</w:t>
            </w:r>
          </w:p>
        </w:tc>
        <w:tc>
          <w:tcPr>
            <w:tcW w:w="1863" w:type="dxa"/>
          </w:tcPr>
          <w:p w14:paraId="53D8418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Knowledge  of climate adaptive seed</w:t>
            </w:r>
          </w:p>
        </w:tc>
        <w:tc>
          <w:tcPr>
            <w:tcW w:w="1696" w:type="dxa"/>
          </w:tcPr>
          <w:p w14:paraId="2A56222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4569B4D2"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Razak and Kruse (2017)</w:t>
            </w:r>
          </w:p>
        </w:tc>
      </w:tr>
      <w:tr w:rsidR="0090249E" w:rsidRPr="0090249E" w14:paraId="56BBD192"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645C601B"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Institutions and Agency</w:t>
            </w:r>
          </w:p>
        </w:tc>
        <w:tc>
          <w:tcPr>
            <w:tcW w:w="1412" w:type="dxa"/>
          </w:tcPr>
          <w:p w14:paraId="46DFE07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Informal community institution</w:t>
            </w:r>
          </w:p>
        </w:tc>
        <w:tc>
          <w:tcPr>
            <w:tcW w:w="1863" w:type="dxa"/>
          </w:tcPr>
          <w:p w14:paraId="15B36BAF"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Existence of informal community institution</w:t>
            </w:r>
          </w:p>
        </w:tc>
        <w:tc>
          <w:tcPr>
            <w:tcW w:w="1696" w:type="dxa"/>
          </w:tcPr>
          <w:p w14:paraId="1F36D75E"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15F0ECDF"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34953C7B"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7E63AE78"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51292907"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Formal institution </w:t>
            </w:r>
          </w:p>
        </w:tc>
        <w:tc>
          <w:tcPr>
            <w:tcW w:w="1863" w:type="dxa"/>
          </w:tcPr>
          <w:p w14:paraId="3317E010"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Existence of formal institution </w:t>
            </w:r>
          </w:p>
        </w:tc>
        <w:tc>
          <w:tcPr>
            <w:tcW w:w="1696" w:type="dxa"/>
          </w:tcPr>
          <w:p w14:paraId="35FB9C95"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10B2C0A5" w14:textId="0D09BAFA" w:rsidR="0090249E" w:rsidRPr="0090249E" w:rsidRDefault="006E62CB"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Pr>
                <w:rFonts w:ascii="Times New Roman" w:hAnsi="Times New Roman"/>
                <w:color w:val="auto"/>
                <w:sz w:val="18"/>
                <w:szCs w:val="18"/>
              </w:rPr>
              <w:t>Abdul-</w:t>
            </w:r>
            <w:r w:rsidR="0090249E" w:rsidRPr="0090249E">
              <w:rPr>
                <w:rFonts w:ascii="Times New Roman" w:hAnsi="Times New Roman"/>
                <w:color w:val="auto"/>
                <w:sz w:val="18"/>
                <w:szCs w:val="18"/>
              </w:rPr>
              <w:t>Razak and Kruse (2017), Mesfin et al. (2020)</w:t>
            </w:r>
          </w:p>
        </w:tc>
      </w:tr>
      <w:tr w:rsidR="0090249E" w:rsidRPr="0090249E" w14:paraId="032D46BF"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5C3DF98C"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509B58E8"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Local taboos restriction to participate in particular activities </w:t>
            </w:r>
          </w:p>
        </w:tc>
        <w:tc>
          <w:tcPr>
            <w:tcW w:w="1863" w:type="dxa"/>
          </w:tcPr>
          <w:p w14:paraId="72AEAF71"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Restriction to participation</w:t>
            </w:r>
          </w:p>
        </w:tc>
        <w:tc>
          <w:tcPr>
            <w:tcW w:w="1696" w:type="dxa"/>
          </w:tcPr>
          <w:p w14:paraId="328D893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7AD61D41"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28E606C5"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7AFFB1E0"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3E57C9D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Community rules of restricting access and use of resources </w:t>
            </w:r>
          </w:p>
        </w:tc>
        <w:tc>
          <w:tcPr>
            <w:tcW w:w="1863" w:type="dxa"/>
          </w:tcPr>
          <w:p w14:paraId="48E68057"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Restriction to resource use </w:t>
            </w:r>
          </w:p>
        </w:tc>
        <w:tc>
          <w:tcPr>
            <w:tcW w:w="1696" w:type="dxa"/>
          </w:tcPr>
          <w:p w14:paraId="4DD6578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2E8D2A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04BC8503"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1B9E6C97"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27B8991A"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Authority </w:t>
            </w:r>
          </w:p>
        </w:tc>
        <w:tc>
          <w:tcPr>
            <w:tcW w:w="1863" w:type="dxa"/>
          </w:tcPr>
          <w:p w14:paraId="6FD62F6B"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Authority</w:t>
            </w:r>
          </w:p>
        </w:tc>
        <w:tc>
          <w:tcPr>
            <w:tcW w:w="1696" w:type="dxa"/>
          </w:tcPr>
          <w:p w14:paraId="06E605D3"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417A1D22"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Chepkoech et al. (2020)</w:t>
            </w:r>
          </w:p>
        </w:tc>
      </w:tr>
      <w:tr w:rsidR="0090249E" w:rsidRPr="0090249E" w14:paraId="6129D281"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4F476788"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015BA307"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Disaster relief assistance</w:t>
            </w:r>
          </w:p>
        </w:tc>
        <w:tc>
          <w:tcPr>
            <w:tcW w:w="1863" w:type="dxa"/>
          </w:tcPr>
          <w:p w14:paraId="3389F61F"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Provision of disaster relief assistance</w:t>
            </w:r>
          </w:p>
        </w:tc>
        <w:tc>
          <w:tcPr>
            <w:tcW w:w="1696" w:type="dxa"/>
          </w:tcPr>
          <w:p w14:paraId="4EB3CE0A"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62F4459D"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Razak and Kruse (2017)</w:t>
            </w:r>
          </w:p>
          <w:p w14:paraId="501F707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p>
        </w:tc>
      </w:tr>
      <w:tr w:rsidR="0090249E" w:rsidRPr="0090249E" w14:paraId="5E7ECF3E"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1C7D79D4"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14B78120"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Government subsidy</w:t>
            </w:r>
          </w:p>
        </w:tc>
        <w:tc>
          <w:tcPr>
            <w:tcW w:w="1863" w:type="dxa"/>
          </w:tcPr>
          <w:p w14:paraId="5EE16A8F"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Provision of subsidy to agriculture loss</w:t>
            </w:r>
          </w:p>
        </w:tc>
        <w:tc>
          <w:tcPr>
            <w:tcW w:w="1696" w:type="dxa"/>
          </w:tcPr>
          <w:p w14:paraId="08C1EA2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1240E430"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Pickson et al. (2021)</w:t>
            </w:r>
          </w:p>
        </w:tc>
      </w:tr>
      <w:tr w:rsidR="0090249E" w:rsidRPr="0090249E" w14:paraId="08B7B90F"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41E15424" w14:textId="77777777" w:rsidR="0090249E" w:rsidRPr="0090249E" w:rsidRDefault="0090249E" w:rsidP="00B45E94">
            <w:pPr>
              <w:spacing w:line="240" w:lineRule="auto"/>
              <w:contextualSpacing/>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 xml:space="preserve">Diversity and Flexibility </w:t>
            </w:r>
          </w:p>
        </w:tc>
        <w:tc>
          <w:tcPr>
            <w:tcW w:w="1412" w:type="dxa"/>
          </w:tcPr>
          <w:p w14:paraId="7C65C204"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Type of livelihoods </w:t>
            </w:r>
          </w:p>
        </w:tc>
        <w:tc>
          <w:tcPr>
            <w:tcW w:w="1863" w:type="dxa"/>
          </w:tcPr>
          <w:p w14:paraId="66D1049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 Multiple types of livelihoods </w:t>
            </w:r>
          </w:p>
        </w:tc>
        <w:tc>
          <w:tcPr>
            <w:tcW w:w="1696" w:type="dxa"/>
          </w:tcPr>
          <w:p w14:paraId="7BAA1FD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48949F7F"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Defiesta and Rapera (2014), Razak and Kruse (2017)</w:t>
            </w:r>
          </w:p>
        </w:tc>
      </w:tr>
      <w:tr w:rsidR="0090249E" w:rsidRPr="0090249E" w14:paraId="03686E0F" w14:textId="77777777" w:rsidTr="00F64965">
        <w:trPr>
          <w:trHeight w:val="629"/>
        </w:trPr>
        <w:tc>
          <w:tcPr>
            <w:cnfStyle w:val="001000000000" w:firstRow="0" w:lastRow="0" w:firstColumn="1" w:lastColumn="0" w:oddVBand="0" w:evenVBand="0" w:oddHBand="0" w:evenHBand="0" w:firstRowFirstColumn="0" w:firstRowLastColumn="0" w:lastRowFirstColumn="0" w:lastRowLastColumn="0"/>
            <w:tcW w:w="1260" w:type="dxa"/>
            <w:vMerge/>
          </w:tcPr>
          <w:p w14:paraId="0B4339D6"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2D0E81DD"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Flexibility in decision making</w:t>
            </w:r>
          </w:p>
        </w:tc>
        <w:tc>
          <w:tcPr>
            <w:tcW w:w="1863" w:type="dxa"/>
          </w:tcPr>
          <w:p w14:paraId="2098BAD4"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Practice of flexibility in decision making</w:t>
            </w:r>
          </w:p>
        </w:tc>
        <w:tc>
          <w:tcPr>
            <w:tcW w:w="1696" w:type="dxa"/>
          </w:tcPr>
          <w:p w14:paraId="1E440BB1"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3815361"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29D8EC00"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5852E34E"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EE70777"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Access to market</w:t>
            </w:r>
          </w:p>
        </w:tc>
        <w:tc>
          <w:tcPr>
            <w:tcW w:w="1863" w:type="dxa"/>
          </w:tcPr>
          <w:p w14:paraId="00166229"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Distance to agri. market</w:t>
            </w:r>
          </w:p>
        </w:tc>
        <w:tc>
          <w:tcPr>
            <w:tcW w:w="1696" w:type="dxa"/>
          </w:tcPr>
          <w:p w14:paraId="75C0712B"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72C27A40" w14:textId="27C364AE"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Jamshidi et al. (2020)</w:t>
            </w:r>
          </w:p>
        </w:tc>
      </w:tr>
      <w:tr w:rsidR="0090249E" w:rsidRPr="0090249E" w14:paraId="188CD92B"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01E2947F"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6C676D1A"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Access to climate information</w:t>
            </w:r>
          </w:p>
        </w:tc>
        <w:tc>
          <w:tcPr>
            <w:tcW w:w="1863" w:type="dxa"/>
          </w:tcPr>
          <w:p w14:paraId="56D17BA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Access to climate information</w:t>
            </w:r>
          </w:p>
        </w:tc>
        <w:tc>
          <w:tcPr>
            <w:tcW w:w="1696" w:type="dxa"/>
          </w:tcPr>
          <w:p w14:paraId="3D81942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2F1D77E2"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67E016BD"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6E7405B5"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40BEEB5"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Capacity to deal with hazards</w:t>
            </w:r>
          </w:p>
        </w:tc>
        <w:tc>
          <w:tcPr>
            <w:tcW w:w="1863" w:type="dxa"/>
          </w:tcPr>
          <w:p w14:paraId="08D17CA2"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Capacity to deal with climate hazard</w:t>
            </w:r>
          </w:p>
        </w:tc>
        <w:tc>
          <w:tcPr>
            <w:tcW w:w="1696" w:type="dxa"/>
          </w:tcPr>
          <w:p w14:paraId="67A7157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0FEF3C11"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27606AB6"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1AD54434"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02A635D1"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Access to modern farm input</w:t>
            </w:r>
          </w:p>
        </w:tc>
        <w:tc>
          <w:tcPr>
            <w:tcW w:w="1863" w:type="dxa"/>
          </w:tcPr>
          <w:p w14:paraId="3D6B4BDF"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Access of farmer to modern farm input</w:t>
            </w:r>
          </w:p>
        </w:tc>
        <w:tc>
          <w:tcPr>
            <w:tcW w:w="1696" w:type="dxa"/>
          </w:tcPr>
          <w:p w14:paraId="584A85A6"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DF627C4" w14:textId="1BB5C7EC"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Kabobah et al. (2018)</w:t>
            </w:r>
          </w:p>
        </w:tc>
      </w:tr>
      <w:tr w:rsidR="0090249E" w:rsidRPr="0090249E" w14:paraId="0978453E"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38EAA029" w14:textId="77777777" w:rsidR="0090249E" w:rsidRPr="0090249E" w:rsidRDefault="0090249E" w:rsidP="00B45E94">
            <w:pPr>
              <w:spacing w:line="240" w:lineRule="auto"/>
              <w:contextualSpacing/>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Infrastructure and</w:t>
            </w:r>
          </w:p>
          <w:p w14:paraId="1C0F08C8" w14:textId="77777777" w:rsidR="0090249E" w:rsidRPr="0090249E" w:rsidRDefault="0090249E" w:rsidP="00B45E94">
            <w:pPr>
              <w:spacing w:line="240" w:lineRule="auto"/>
              <w:contextualSpacing/>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services</w:t>
            </w:r>
          </w:p>
        </w:tc>
        <w:tc>
          <w:tcPr>
            <w:tcW w:w="1412" w:type="dxa"/>
          </w:tcPr>
          <w:p w14:paraId="07D0A9DD"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Transport </w:t>
            </w:r>
          </w:p>
        </w:tc>
        <w:tc>
          <w:tcPr>
            <w:tcW w:w="1863" w:type="dxa"/>
          </w:tcPr>
          <w:p w14:paraId="6B114884"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Distance to road (road types, access of public transport)</w:t>
            </w:r>
          </w:p>
        </w:tc>
        <w:tc>
          <w:tcPr>
            <w:tcW w:w="1696" w:type="dxa"/>
          </w:tcPr>
          <w:p w14:paraId="1117E9DD"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5D738B24"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Kabobah et al. (2018), Mesfin et al. (2020)</w:t>
            </w:r>
          </w:p>
          <w:p w14:paraId="34ADC55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p>
        </w:tc>
      </w:tr>
      <w:tr w:rsidR="0090249E" w:rsidRPr="0090249E" w14:paraId="45E8FA00" w14:textId="77777777" w:rsidTr="00F64965">
        <w:trPr>
          <w:trHeight w:val="386"/>
        </w:trPr>
        <w:tc>
          <w:tcPr>
            <w:cnfStyle w:val="001000000000" w:firstRow="0" w:lastRow="0" w:firstColumn="1" w:lastColumn="0" w:oddVBand="0" w:evenVBand="0" w:oddHBand="0" w:evenHBand="0" w:firstRowFirstColumn="0" w:firstRowLastColumn="0" w:lastRowFirstColumn="0" w:lastRowLastColumn="0"/>
            <w:tcW w:w="1260" w:type="dxa"/>
            <w:vMerge/>
          </w:tcPr>
          <w:p w14:paraId="66051C8F"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6D258D43"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Extension services</w:t>
            </w:r>
          </w:p>
        </w:tc>
        <w:tc>
          <w:tcPr>
            <w:tcW w:w="1863" w:type="dxa"/>
          </w:tcPr>
          <w:p w14:paraId="54A93215"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Distance to extension services</w:t>
            </w:r>
          </w:p>
        </w:tc>
        <w:tc>
          <w:tcPr>
            <w:tcW w:w="1696" w:type="dxa"/>
          </w:tcPr>
          <w:p w14:paraId="79F33B73"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033C933B" w14:textId="31260C62" w:rsidR="0090249E" w:rsidRPr="0090249E" w:rsidRDefault="006E62CB"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Pr>
                <w:rFonts w:ascii="Times New Roman" w:hAnsi="Times New Roman"/>
                <w:color w:val="auto"/>
                <w:sz w:val="18"/>
                <w:szCs w:val="18"/>
              </w:rPr>
              <w:t>Abdul-</w:t>
            </w:r>
            <w:r w:rsidR="0090249E" w:rsidRPr="0090249E">
              <w:rPr>
                <w:rFonts w:ascii="Times New Roman" w:hAnsi="Times New Roman"/>
                <w:color w:val="auto"/>
                <w:sz w:val="18"/>
                <w:szCs w:val="18"/>
              </w:rPr>
              <w:t>Razak and Kruse (2017), Kabobah et al. (2018)</w:t>
            </w:r>
          </w:p>
        </w:tc>
      </w:tr>
      <w:tr w:rsidR="0090249E" w:rsidRPr="0090249E" w14:paraId="7DD04EF6"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15CBBB5B"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43DF4503"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Financial services</w:t>
            </w:r>
          </w:p>
        </w:tc>
        <w:tc>
          <w:tcPr>
            <w:tcW w:w="1863" w:type="dxa"/>
          </w:tcPr>
          <w:p w14:paraId="67674B5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Distance to financial services</w:t>
            </w:r>
          </w:p>
        </w:tc>
        <w:tc>
          <w:tcPr>
            <w:tcW w:w="1696" w:type="dxa"/>
          </w:tcPr>
          <w:p w14:paraId="00C2653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CB16DDB"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Jamshidi et al. (2020)</w:t>
            </w:r>
          </w:p>
        </w:tc>
      </w:tr>
      <w:tr w:rsidR="0090249E" w:rsidRPr="0090249E" w14:paraId="0D4668AC"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3B7227F5"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2573ADC2"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Education services</w:t>
            </w:r>
          </w:p>
        </w:tc>
        <w:tc>
          <w:tcPr>
            <w:tcW w:w="1863" w:type="dxa"/>
          </w:tcPr>
          <w:p w14:paraId="61DDB774"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Distance to education facilities</w:t>
            </w:r>
          </w:p>
        </w:tc>
        <w:tc>
          <w:tcPr>
            <w:tcW w:w="1696" w:type="dxa"/>
          </w:tcPr>
          <w:p w14:paraId="11D3BE0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032DC0B4"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Jamshidi et al. (2020)</w:t>
            </w:r>
          </w:p>
        </w:tc>
      </w:tr>
      <w:tr w:rsidR="0090249E" w:rsidRPr="0090249E" w14:paraId="5BC58E8F"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612A5990" w14:textId="77777777" w:rsidR="0090249E" w:rsidRPr="0090249E" w:rsidRDefault="0090249E" w:rsidP="00B45E94">
            <w:pPr>
              <w:spacing w:line="240" w:lineRule="auto"/>
              <w:contextualSpacing/>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lastRenderedPageBreak/>
              <w:t xml:space="preserve">Technology and Innovation </w:t>
            </w:r>
          </w:p>
        </w:tc>
        <w:tc>
          <w:tcPr>
            <w:tcW w:w="1412" w:type="dxa"/>
          </w:tcPr>
          <w:p w14:paraId="30BADA4C"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Investment to new occupation/ sector/  technology</w:t>
            </w:r>
          </w:p>
        </w:tc>
        <w:tc>
          <w:tcPr>
            <w:tcW w:w="1863" w:type="dxa"/>
          </w:tcPr>
          <w:p w14:paraId="0B555CDF"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Investment to new sector</w:t>
            </w:r>
          </w:p>
        </w:tc>
        <w:tc>
          <w:tcPr>
            <w:tcW w:w="1696" w:type="dxa"/>
          </w:tcPr>
          <w:p w14:paraId="64D88085"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60C7604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2F45004C"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44FAED13" w14:textId="77777777" w:rsidR="0090249E" w:rsidRPr="0090249E" w:rsidRDefault="0090249E" w:rsidP="00B45E94">
            <w:pPr>
              <w:spacing w:line="240" w:lineRule="auto"/>
              <w:contextualSpacing/>
              <w:jc w:val="left"/>
              <w:rPr>
                <w:rFonts w:ascii="Times New Roman" w:eastAsia="Calibri" w:hAnsi="Times New Roman"/>
                <w:noProof w:val="0"/>
                <w:color w:val="auto"/>
                <w:sz w:val="18"/>
                <w:szCs w:val="18"/>
                <w:lang w:eastAsia="en-US"/>
              </w:rPr>
            </w:pPr>
          </w:p>
        </w:tc>
        <w:tc>
          <w:tcPr>
            <w:tcW w:w="1412" w:type="dxa"/>
          </w:tcPr>
          <w:p w14:paraId="6965C5AC"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Knowledge of seed varieties</w:t>
            </w:r>
          </w:p>
        </w:tc>
        <w:tc>
          <w:tcPr>
            <w:tcW w:w="1863" w:type="dxa"/>
          </w:tcPr>
          <w:p w14:paraId="005D342D"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Knowledge of seed varieties</w:t>
            </w:r>
          </w:p>
        </w:tc>
        <w:tc>
          <w:tcPr>
            <w:tcW w:w="1696" w:type="dxa"/>
          </w:tcPr>
          <w:p w14:paraId="12A749EA"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6CB45E4" w14:textId="39CCDF2F" w:rsidR="0090249E" w:rsidRPr="0090249E" w:rsidRDefault="006E62CB"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Pr>
                <w:rFonts w:ascii="Times New Roman" w:hAnsi="Times New Roman"/>
                <w:color w:val="auto"/>
                <w:sz w:val="18"/>
                <w:szCs w:val="18"/>
              </w:rPr>
              <w:t>Abdul-</w:t>
            </w:r>
            <w:r w:rsidR="0090249E" w:rsidRPr="0090249E">
              <w:rPr>
                <w:rFonts w:ascii="Times New Roman" w:hAnsi="Times New Roman"/>
                <w:color w:val="auto"/>
                <w:sz w:val="18"/>
                <w:szCs w:val="18"/>
              </w:rPr>
              <w:t>Razak and Kruse (2017), Pickson et al. (2021)</w:t>
            </w:r>
          </w:p>
        </w:tc>
      </w:tr>
      <w:tr w:rsidR="0090249E" w:rsidRPr="0090249E" w14:paraId="1E3E8A9D"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05291FB5" w14:textId="77777777" w:rsidR="0090249E" w:rsidRPr="0090249E" w:rsidRDefault="0090249E" w:rsidP="00B45E94">
            <w:pPr>
              <w:spacing w:line="240" w:lineRule="auto"/>
              <w:contextualSpacing/>
              <w:jc w:val="left"/>
              <w:rPr>
                <w:rFonts w:ascii="Times New Roman" w:eastAsia="Calibri" w:hAnsi="Times New Roman"/>
                <w:noProof w:val="0"/>
                <w:color w:val="auto"/>
                <w:sz w:val="18"/>
                <w:szCs w:val="18"/>
                <w:lang w:eastAsia="en-US"/>
              </w:rPr>
            </w:pPr>
          </w:p>
        </w:tc>
        <w:tc>
          <w:tcPr>
            <w:tcW w:w="1412" w:type="dxa"/>
          </w:tcPr>
          <w:p w14:paraId="15B209CB"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Adaption to new practices</w:t>
            </w:r>
          </w:p>
        </w:tc>
        <w:tc>
          <w:tcPr>
            <w:tcW w:w="1863" w:type="dxa"/>
          </w:tcPr>
          <w:p w14:paraId="6A2E7C92"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Adoption to new practices</w:t>
            </w:r>
          </w:p>
        </w:tc>
        <w:tc>
          <w:tcPr>
            <w:tcW w:w="1696" w:type="dxa"/>
          </w:tcPr>
          <w:p w14:paraId="146DE65A"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572AC11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428792E3"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60587B28" w14:textId="77777777" w:rsidR="0090249E" w:rsidRPr="0090249E" w:rsidRDefault="0090249E" w:rsidP="00B45E94">
            <w:pPr>
              <w:spacing w:line="240" w:lineRule="auto"/>
              <w:contextualSpacing/>
              <w:jc w:val="left"/>
              <w:rPr>
                <w:rFonts w:ascii="Times New Roman" w:eastAsia="Calibri" w:hAnsi="Times New Roman"/>
                <w:noProof w:val="0"/>
                <w:color w:val="auto"/>
                <w:sz w:val="18"/>
                <w:szCs w:val="18"/>
                <w:lang w:eastAsia="en-US"/>
              </w:rPr>
            </w:pPr>
          </w:p>
        </w:tc>
        <w:tc>
          <w:tcPr>
            <w:tcW w:w="1412" w:type="dxa"/>
          </w:tcPr>
          <w:p w14:paraId="3D798A5E"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Access to soil fertility retention technique</w:t>
            </w:r>
          </w:p>
        </w:tc>
        <w:tc>
          <w:tcPr>
            <w:tcW w:w="1863" w:type="dxa"/>
          </w:tcPr>
          <w:p w14:paraId="7ABE1402"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Access to soil fertility retention technique</w:t>
            </w:r>
          </w:p>
        </w:tc>
        <w:tc>
          <w:tcPr>
            <w:tcW w:w="1696" w:type="dxa"/>
          </w:tcPr>
          <w:p w14:paraId="6912851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0688A0A5"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Pickson et al. (2021)</w:t>
            </w:r>
          </w:p>
        </w:tc>
      </w:tr>
      <w:tr w:rsidR="0090249E" w:rsidRPr="0090249E" w14:paraId="237892F9"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661AEA1A"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r w:rsidRPr="0090249E">
              <w:rPr>
                <w:rFonts w:ascii="Times New Roman" w:eastAsia="Calibri" w:hAnsi="Times New Roman"/>
                <w:noProof w:val="0"/>
                <w:color w:val="auto"/>
                <w:sz w:val="18"/>
                <w:szCs w:val="18"/>
                <w:lang w:eastAsia="en-US"/>
              </w:rPr>
              <w:t>Governance</w:t>
            </w:r>
          </w:p>
        </w:tc>
        <w:tc>
          <w:tcPr>
            <w:tcW w:w="1412" w:type="dxa"/>
          </w:tcPr>
          <w:p w14:paraId="3193C6E8"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Local level policy/legislation </w:t>
            </w:r>
          </w:p>
        </w:tc>
        <w:tc>
          <w:tcPr>
            <w:tcW w:w="1863" w:type="dxa"/>
          </w:tcPr>
          <w:p w14:paraId="0D42757F"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If local  climate and disaster policy instruments are in place</w:t>
            </w:r>
          </w:p>
        </w:tc>
        <w:tc>
          <w:tcPr>
            <w:tcW w:w="1696" w:type="dxa"/>
          </w:tcPr>
          <w:p w14:paraId="49A239FD"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6F97893B"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71E57620" w14:textId="77777777" w:rsidTr="00F64965">
        <w:trPr>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63AB1BB8"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365343B3"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Transparency in decision making</w:t>
            </w:r>
          </w:p>
        </w:tc>
        <w:tc>
          <w:tcPr>
            <w:tcW w:w="1863" w:type="dxa"/>
          </w:tcPr>
          <w:p w14:paraId="33590C69"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If transparency and participation maintain in decision making</w:t>
            </w:r>
          </w:p>
        </w:tc>
        <w:tc>
          <w:tcPr>
            <w:tcW w:w="1696" w:type="dxa"/>
          </w:tcPr>
          <w:p w14:paraId="7A3DDE93"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290A3B7" w14:textId="77777777" w:rsidR="0090249E" w:rsidRPr="0090249E" w:rsidRDefault="0090249E" w:rsidP="00B45E94">
            <w:pPr>
              <w:autoSpaceDE w:val="0"/>
              <w:autoSpaceDN w:val="0"/>
              <w:adjustRightInd w:val="0"/>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Mesfin et al. (2020)</w:t>
            </w:r>
          </w:p>
        </w:tc>
      </w:tr>
      <w:tr w:rsidR="0090249E" w:rsidRPr="0090249E" w14:paraId="76AF58F1" w14:textId="77777777" w:rsidTr="00F6496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60" w:type="dxa"/>
            <w:vMerge/>
          </w:tcPr>
          <w:p w14:paraId="0AF190E1" w14:textId="77777777" w:rsidR="0090249E" w:rsidRPr="0090249E" w:rsidRDefault="0090249E" w:rsidP="00B45E94">
            <w:pPr>
              <w:spacing w:line="240" w:lineRule="auto"/>
              <w:jc w:val="left"/>
              <w:rPr>
                <w:rFonts w:ascii="Times New Roman" w:eastAsia="Calibri" w:hAnsi="Times New Roman"/>
                <w:noProof w:val="0"/>
                <w:color w:val="auto"/>
                <w:sz w:val="18"/>
                <w:szCs w:val="18"/>
                <w:lang w:eastAsia="en-US"/>
              </w:rPr>
            </w:pPr>
          </w:p>
        </w:tc>
        <w:tc>
          <w:tcPr>
            <w:tcW w:w="1412" w:type="dxa"/>
          </w:tcPr>
          <w:p w14:paraId="704FC6E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Climate Change related Interventions </w:t>
            </w:r>
          </w:p>
        </w:tc>
        <w:tc>
          <w:tcPr>
            <w:tcW w:w="1863" w:type="dxa"/>
          </w:tcPr>
          <w:p w14:paraId="3F8E6A7A"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Climate change interventions are  in place</w:t>
            </w:r>
          </w:p>
        </w:tc>
        <w:tc>
          <w:tcPr>
            <w:tcW w:w="1696" w:type="dxa"/>
          </w:tcPr>
          <w:p w14:paraId="5597AD26" w14:textId="77777777"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Adaptive capacity</w:t>
            </w:r>
          </w:p>
        </w:tc>
        <w:tc>
          <w:tcPr>
            <w:tcW w:w="3164" w:type="dxa"/>
          </w:tcPr>
          <w:p w14:paraId="36DA7B0C" w14:textId="5F8E27FF" w:rsidR="0090249E" w:rsidRPr="0090249E" w:rsidRDefault="0090249E" w:rsidP="00B45E94">
            <w:pPr>
              <w:autoSpaceDE w:val="0"/>
              <w:autoSpaceDN w:val="0"/>
              <w:adjustRightInd w:val="0"/>
              <w:snapToGri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90249E">
              <w:rPr>
                <w:rFonts w:ascii="Times New Roman" w:hAnsi="Times New Roman"/>
                <w:color w:val="auto"/>
                <w:sz w:val="18"/>
                <w:szCs w:val="18"/>
              </w:rPr>
              <w:t xml:space="preserve">Defiesta and Rapera (2014), </w:t>
            </w:r>
            <w:r w:rsidR="006E62CB">
              <w:rPr>
                <w:rFonts w:ascii="Times New Roman" w:hAnsi="Times New Roman"/>
                <w:color w:val="auto"/>
                <w:sz w:val="18"/>
                <w:szCs w:val="18"/>
              </w:rPr>
              <w:t>Abdul-</w:t>
            </w:r>
            <w:r w:rsidRPr="0090249E">
              <w:rPr>
                <w:rFonts w:ascii="Times New Roman" w:hAnsi="Times New Roman"/>
                <w:color w:val="auto"/>
                <w:sz w:val="18"/>
                <w:szCs w:val="18"/>
              </w:rPr>
              <w:t>Razak and Kruse (2017), Jamshidi et al. (2020)</w:t>
            </w:r>
          </w:p>
        </w:tc>
      </w:tr>
    </w:tbl>
    <w:p w14:paraId="3FF410BC" w14:textId="77777777" w:rsidR="0090249E" w:rsidRPr="00631EB5" w:rsidRDefault="0090249E" w:rsidP="0090249E">
      <w:pPr>
        <w:pStyle w:val="MDPI31text"/>
        <w:ind w:left="2040" w:firstLine="510"/>
        <w:rPr>
          <w:rFonts w:asciiTheme="majorBidi" w:hAnsiTheme="majorBidi" w:cstheme="majorBidi"/>
          <w:color w:val="auto"/>
          <w:szCs w:val="20"/>
        </w:rPr>
      </w:pPr>
    </w:p>
    <w:p w14:paraId="4F46CEDD" w14:textId="77777777" w:rsidR="00B9183B" w:rsidRPr="001741A2" w:rsidRDefault="00B9183B" w:rsidP="00D135A7">
      <w:pPr>
        <w:ind w:firstLine="510"/>
        <w:jc w:val="center"/>
        <w:rPr>
          <w:rFonts w:ascii="Times New Roman" w:hAnsi="Times New Roman"/>
        </w:rPr>
      </w:pPr>
    </w:p>
    <w:sectPr w:rsidR="00B9183B" w:rsidRPr="001741A2" w:rsidSect="00693F09">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Kalimati">
    <w:altName w:val="Mangal"/>
    <w:panose1 w:val="00000400000000000000"/>
    <w:charset w:val="01"/>
    <w:family w:val="auto"/>
    <w:pitch w:val="variable"/>
    <w:sig w:usb0="00008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Arial Unicode MS"/>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0683"/>
    <w:multiLevelType w:val="hybridMultilevel"/>
    <w:tmpl w:val="754A0E26"/>
    <w:lvl w:ilvl="0" w:tplc="336AE74E">
      <w:start w:val="1"/>
      <w:numFmt w:val="decimal"/>
      <w:lvlText w:val="%1."/>
      <w:lvlJc w:val="left"/>
      <w:pPr>
        <w:ind w:left="450" w:hanging="360"/>
      </w:pPr>
      <w:rPr>
        <w:rFonts w:hint="default"/>
        <w:b w:val="0"/>
        <w:bCs w:val="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B8471B5"/>
    <w:multiLevelType w:val="multilevel"/>
    <w:tmpl w:val="22101720"/>
    <w:lvl w:ilvl="0">
      <w:start w:val="1"/>
      <w:numFmt w:val="decimal"/>
      <w:lvlText w:val="%1."/>
      <w:lvlJc w:val="left"/>
      <w:pPr>
        <w:ind w:left="360" w:hanging="360"/>
      </w:pPr>
      <w:rPr>
        <w:rFonts w:ascii="Nirmala UI" w:hAnsi="Nirmala UI" w:cs="Kalimati"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0C607BC8"/>
    <w:multiLevelType w:val="hybridMultilevel"/>
    <w:tmpl w:val="B2ACEA3E"/>
    <w:lvl w:ilvl="0" w:tplc="19F40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D1C41"/>
    <w:multiLevelType w:val="multilevel"/>
    <w:tmpl w:val="5858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A55E9"/>
    <w:multiLevelType w:val="hybridMultilevel"/>
    <w:tmpl w:val="4E244EE2"/>
    <w:lvl w:ilvl="0" w:tplc="7368E0F8">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468F5"/>
    <w:multiLevelType w:val="hybridMultilevel"/>
    <w:tmpl w:val="4CD2914E"/>
    <w:lvl w:ilvl="0" w:tplc="1BE44EB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C6F5D"/>
    <w:multiLevelType w:val="hybridMultilevel"/>
    <w:tmpl w:val="20E4551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8" w15:restartNumberingAfterBreak="0">
    <w:nsid w:val="249A73FC"/>
    <w:multiLevelType w:val="hybridMultilevel"/>
    <w:tmpl w:val="2F28A0D4"/>
    <w:lvl w:ilvl="0" w:tplc="73B4459E">
      <w:start w:val="1"/>
      <w:numFmt w:val="decimal"/>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9"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4969A5"/>
    <w:multiLevelType w:val="hybridMultilevel"/>
    <w:tmpl w:val="226615C6"/>
    <w:lvl w:ilvl="0" w:tplc="8112F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4" w15:restartNumberingAfterBreak="0">
    <w:nsid w:val="3C025F45"/>
    <w:multiLevelType w:val="hybridMultilevel"/>
    <w:tmpl w:val="F5F2D0F2"/>
    <w:lvl w:ilvl="0" w:tplc="D682E0D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5" w15:restartNumberingAfterBreak="0">
    <w:nsid w:val="3C5D7D61"/>
    <w:multiLevelType w:val="hybridMultilevel"/>
    <w:tmpl w:val="2002460A"/>
    <w:lvl w:ilvl="0" w:tplc="88F80466">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6" w15:restartNumberingAfterBreak="0">
    <w:nsid w:val="408E4461"/>
    <w:multiLevelType w:val="hybridMultilevel"/>
    <w:tmpl w:val="D2661726"/>
    <w:lvl w:ilvl="0" w:tplc="41E4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F913B9"/>
    <w:multiLevelType w:val="hybridMultilevel"/>
    <w:tmpl w:val="9402927E"/>
    <w:lvl w:ilvl="0" w:tplc="14E04DEA">
      <w:start w:val="1"/>
      <w:numFmt w:val="decimal"/>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1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075B53"/>
    <w:multiLevelType w:val="hybridMultilevel"/>
    <w:tmpl w:val="2A8C9B1C"/>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0"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C10266"/>
    <w:multiLevelType w:val="hybridMultilevel"/>
    <w:tmpl w:val="0414F16C"/>
    <w:lvl w:ilvl="0" w:tplc="A6689712">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2"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9A45A7"/>
    <w:multiLevelType w:val="hybridMultilevel"/>
    <w:tmpl w:val="45FAD390"/>
    <w:lvl w:ilvl="0" w:tplc="4992D19E">
      <w:start w:val="3"/>
      <w:numFmt w:val="bullet"/>
      <w:lvlText w:val="-"/>
      <w:lvlJc w:val="left"/>
      <w:pPr>
        <w:ind w:left="2400" w:hanging="360"/>
      </w:pPr>
      <w:rPr>
        <w:rFonts w:ascii="Palatino Linotype" w:eastAsia="Times New Roman" w:hAnsi="Palatino Linotype" w:cs="Times New Roman"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24" w15:restartNumberingAfterBreak="0">
    <w:nsid w:val="77FA164A"/>
    <w:multiLevelType w:val="hybridMultilevel"/>
    <w:tmpl w:val="5E2AEF40"/>
    <w:lvl w:ilvl="0" w:tplc="04090015">
      <w:start w:val="1"/>
      <w:numFmt w:val="upperLetter"/>
      <w:lvlText w:val="%1."/>
      <w:lvlJc w:val="left"/>
      <w:pPr>
        <w:ind w:left="360" w:hanging="360"/>
      </w:pPr>
      <w:rPr>
        <w:rFonts w:hint="default"/>
      </w:rPr>
    </w:lvl>
    <w:lvl w:ilvl="1" w:tplc="04090019">
      <w:start w:val="1"/>
      <w:numFmt w:val="lowerLetter"/>
      <w:lvlText w:val="%2."/>
      <w:lvlJc w:val="left"/>
      <w:pPr>
        <w:ind w:left="1170" w:hanging="360"/>
      </w:pPr>
    </w:lvl>
    <w:lvl w:ilvl="2" w:tplc="1EF27594">
      <w:start w:val="1"/>
      <w:numFmt w:val="decimal"/>
      <w:lvlText w:val="%3."/>
      <w:lvlJc w:val="left"/>
      <w:pPr>
        <w:ind w:left="900" w:hanging="360"/>
      </w:pPr>
      <w:rPr>
        <w:rFonts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215316410">
    <w:abstractNumId w:val="21"/>
  </w:num>
  <w:num w:numId="2" w16cid:durableId="1883008913">
    <w:abstractNumId w:val="2"/>
  </w:num>
  <w:num w:numId="3" w16cid:durableId="1830097480">
    <w:abstractNumId w:val="10"/>
  </w:num>
  <w:num w:numId="4" w16cid:durableId="374624309">
    <w:abstractNumId w:val="13"/>
  </w:num>
  <w:num w:numId="5" w16cid:durableId="1866403348">
    <w:abstractNumId w:val="9"/>
  </w:num>
  <w:num w:numId="6" w16cid:durableId="677150702">
    <w:abstractNumId w:val="11"/>
  </w:num>
  <w:num w:numId="7" w16cid:durableId="1325166028">
    <w:abstractNumId w:val="19"/>
  </w:num>
  <w:num w:numId="8" w16cid:durableId="235239785">
    <w:abstractNumId w:val="7"/>
  </w:num>
  <w:num w:numId="9" w16cid:durableId="15429349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1559058">
    <w:abstractNumId w:val="5"/>
  </w:num>
  <w:num w:numId="11" w16cid:durableId="2032367807">
    <w:abstractNumId w:val="20"/>
  </w:num>
  <w:num w:numId="12" w16cid:durableId="813760608">
    <w:abstractNumId w:val="22"/>
  </w:num>
  <w:num w:numId="13" w16cid:durableId="250436020">
    <w:abstractNumId w:val="6"/>
  </w:num>
  <w:num w:numId="14" w16cid:durableId="8140245">
    <w:abstractNumId w:val="18"/>
  </w:num>
  <w:num w:numId="15" w16cid:durableId="843473373">
    <w:abstractNumId w:val="4"/>
  </w:num>
  <w:num w:numId="16" w16cid:durableId="324479380">
    <w:abstractNumId w:val="14"/>
  </w:num>
  <w:num w:numId="17" w16cid:durableId="902371486">
    <w:abstractNumId w:val="15"/>
  </w:num>
  <w:num w:numId="18" w16cid:durableId="453134777">
    <w:abstractNumId w:val="0"/>
  </w:num>
  <w:num w:numId="19" w16cid:durableId="1407806203">
    <w:abstractNumId w:val="24"/>
  </w:num>
  <w:num w:numId="20" w16cid:durableId="396057081">
    <w:abstractNumId w:val="1"/>
  </w:num>
  <w:num w:numId="21" w16cid:durableId="586306250">
    <w:abstractNumId w:val="23"/>
  </w:num>
  <w:num w:numId="22" w16cid:durableId="257373073">
    <w:abstractNumId w:val="17"/>
  </w:num>
  <w:num w:numId="23" w16cid:durableId="1986274897">
    <w:abstractNumId w:val="3"/>
  </w:num>
  <w:num w:numId="24" w16cid:durableId="946621078">
    <w:abstractNumId w:val="8"/>
  </w:num>
  <w:num w:numId="25" w16cid:durableId="519054421">
    <w:abstractNumId w:val="16"/>
  </w:num>
  <w:num w:numId="26" w16cid:durableId="10739651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F09"/>
    <w:rsid w:val="0000456F"/>
    <w:rsid w:val="001741A2"/>
    <w:rsid w:val="002107DC"/>
    <w:rsid w:val="0029573A"/>
    <w:rsid w:val="002972C1"/>
    <w:rsid w:val="002A333B"/>
    <w:rsid w:val="003141E5"/>
    <w:rsid w:val="0032307A"/>
    <w:rsid w:val="00331FED"/>
    <w:rsid w:val="003C2FA9"/>
    <w:rsid w:val="003F340F"/>
    <w:rsid w:val="00491BAA"/>
    <w:rsid w:val="004A23E6"/>
    <w:rsid w:val="005066C9"/>
    <w:rsid w:val="005338C5"/>
    <w:rsid w:val="00573753"/>
    <w:rsid w:val="005E074E"/>
    <w:rsid w:val="00693F09"/>
    <w:rsid w:val="006C3551"/>
    <w:rsid w:val="006E62CB"/>
    <w:rsid w:val="00714215"/>
    <w:rsid w:val="007B7304"/>
    <w:rsid w:val="007D0CFA"/>
    <w:rsid w:val="007E3913"/>
    <w:rsid w:val="007F7D73"/>
    <w:rsid w:val="008D4C99"/>
    <w:rsid w:val="008E2387"/>
    <w:rsid w:val="0090249E"/>
    <w:rsid w:val="00932A89"/>
    <w:rsid w:val="00933A78"/>
    <w:rsid w:val="009821DA"/>
    <w:rsid w:val="00987C1E"/>
    <w:rsid w:val="009B12DE"/>
    <w:rsid w:val="00A6470C"/>
    <w:rsid w:val="00A8603C"/>
    <w:rsid w:val="00B640DE"/>
    <w:rsid w:val="00B9183B"/>
    <w:rsid w:val="00BD1F18"/>
    <w:rsid w:val="00C30BEB"/>
    <w:rsid w:val="00CE65F6"/>
    <w:rsid w:val="00D135A7"/>
    <w:rsid w:val="00D8469D"/>
    <w:rsid w:val="00D9526C"/>
    <w:rsid w:val="00DB72C6"/>
    <w:rsid w:val="00DC17C4"/>
    <w:rsid w:val="00EC3735"/>
    <w:rsid w:val="00F06E36"/>
    <w:rsid w:val="00F23A8B"/>
    <w:rsid w:val="00F64965"/>
    <w:rsid w:val="00FB322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0CDE"/>
  <w15:chartTrackingRefBased/>
  <w15:docId w15:val="{D703FD99-520C-4F31-B661-E3DC823C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F09"/>
    <w:pPr>
      <w:spacing w:after="0" w:line="260" w:lineRule="atLeast"/>
      <w:jc w:val="both"/>
    </w:pPr>
    <w:rPr>
      <w:rFonts w:ascii="Palatino Linotype" w:eastAsia="SimSun" w:hAnsi="Palatino Linotype" w:cs="Times New Roman"/>
      <w:noProof/>
      <w:color w:val="000000"/>
      <w:kern w:val="0"/>
      <w:sz w:val="20"/>
      <w:szCs w:val="20"/>
      <w:lang w:eastAsia="zh-CN"/>
      <w14:ligatures w14:val="none"/>
    </w:rPr>
  </w:style>
  <w:style w:type="paragraph" w:styleId="Heading2">
    <w:name w:val="heading 2"/>
    <w:basedOn w:val="Normal"/>
    <w:next w:val="Normal"/>
    <w:link w:val="Heading2Char"/>
    <w:uiPriority w:val="9"/>
    <w:unhideWhenUsed/>
    <w:qFormat/>
    <w:rsid w:val="00B9183B"/>
    <w:pPr>
      <w:keepNext/>
      <w:keepLines/>
      <w:spacing w:before="40" w:line="259" w:lineRule="auto"/>
      <w:jc w:val="left"/>
      <w:outlineLvl w:val="1"/>
    </w:pPr>
    <w:rPr>
      <w:rFonts w:ascii="Calibri Light" w:eastAsia="DengXian Light" w:hAnsi="Calibri Light"/>
      <w:noProof w:val="0"/>
      <w:color w:val="2F5496"/>
      <w:sz w:val="26"/>
      <w:szCs w:val="26"/>
      <w:lang w:eastAsia="en-US"/>
    </w:rPr>
  </w:style>
  <w:style w:type="paragraph" w:styleId="Heading5">
    <w:name w:val="heading 5"/>
    <w:basedOn w:val="Normal"/>
    <w:next w:val="Normal"/>
    <w:link w:val="Heading5Char"/>
    <w:uiPriority w:val="9"/>
    <w:semiHidden/>
    <w:unhideWhenUsed/>
    <w:qFormat/>
    <w:rsid w:val="00B9183B"/>
    <w:pPr>
      <w:keepNext/>
      <w:keepLines/>
      <w:spacing w:before="40"/>
      <w:outlineLvl w:val="4"/>
    </w:pPr>
    <w:rPr>
      <w:rFonts w:ascii="Calibri Light" w:eastAsia="DengXian Light"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2title">
    <w:name w:val="MDPI_1.2_title"/>
    <w:next w:val="Normal"/>
    <w:qFormat/>
    <w:rsid w:val="00693F09"/>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14:ligatures w14:val="none"/>
    </w:rPr>
  </w:style>
  <w:style w:type="paragraph" w:customStyle="1" w:styleId="MDPI13authornames">
    <w:name w:val="MDPI_1.3_authornames"/>
    <w:next w:val="Normal"/>
    <w:qFormat/>
    <w:rsid w:val="00693F09"/>
    <w:pPr>
      <w:adjustRightInd w:val="0"/>
      <w:snapToGrid w:val="0"/>
      <w:spacing w:after="360" w:line="260" w:lineRule="atLeast"/>
    </w:pPr>
    <w:rPr>
      <w:rFonts w:ascii="Palatino Linotype" w:eastAsia="Times New Roman" w:hAnsi="Palatino Linotype" w:cs="Times New Roman"/>
      <w:b/>
      <w:color w:val="000000"/>
      <w:kern w:val="0"/>
      <w:sz w:val="20"/>
      <w:lang w:eastAsia="de-DE" w:bidi="en-US"/>
      <w14:ligatures w14:val="none"/>
    </w:rPr>
  </w:style>
  <w:style w:type="paragraph" w:styleId="FootnoteText">
    <w:name w:val="footnote text"/>
    <w:basedOn w:val="Normal"/>
    <w:link w:val="FootnoteTextChar"/>
    <w:uiPriority w:val="99"/>
    <w:semiHidden/>
    <w:unhideWhenUsed/>
    <w:rsid w:val="00693F09"/>
    <w:pPr>
      <w:spacing w:line="240" w:lineRule="auto"/>
    </w:pPr>
  </w:style>
  <w:style w:type="character" w:customStyle="1" w:styleId="FootnoteTextChar">
    <w:name w:val="Footnote Text Char"/>
    <w:basedOn w:val="DefaultParagraphFont"/>
    <w:link w:val="FootnoteText"/>
    <w:uiPriority w:val="99"/>
    <w:rsid w:val="00693F09"/>
    <w:rPr>
      <w:rFonts w:ascii="Palatino Linotype" w:eastAsia="SimSun" w:hAnsi="Palatino Linotype" w:cs="Times New Roman"/>
      <w:noProof/>
      <w:color w:val="000000"/>
      <w:kern w:val="0"/>
      <w:sz w:val="20"/>
      <w:szCs w:val="20"/>
      <w:lang w:eastAsia="zh-CN"/>
      <w14:ligatures w14:val="none"/>
    </w:rPr>
  </w:style>
  <w:style w:type="character" w:styleId="FootnoteReference">
    <w:name w:val="footnote reference"/>
    <w:uiPriority w:val="99"/>
    <w:semiHidden/>
    <w:unhideWhenUsed/>
    <w:rsid w:val="00693F09"/>
    <w:rPr>
      <w:vertAlign w:val="superscript"/>
    </w:rPr>
  </w:style>
  <w:style w:type="paragraph" w:customStyle="1" w:styleId="MDPI18keywords">
    <w:name w:val="MDPI_1.8_keywords"/>
    <w:next w:val="Normal"/>
    <w:qFormat/>
    <w:rsid w:val="00D135A7"/>
    <w:pPr>
      <w:adjustRightInd w:val="0"/>
      <w:snapToGrid w:val="0"/>
      <w:spacing w:before="240" w:after="0" w:line="260" w:lineRule="atLeast"/>
      <w:ind w:left="2608"/>
      <w:jc w:val="both"/>
    </w:pPr>
    <w:rPr>
      <w:rFonts w:ascii="Palatino Linotype" w:eastAsia="Times New Roman" w:hAnsi="Palatino Linotype" w:cs="Times New Roman"/>
      <w:snapToGrid w:val="0"/>
      <w:color w:val="000000"/>
      <w:kern w:val="0"/>
      <w:sz w:val="18"/>
      <w:lang w:eastAsia="de-DE" w:bidi="en-US"/>
      <w14:ligatures w14:val="none"/>
    </w:rPr>
  </w:style>
  <w:style w:type="paragraph" w:customStyle="1" w:styleId="MDPI31text">
    <w:name w:val="MDPI_3.1_text"/>
    <w:link w:val="MDPI31textChar"/>
    <w:qFormat/>
    <w:rsid w:val="00D135A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21heading1">
    <w:name w:val="MDPI_2.1_heading1"/>
    <w:qFormat/>
    <w:rsid w:val="00D135A7"/>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eastAsia="de-DE" w:bidi="en-US"/>
      <w14:ligatures w14:val="none"/>
    </w:rPr>
  </w:style>
  <w:style w:type="paragraph" w:styleId="Bibliography">
    <w:name w:val="Bibliography"/>
    <w:basedOn w:val="Normal"/>
    <w:next w:val="Normal"/>
    <w:uiPriority w:val="37"/>
    <w:unhideWhenUsed/>
    <w:rsid w:val="00D135A7"/>
  </w:style>
  <w:style w:type="character" w:customStyle="1" w:styleId="MDPI31textChar">
    <w:name w:val="MDPI_3.1_text Char"/>
    <w:link w:val="MDPI31text"/>
    <w:rsid w:val="00D135A7"/>
    <w:rPr>
      <w:rFonts w:ascii="Palatino Linotype" w:eastAsia="Times New Roman" w:hAnsi="Palatino Linotype" w:cs="Times New Roman"/>
      <w:snapToGrid w:val="0"/>
      <w:color w:val="000000"/>
      <w:kern w:val="0"/>
      <w:sz w:val="20"/>
      <w:lang w:eastAsia="de-DE" w:bidi="en-US"/>
      <w14:ligatures w14:val="none"/>
    </w:rPr>
  </w:style>
  <w:style w:type="character" w:customStyle="1" w:styleId="Heading2Char">
    <w:name w:val="Heading 2 Char"/>
    <w:basedOn w:val="DefaultParagraphFont"/>
    <w:link w:val="Heading2"/>
    <w:uiPriority w:val="9"/>
    <w:rsid w:val="00B9183B"/>
    <w:rPr>
      <w:rFonts w:ascii="Calibri Light" w:eastAsia="DengXian Light" w:hAnsi="Calibri Light" w:cs="Times New Roman"/>
      <w:color w:val="2F5496"/>
      <w:kern w:val="0"/>
      <w:sz w:val="26"/>
      <w:szCs w:val="26"/>
      <w14:ligatures w14:val="none"/>
    </w:rPr>
  </w:style>
  <w:style w:type="character" w:customStyle="1" w:styleId="Heading5Char">
    <w:name w:val="Heading 5 Char"/>
    <w:basedOn w:val="DefaultParagraphFont"/>
    <w:link w:val="Heading5"/>
    <w:uiPriority w:val="9"/>
    <w:semiHidden/>
    <w:rsid w:val="00B9183B"/>
    <w:rPr>
      <w:rFonts w:ascii="Calibri Light" w:eastAsia="DengXian Light" w:hAnsi="Calibri Light" w:cs="Times New Roman"/>
      <w:noProof/>
      <w:color w:val="2F5496"/>
      <w:kern w:val="0"/>
      <w:sz w:val="20"/>
      <w:szCs w:val="20"/>
      <w:lang w:eastAsia="zh-CN"/>
      <w14:ligatures w14:val="none"/>
    </w:rPr>
  </w:style>
  <w:style w:type="paragraph" w:customStyle="1" w:styleId="MDPI11articletype">
    <w:name w:val="MDPI_1.1_article_type"/>
    <w:next w:val="Normal"/>
    <w:qFormat/>
    <w:rsid w:val="00B9183B"/>
    <w:pPr>
      <w:adjustRightInd w:val="0"/>
      <w:snapToGrid w:val="0"/>
      <w:spacing w:before="240" w:after="0" w:line="240" w:lineRule="auto"/>
    </w:pPr>
    <w:rPr>
      <w:rFonts w:ascii="Palatino Linotype" w:eastAsia="Times New Roman" w:hAnsi="Palatino Linotype" w:cs="Times New Roman"/>
      <w:i/>
      <w:snapToGrid w:val="0"/>
      <w:color w:val="000000"/>
      <w:kern w:val="0"/>
      <w:sz w:val="20"/>
      <w:lang w:eastAsia="de-DE" w:bidi="en-US"/>
      <w14:ligatures w14:val="none"/>
    </w:rPr>
  </w:style>
  <w:style w:type="paragraph" w:customStyle="1" w:styleId="MDPI14history">
    <w:name w:val="MDPI_1.4_history"/>
    <w:basedOn w:val="Normal"/>
    <w:next w:val="Normal"/>
    <w:qFormat/>
    <w:rsid w:val="00B9183B"/>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B9183B"/>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 w:type="paragraph" w:customStyle="1" w:styleId="MDPI17abstract">
    <w:name w:val="MDPI_1.7_abstract"/>
    <w:next w:val="Normal"/>
    <w:qFormat/>
    <w:rsid w:val="00B9183B"/>
    <w:pPr>
      <w:adjustRightInd w:val="0"/>
      <w:snapToGrid w:val="0"/>
      <w:spacing w:before="240" w:after="0" w:line="260" w:lineRule="atLeast"/>
      <w:ind w:left="2608"/>
      <w:jc w:val="both"/>
    </w:pPr>
    <w:rPr>
      <w:rFonts w:ascii="Palatino Linotype" w:eastAsia="Times New Roman" w:hAnsi="Palatino Linotype" w:cs="Times New Roman"/>
      <w:color w:val="000000"/>
      <w:kern w:val="0"/>
      <w:sz w:val="18"/>
      <w:lang w:eastAsia="de-DE" w:bidi="en-US"/>
      <w14:ligatures w14:val="none"/>
    </w:rPr>
  </w:style>
  <w:style w:type="paragraph" w:customStyle="1" w:styleId="MDPI19line">
    <w:name w:val="MDPI_1.9_line"/>
    <w:qFormat/>
    <w:rsid w:val="00B9183B"/>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szCs w:val="24"/>
      <w:lang w:eastAsia="de-DE" w:bidi="en-US"/>
      <w14:ligatures w14:val="none"/>
    </w:rPr>
  </w:style>
  <w:style w:type="table" w:customStyle="1" w:styleId="Mdeck5tablebodythreelines">
    <w:name w:val="M_deck_5_table_body_three_lines"/>
    <w:basedOn w:val="TableNormal"/>
    <w:uiPriority w:val="99"/>
    <w:rsid w:val="00B9183B"/>
    <w:pPr>
      <w:adjustRightInd w:val="0"/>
      <w:snapToGrid w:val="0"/>
      <w:spacing w:after="0" w:line="300" w:lineRule="exact"/>
      <w:jc w:val="center"/>
    </w:pPr>
    <w:rPr>
      <w:rFonts w:ascii="Times New Roman" w:eastAsia="SimSun" w:hAnsi="Times New Roman" w:cs="Times New Roman"/>
      <w:kern w:val="0"/>
      <w:sz w:val="20"/>
      <w:szCs w:val="20"/>
      <w:lang w:val="de-DE" w:eastAsia="de-DE" w:bidi="ne-NP"/>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B9183B"/>
    <w:pPr>
      <w:spacing w:after="0" w:line="260" w:lineRule="atLeast"/>
      <w:jc w:val="both"/>
    </w:pPr>
    <w:rPr>
      <w:rFonts w:ascii="Palatino Linotype" w:eastAsia="SimSun" w:hAnsi="Palatino Linotype" w:cs="Times New Roman"/>
      <w:color w:val="000000"/>
      <w:kern w:val="0"/>
      <w:sz w:val="20"/>
      <w:szCs w:val="20"/>
      <w:lang w:bidi="ne-N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9183B"/>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B9183B"/>
    <w:rPr>
      <w:rFonts w:ascii="Palatino Linotype" w:eastAsia="SimSun" w:hAnsi="Palatino Linotype" w:cs="Times New Roman"/>
      <w:noProof/>
      <w:color w:val="000000"/>
      <w:kern w:val="0"/>
      <w:sz w:val="20"/>
      <w:szCs w:val="18"/>
      <w:lang w:eastAsia="zh-CN"/>
      <w14:ligatures w14:val="none"/>
    </w:rPr>
  </w:style>
  <w:style w:type="paragraph" w:styleId="Header">
    <w:name w:val="header"/>
    <w:basedOn w:val="Normal"/>
    <w:link w:val="HeaderChar"/>
    <w:uiPriority w:val="99"/>
    <w:rsid w:val="00B9183B"/>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B9183B"/>
    <w:rPr>
      <w:rFonts w:ascii="Palatino Linotype" w:eastAsia="SimSun" w:hAnsi="Palatino Linotype" w:cs="Times New Roman"/>
      <w:noProof/>
      <w:color w:val="000000"/>
      <w:kern w:val="0"/>
      <w:sz w:val="20"/>
      <w:szCs w:val="18"/>
      <w:lang w:eastAsia="zh-CN"/>
      <w14:ligatures w14:val="none"/>
    </w:rPr>
  </w:style>
  <w:style w:type="paragraph" w:customStyle="1" w:styleId="MDPIheaderjournallogo">
    <w:name w:val="MDPI_header_journal_logo"/>
    <w:qFormat/>
    <w:rsid w:val="00B9183B"/>
    <w:pPr>
      <w:adjustRightInd w:val="0"/>
      <w:snapToGrid w:val="0"/>
      <w:spacing w:after="0" w:line="260" w:lineRule="atLeast"/>
      <w:jc w:val="both"/>
    </w:pPr>
    <w:rPr>
      <w:rFonts w:ascii="Palatino Linotype" w:eastAsia="Times New Roman" w:hAnsi="Palatino Linotype" w:cs="Times New Roman"/>
      <w:i/>
      <w:color w:val="000000"/>
      <w:kern w:val="0"/>
      <w:sz w:val="24"/>
      <w:lang w:eastAsia="de-CH"/>
      <w14:ligatures w14:val="none"/>
    </w:rPr>
  </w:style>
  <w:style w:type="paragraph" w:customStyle="1" w:styleId="MDPI32textnoindent">
    <w:name w:val="MDPI_3.2_text_no_indent"/>
    <w:basedOn w:val="MDPI31text"/>
    <w:qFormat/>
    <w:rsid w:val="00B9183B"/>
    <w:pPr>
      <w:ind w:firstLine="0"/>
    </w:pPr>
  </w:style>
  <w:style w:type="paragraph" w:customStyle="1" w:styleId="MDPI33textspaceafter">
    <w:name w:val="MDPI_3.3_text_space_after"/>
    <w:qFormat/>
    <w:rsid w:val="00B9183B"/>
    <w:pPr>
      <w:adjustRightInd w:val="0"/>
      <w:snapToGrid w:val="0"/>
      <w:spacing w:after="24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4textspacebefore">
    <w:name w:val="MDPI_3.4_text_space_before"/>
    <w:qFormat/>
    <w:rsid w:val="00B9183B"/>
    <w:pPr>
      <w:adjustRightInd w:val="0"/>
      <w:snapToGrid w:val="0"/>
      <w:spacing w:before="240" w:after="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5textbeforelist">
    <w:name w:val="MDPI_3.5_text_before_list"/>
    <w:qFormat/>
    <w:rsid w:val="00B9183B"/>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6textafterlist">
    <w:name w:val="MDPI_3.6_text_after_list"/>
    <w:qFormat/>
    <w:rsid w:val="00B9183B"/>
    <w:pPr>
      <w:adjustRightInd w:val="0"/>
      <w:snapToGrid w:val="0"/>
      <w:spacing w:before="120" w:after="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7itemize">
    <w:name w:val="MDPI_3.7_itemize"/>
    <w:qFormat/>
    <w:rsid w:val="00B9183B"/>
    <w:pPr>
      <w:numPr>
        <w:numId w:val="17"/>
      </w:numPr>
      <w:adjustRightInd w:val="0"/>
      <w:snapToGrid w:val="0"/>
      <w:spacing w:after="0" w:line="228" w:lineRule="auto"/>
      <w:jc w:val="both"/>
    </w:pPr>
    <w:rPr>
      <w:rFonts w:ascii="Palatino Linotype" w:eastAsia="Times New Roman" w:hAnsi="Palatino Linotype" w:cs="Times New Roman"/>
      <w:color w:val="000000"/>
      <w:kern w:val="0"/>
      <w:sz w:val="20"/>
      <w:lang w:eastAsia="de-DE" w:bidi="en-US"/>
      <w14:ligatures w14:val="none"/>
    </w:rPr>
  </w:style>
  <w:style w:type="paragraph" w:customStyle="1" w:styleId="MDPI38bullet">
    <w:name w:val="MDPI_3.8_bullet"/>
    <w:qFormat/>
    <w:rsid w:val="00B9183B"/>
    <w:pPr>
      <w:numPr>
        <w:numId w:val="16"/>
      </w:numPr>
      <w:adjustRightInd w:val="0"/>
      <w:snapToGrid w:val="0"/>
      <w:spacing w:after="0" w:line="228" w:lineRule="auto"/>
      <w:jc w:val="both"/>
    </w:pPr>
    <w:rPr>
      <w:rFonts w:ascii="Palatino Linotype" w:eastAsia="Times New Roman" w:hAnsi="Palatino Linotype" w:cs="Times New Roman"/>
      <w:color w:val="000000"/>
      <w:kern w:val="0"/>
      <w:sz w:val="20"/>
      <w:lang w:eastAsia="de-DE" w:bidi="en-US"/>
      <w14:ligatures w14:val="none"/>
    </w:rPr>
  </w:style>
  <w:style w:type="paragraph" w:customStyle="1" w:styleId="MDPI39equation">
    <w:name w:val="MDPI_3.9_equation"/>
    <w:qFormat/>
    <w:rsid w:val="00B9183B"/>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aequationnumber">
    <w:name w:val="MDPI_3.a_equation_number"/>
    <w:qFormat/>
    <w:rsid w:val="00B9183B"/>
    <w:pPr>
      <w:spacing w:before="120" w:after="120" w:line="240" w:lineRule="auto"/>
      <w:jc w:val="right"/>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41tablecaption">
    <w:name w:val="MDPI_4.1_table_caption"/>
    <w:qFormat/>
    <w:rsid w:val="00B9183B"/>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eastAsia="de-DE" w:bidi="en-US"/>
      <w14:ligatures w14:val="none"/>
    </w:rPr>
  </w:style>
  <w:style w:type="paragraph" w:customStyle="1" w:styleId="MDPI42tablebody">
    <w:name w:val="MDPI_4.2_table_body"/>
    <w:qFormat/>
    <w:rsid w:val="00B9183B"/>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43tablefooter">
    <w:name w:val="MDPI_4.3_table_footer"/>
    <w:next w:val="MDPI31text"/>
    <w:qFormat/>
    <w:rsid w:val="00B9183B"/>
    <w:pPr>
      <w:adjustRightInd w:val="0"/>
      <w:snapToGrid w:val="0"/>
      <w:spacing w:after="0" w:line="228" w:lineRule="auto"/>
      <w:ind w:left="2608"/>
      <w:jc w:val="both"/>
    </w:pPr>
    <w:rPr>
      <w:rFonts w:ascii="Palatino Linotype" w:eastAsia="Times New Roman" w:hAnsi="Palatino Linotype" w:cs="Cordia New"/>
      <w:color w:val="000000"/>
      <w:kern w:val="0"/>
      <w:sz w:val="18"/>
      <w:lang w:eastAsia="de-DE" w:bidi="en-US"/>
      <w14:ligatures w14:val="none"/>
    </w:rPr>
  </w:style>
  <w:style w:type="paragraph" w:customStyle="1" w:styleId="MDPI51figurecaption">
    <w:name w:val="MDPI_5.1_figure_caption"/>
    <w:qFormat/>
    <w:rsid w:val="00B9183B"/>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eastAsia="de-DE" w:bidi="en-US"/>
      <w14:ligatures w14:val="none"/>
    </w:rPr>
  </w:style>
  <w:style w:type="paragraph" w:customStyle="1" w:styleId="MDPI52figure">
    <w:name w:val="MDPI_5.2_figure"/>
    <w:qFormat/>
    <w:rsid w:val="00B9183B"/>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81theorem">
    <w:name w:val="MDPI_8.1_theorem"/>
    <w:qFormat/>
    <w:rsid w:val="00B9183B"/>
    <w:pPr>
      <w:adjustRightInd w:val="0"/>
      <w:snapToGrid w:val="0"/>
      <w:spacing w:after="0" w:line="228" w:lineRule="auto"/>
      <w:ind w:left="2608"/>
      <w:jc w:val="both"/>
    </w:pPr>
    <w:rPr>
      <w:rFonts w:ascii="Palatino Linotype" w:eastAsia="Times New Roman" w:hAnsi="Palatino Linotype" w:cs="Times New Roman"/>
      <w:i/>
      <w:snapToGrid w:val="0"/>
      <w:color w:val="000000"/>
      <w:kern w:val="0"/>
      <w:sz w:val="20"/>
      <w:lang w:eastAsia="de-DE" w:bidi="en-US"/>
      <w14:ligatures w14:val="none"/>
    </w:rPr>
  </w:style>
  <w:style w:type="paragraph" w:customStyle="1" w:styleId="MDPI82proof">
    <w:name w:val="MDPI_8.2_proof"/>
    <w:qFormat/>
    <w:rsid w:val="00B9183B"/>
    <w:pPr>
      <w:adjustRightInd w:val="0"/>
      <w:snapToGrid w:val="0"/>
      <w:spacing w:after="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footerfirstpage">
    <w:name w:val="MDPI_footer_firstpage"/>
    <w:qFormat/>
    <w:rsid w:val="00B9183B"/>
    <w:pPr>
      <w:tabs>
        <w:tab w:val="right" w:pos="8845"/>
      </w:tabs>
      <w:spacing w:after="0" w:line="160" w:lineRule="exact"/>
    </w:pPr>
    <w:rPr>
      <w:rFonts w:ascii="Palatino Linotype" w:eastAsia="Times New Roman" w:hAnsi="Palatino Linotype" w:cs="Times New Roman"/>
      <w:color w:val="000000"/>
      <w:kern w:val="0"/>
      <w:sz w:val="16"/>
      <w:szCs w:val="20"/>
      <w:lang w:eastAsia="de-DE"/>
      <w14:ligatures w14:val="none"/>
    </w:rPr>
  </w:style>
  <w:style w:type="paragraph" w:customStyle="1" w:styleId="MDPI23heading3">
    <w:name w:val="MDPI_2.3_heading3"/>
    <w:qFormat/>
    <w:rsid w:val="00B9183B"/>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22heading2">
    <w:name w:val="MDPI_2.2_heading2"/>
    <w:qFormat/>
    <w:rsid w:val="00B9183B"/>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lang w:eastAsia="de-DE" w:bidi="en-US"/>
      <w14:ligatures w14:val="none"/>
    </w:rPr>
  </w:style>
  <w:style w:type="paragraph" w:customStyle="1" w:styleId="MDPI71References">
    <w:name w:val="MDPI_7.1_References"/>
    <w:qFormat/>
    <w:rsid w:val="00B9183B"/>
    <w:pPr>
      <w:numPr>
        <w:numId w:val="15"/>
      </w:numPr>
      <w:adjustRightInd w:val="0"/>
      <w:snapToGrid w:val="0"/>
      <w:spacing w:after="0" w:line="228" w:lineRule="auto"/>
      <w:jc w:val="both"/>
    </w:pPr>
    <w:rPr>
      <w:rFonts w:ascii="Palatino Linotype" w:eastAsia="Times New Roman" w:hAnsi="Palatino Linotype" w:cs="Times New Roman"/>
      <w:color w:val="000000"/>
      <w:kern w:val="0"/>
      <w:sz w:val="18"/>
      <w:szCs w:val="20"/>
      <w:lang w:eastAsia="de-DE" w:bidi="en-US"/>
      <w14:ligatures w14:val="none"/>
    </w:rPr>
  </w:style>
  <w:style w:type="paragraph" w:styleId="BalloonText">
    <w:name w:val="Balloon Text"/>
    <w:basedOn w:val="Normal"/>
    <w:link w:val="BalloonTextChar"/>
    <w:uiPriority w:val="99"/>
    <w:rsid w:val="00B9183B"/>
    <w:rPr>
      <w:rFonts w:cs="Tahoma"/>
      <w:szCs w:val="18"/>
    </w:rPr>
  </w:style>
  <w:style w:type="character" w:customStyle="1" w:styleId="BalloonTextChar">
    <w:name w:val="Balloon Text Char"/>
    <w:basedOn w:val="DefaultParagraphFont"/>
    <w:link w:val="BalloonText"/>
    <w:uiPriority w:val="99"/>
    <w:rsid w:val="00B9183B"/>
    <w:rPr>
      <w:rFonts w:ascii="Palatino Linotype" w:eastAsia="SimSun" w:hAnsi="Palatino Linotype" w:cs="Tahoma"/>
      <w:noProof/>
      <w:color w:val="000000"/>
      <w:kern w:val="0"/>
      <w:sz w:val="20"/>
      <w:szCs w:val="18"/>
      <w:lang w:eastAsia="zh-CN"/>
      <w14:ligatures w14:val="none"/>
    </w:rPr>
  </w:style>
  <w:style w:type="character" w:styleId="LineNumber">
    <w:name w:val="line number"/>
    <w:uiPriority w:val="99"/>
    <w:rsid w:val="00B9183B"/>
    <w:rPr>
      <w:rFonts w:ascii="Palatino Linotype" w:hAnsi="Palatino Linotype"/>
      <w:sz w:val="16"/>
    </w:rPr>
  </w:style>
  <w:style w:type="table" w:customStyle="1" w:styleId="MDPI41threelinetable">
    <w:name w:val="MDPI_4.1_three_line_table"/>
    <w:basedOn w:val="TableNormal"/>
    <w:uiPriority w:val="99"/>
    <w:rsid w:val="00B9183B"/>
    <w:pPr>
      <w:adjustRightInd w:val="0"/>
      <w:snapToGrid w:val="0"/>
      <w:spacing w:after="0" w:line="240" w:lineRule="auto"/>
      <w:jc w:val="center"/>
    </w:pPr>
    <w:rPr>
      <w:rFonts w:ascii="Palatino Linotype" w:eastAsia="SimSun" w:hAnsi="Palatino Linotype" w:cs="Times New Roman"/>
      <w:color w:val="000000"/>
      <w:kern w:val="0"/>
      <w:sz w:val="20"/>
      <w:szCs w:val="20"/>
      <w:lang w:bidi="ne-NP"/>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9183B"/>
    <w:rPr>
      <w:color w:val="0000FF"/>
      <w:u w:val="single"/>
    </w:rPr>
  </w:style>
  <w:style w:type="character" w:customStyle="1" w:styleId="UnresolvedMention1">
    <w:name w:val="Unresolved Mention1"/>
    <w:uiPriority w:val="99"/>
    <w:semiHidden/>
    <w:unhideWhenUsed/>
    <w:rsid w:val="00B9183B"/>
    <w:rPr>
      <w:color w:val="605E5C"/>
      <w:shd w:val="clear" w:color="auto" w:fill="E1DFDD"/>
    </w:rPr>
  </w:style>
  <w:style w:type="table" w:styleId="PlainTable4">
    <w:name w:val="Plain Table 4"/>
    <w:basedOn w:val="TableNormal"/>
    <w:uiPriority w:val="44"/>
    <w:rsid w:val="00B9183B"/>
    <w:pPr>
      <w:spacing w:after="0" w:line="240" w:lineRule="auto"/>
    </w:pPr>
    <w:rPr>
      <w:rFonts w:ascii="Calibri" w:eastAsia="SimSun" w:hAnsi="Calibri" w:cs="Times New Roman"/>
      <w:kern w:val="0"/>
      <w:sz w:val="20"/>
      <w:szCs w:val="20"/>
      <w:lang w:bidi="ne-N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B9183B"/>
    <w:pPr>
      <w:adjustRightInd w:val="0"/>
      <w:snapToGrid w:val="0"/>
      <w:spacing w:after="0" w:line="240" w:lineRule="atLeast"/>
      <w:ind w:right="113"/>
    </w:pPr>
    <w:rPr>
      <w:rFonts w:ascii="Palatino Linotype" w:eastAsia="SimSun" w:hAnsi="Palatino Linotype" w:cs="Cordia New"/>
      <w:kern w:val="0"/>
      <w:sz w:val="14"/>
      <w:lang w:eastAsia="zh-CN"/>
      <w14:ligatures w14:val="none"/>
    </w:rPr>
  </w:style>
  <w:style w:type="paragraph" w:customStyle="1" w:styleId="MDPI62BackMatter">
    <w:name w:val="MDPI_6.2_BackMatter"/>
    <w:qFormat/>
    <w:rsid w:val="00B9183B"/>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bidi="en-US"/>
      <w14:ligatures w14:val="none"/>
    </w:rPr>
  </w:style>
  <w:style w:type="paragraph" w:customStyle="1" w:styleId="MDPI63Notes">
    <w:name w:val="MDPI_6.3_Notes"/>
    <w:qFormat/>
    <w:rsid w:val="00B9183B"/>
    <w:pPr>
      <w:adjustRightInd w:val="0"/>
      <w:snapToGrid w:val="0"/>
      <w:spacing w:after="120" w:line="240" w:lineRule="atLeast"/>
      <w:ind w:right="113"/>
    </w:pPr>
    <w:rPr>
      <w:rFonts w:ascii="Palatino Linotype" w:eastAsia="SimSun" w:hAnsi="Palatino Linotype" w:cs="Times New Roman"/>
      <w:snapToGrid w:val="0"/>
      <w:color w:val="000000"/>
      <w:kern w:val="0"/>
      <w:sz w:val="14"/>
      <w:szCs w:val="20"/>
      <w:lang w:bidi="en-US"/>
      <w14:ligatures w14:val="none"/>
    </w:rPr>
  </w:style>
  <w:style w:type="paragraph" w:customStyle="1" w:styleId="MDPI15academiceditor">
    <w:name w:val="MDPI_1.5_academic_editor"/>
    <w:qFormat/>
    <w:rsid w:val="00B9183B"/>
    <w:pPr>
      <w:adjustRightInd w:val="0"/>
      <w:snapToGrid w:val="0"/>
      <w:spacing w:before="120" w:after="0" w:line="240" w:lineRule="atLeast"/>
      <w:ind w:right="113"/>
    </w:pPr>
    <w:rPr>
      <w:rFonts w:ascii="Palatino Linotype" w:eastAsia="Times New Roman" w:hAnsi="Palatino Linotype" w:cs="Times New Roman"/>
      <w:color w:val="000000"/>
      <w:kern w:val="0"/>
      <w:sz w:val="14"/>
      <w:lang w:eastAsia="de-DE" w:bidi="en-US"/>
      <w14:ligatures w14:val="none"/>
    </w:rPr>
  </w:style>
  <w:style w:type="paragraph" w:customStyle="1" w:styleId="MDPI19classification">
    <w:name w:val="MDPI_1.9_classification"/>
    <w:qFormat/>
    <w:rsid w:val="00B9183B"/>
    <w:pPr>
      <w:spacing w:before="240" w:after="0" w:line="260" w:lineRule="atLeast"/>
      <w:ind w:left="113"/>
      <w:jc w:val="both"/>
    </w:pPr>
    <w:rPr>
      <w:rFonts w:ascii="Palatino Linotype" w:eastAsia="Times New Roman" w:hAnsi="Palatino Linotype" w:cs="Times New Roman"/>
      <w:b/>
      <w:color w:val="000000"/>
      <w:kern w:val="0"/>
      <w:sz w:val="20"/>
      <w:lang w:eastAsia="de-DE" w:bidi="en-US"/>
      <w14:ligatures w14:val="none"/>
    </w:rPr>
  </w:style>
  <w:style w:type="paragraph" w:customStyle="1" w:styleId="MDPI411onetablecaption">
    <w:name w:val="MDPI_4.1.1_one_table_caption"/>
    <w:qFormat/>
    <w:rsid w:val="00B9183B"/>
    <w:pPr>
      <w:adjustRightInd w:val="0"/>
      <w:snapToGrid w:val="0"/>
      <w:spacing w:before="240" w:after="120" w:line="260" w:lineRule="atLeast"/>
      <w:jc w:val="center"/>
    </w:pPr>
    <w:rPr>
      <w:rFonts w:ascii="Palatino Linotype" w:eastAsia="SimSun" w:hAnsi="Palatino Linotype" w:cs="Cordia New"/>
      <w:noProof/>
      <w:color w:val="000000"/>
      <w:kern w:val="0"/>
      <w:sz w:val="18"/>
      <w:lang w:eastAsia="zh-CN" w:bidi="en-US"/>
      <w14:ligatures w14:val="none"/>
    </w:rPr>
  </w:style>
  <w:style w:type="paragraph" w:customStyle="1" w:styleId="MDPI511onefigurecaption">
    <w:name w:val="MDPI_5.1.1_one_figure_caption"/>
    <w:qFormat/>
    <w:rsid w:val="00B9183B"/>
    <w:pPr>
      <w:adjustRightInd w:val="0"/>
      <w:snapToGrid w:val="0"/>
      <w:spacing w:before="240" w:after="120" w:line="260" w:lineRule="atLeast"/>
      <w:jc w:val="center"/>
    </w:pPr>
    <w:rPr>
      <w:rFonts w:ascii="Palatino Linotype" w:eastAsia="SimSun" w:hAnsi="Palatino Linotype" w:cs="Times New Roman"/>
      <w:noProof/>
      <w:color w:val="000000"/>
      <w:kern w:val="0"/>
      <w:sz w:val="18"/>
      <w:szCs w:val="20"/>
      <w:lang w:eastAsia="zh-CN" w:bidi="en-US"/>
      <w14:ligatures w14:val="none"/>
    </w:rPr>
  </w:style>
  <w:style w:type="paragraph" w:customStyle="1" w:styleId="MDPI72Copyright">
    <w:name w:val="MDPI_7.2_Copyright"/>
    <w:qFormat/>
    <w:rsid w:val="00B9183B"/>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kern w:val="0"/>
      <w:sz w:val="14"/>
      <w:szCs w:val="20"/>
      <w:lang w:val="en-GB" w:eastAsia="en-GB"/>
      <w14:ligatures w14:val="none"/>
    </w:rPr>
  </w:style>
  <w:style w:type="paragraph" w:customStyle="1" w:styleId="MDPI73CopyrightImage">
    <w:name w:val="MDPI_7.3_CopyrightImage"/>
    <w:rsid w:val="00B9183B"/>
    <w:pPr>
      <w:adjustRightInd w:val="0"/>
      <w:snapToGrid w:val="0"/>
      <w:spacing w:after="100" w:line="260" w:lineRule="atLeast"/>
      <w:jc w:val="right"/>
    </w:pPr>
    <w:rPr>
      <w:rFonts w:ascii="Palatino Linotype" w:eastAsia="Times New Roman" w:hAnsi="Palatino Linotype" w:cs="Times New Roman"/>
      <w:color w:val="000000"/>
      <w:kern w:val="0"/>
      <w:sz w:val="20"/>
      <w:szCs w:val="20"/>
      <w:lang w:eastAsia="de-CH"/>
      <w14:ligatures w14:val="none"/>
    </w:rPr>
  </w:style>
  <w:style w:type="paragraph" w:customStyle="1" w:styleId="MDPIequationFram">
    <w:name w:val="MDPI_equationFram"/>
    <w:qFormat/>
    <w:rsid w:val="00B9183B"/>
    <w:pPr>
      <w:adjustRightInd w:val="0"/>
      <w:snapToGrid w:val="0"/>
      <w:spacing w:before="120" w:after="120" w:line="240" w:lineRule="auto"/>
      <w:jc w:val="center"/>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footer">
    <w:name w:val="MDPI_footer"/>
    <w:qFormat/>
    <w:rsid w:val="00B9183B"/>
    <w:pPr>
      <w:adjustRightInd w:val="0"/>
      <w:snapToGrid w:val="0"/>
      <w:spacing w:before="120" w:after="0" w:line="260" w:lineRule="atLeast"/>
      <w:jc w:val="center"/>
    </w:pPr>
    <w:rPr>
      <w:rFonts w:ascii="Palatino Linotype" w:eastAsia="Times New Roman" w:hAnsi="Palatino Linotype" w:cs="Times New Roman"/>
      <w:color w:val="000000"/>
      <w:kern w:val="0"/>
      <w:sz w:val="20"/>
      <w:szCs w:val="20"/>
      <w:lang w:eastAsia="de-DE"/>
      <w14:ligatures w14:val="none"/>
    </w:rPr>
  </w:style>
  <w:style w:type="paragraph" w:customStyle="1" w:styleId="MDPIheader">
    <w:name w:val="MDPI_header"/>
    <w:qFormat/>
    <w:rsid w:val="00B9183B"/>
    <w:pPr>
      <w:adjustRightInd w:val="0"/>
      <w:snapToGrid w:val="0"/>
      <w:spacing w:after="240" w:line="260" w:lineRule="atLeast"/>
      <w:jc w:val="both"/>
    </w:pPr>
    <w:rPr>
      <w:rFonts w:ascii="Palatino Linotype" w:eastAsia="Times New Roman" w:hAnsi="Palatino Linotype" w:cs="Times New Roman"/>
      <w:iCs/>
      <w:color w:val="000000"/>
      <w:kern w:val="0"/>
      <w:sz w:val="16"/>
      <w:szCs w:val="20"/>
      <w:lang w:eastAsia="de-DE"/>
      <w14:ligatures w14:val="none"/>
    </w:rPr>
  </w:style>
  <w:style w:type="paragraph" w:customStyle="1" w:styleId="MDPIheadercitation">
    <w:name w:val="MDPI_header_citation"/>
    <w:rsid w:val="00B9183B"/>
    <w:pPr>
      <w:spacing w:after="240" w:line="240" w:lineRule="auto"/>
    </w:pPr>
    <w:rPr>
      <w:rFonts w:ascii="Palatino Linotype" w:eastAsia="Times New Roman" w:hAnsi="Palatino Linotype" w:cs="Times New Roman"/>
      <w:snapToGrid w:val="0"/>
      <w:color w:val="000000"/>
      <w:kern w:val="0"/>
      <w:sz w:val="18"/>
      <w:szCs w:val="20"/>
      <w:lang w:eastAsia="de-DE" w:bidi="en-US"/>
      <w14:ligatures w14:val="none"/>
    </w:rPr>
  </w:style>
  <w:style w:type="paragraph" w:customStyle="1" w:styleId="MDPIheadermdpilogo">
    <w:name w:val="MDPI_header_mdpi_logo"/>
    <w:qFormat/>
    <w:rsid w:val="00B9183B"/>
    <w:pPr>
      <w:adjustRightInd w:val="0"/>
      <w:snapToGrid w:val="0"/>
      <w:spacing w:after="0" w:line="260" w:lineRule="atLeast"/>
      <w:jc w:val="right"/>
    </w:pPr>
    <w:rPr>
      <w:rFonts w:ascii="Palatino Linotype" w:eastAsia="Times New Roman" w:hAnsi="Palatino Linotype" w:cs="Times New Roman"/>
      <w:color w:val="000000"/>
      <w:kern w:val="0"/>
      <w:sz w:val="24"/>
      <w:lang w:eastAsia="de-CH"/>
      <w14:ligatures w14:val="none"/>
    </w:rPr>
  </w:style>
  <w:style w:type="table" w:customStyle="1" w:styleId="MDPITable">
    <w:name w:val="MDPI_Table"/>
    <w:basedOn w:val="TableNormal"/>
    <w:uiPriority w:val="99"/>
    <w:rsid w:val="00B9183B"/>
    <w:pPr>
      <w:spacing w:after="0" w:line="240" w:lineRule="auto"/>
    </w:pPr>
    <w:rPr>
      <w:rFonts w:ascii="Palatino Linotype" w:eastAsia="SimSun" w:hAnsi="Palatino Linotype" w:cs="Times New Roman"/>
      <w:color w:val="000000"/>
      <w:kern w:val="0"/>
      <w:sz w:val="20"/>
      <w:szCs w:val="20"/>
      <w:lang w:val="en-CA" w:bidi="ne-NP"/>
      <w14:ligatures w14:val="none"/>
    </w:rPr>
    <w:tblPr>
      <w:tblCellMar>
        <w:left w:w="0" w:type="dxa"/>
        <w:right w:w="0" w:type="dxa"/>
      </w:tblCellMar>
    </w:tblPr>
  </w:style>
  <w:style w:type="paragraph" w:customStyle="1" w:styleId="MDPItext">
    <w:name w:val="MDPI_text"/>
    <w:qFormat/>
    <w:rsid w:val="00B9183B"/>
    <w:pPr>
      <w:spacing w:after="0" w:line="260" w:lineRule="atLeast"/>
      <w:ind w:left="425" w:right="425" w:firstLine="284"/>
      <w:jc w:val="both"/>
    </w:pPr>
    <w:rPr>
      <w:rFonts w:ascii="Times New Roman" w:eastAsia="Times New Roman" w:hAnsi="Times New Roman" w:cs="Times New Roman"/>
      <w:noProof/>
      <w:snapToGrid w:val="0"/>
      <w:color w:val="000000"/>
      <w:kern w:val="0"/>
      <w:lang w:eastAsia="de-DE" w:bidi="en-US"/>
      <w14:ligatures w14:val="none"/>
    </w:rPr>
  </w:style>
  <w:style w:type="paragraph" w:customStyle="1" w:styleId="MDPItitle">
    <w:name w:val="MDPI_title"/>
    <w:qFormat/>
    <w:rsid w:val="00B9183B"/>
    <w:pPr>
      <w:adjustRightInd w:val="0"/>
      <w:snapToGrid w:val="0"/>
      <w:spacing w:after="240" w:line="260" w:lineRule="atLeast"/>
      <w:jc w:val="both"/>
    </w:pPr>
    <w:rPr>
      <w:rFonts w:ascii="Palatino Linotype" w:eastAsia="Times New Roman" w:hAnsi="Palatino Linotype" w:cs="Times New Roman"/>
      <w:b/>
      <w:snapToGrid w:val="0"/>
      <w:color w:val="000000"/>
      <w:kern w:val="0"/>
      <w:sz w:val="36"/>
      <w:szCs w:val="20"/>
      <w:lang w:eastAsia="de-DE" w:bidi="en-US"/>
      <w14:ligatures w14:val="none"/>
    </w:rPr>
  </w:style>
  <w:style w:type="character" w:customStyle="1" w:styleId="apple-converted-space">
    <w:name w:val="apple-converted-space"/>
    <w:rsid w:val="00B9183B"/>
  </w:style>
  <w:style w:type="paragraph" w:styleId="BodyText">
    <w:name w:val="Body Text"/>
    <w:link w:val="BodyTextChar"/>
    <w:rsid w:val="00B9183B"/>
    <w:pPr>
      <w:spacing w:after="120" w:line="340" w:lineRule="atLeast"/>
      <w:jc w:val="both"/>
    </w:pPr>
    <w:rPr>
      <w:rFonts w:ascii="Palatino Linotype" w:eastAsia="SimSun" w:hAnsi="Palatino Linotype" w:cs="Times New Roman"/>
      <w:color w:val="000000"/>
      <w:kern w:val="0"/>
      <w:sz w:val="24"/>
      <w:szCs w:val="20"/>
      <w:lang w:eastAsia="de-DE"/>
      <w14:ligatures w14:val="none"/>
    </w:rPr>
  </w:style>
  <w:style w:type="character" w:customStyle="1" w:styleId="BodyTextChar">
    <w:name w:val="Body Text Char"/>
    <w:basedOn w:val="DefaultParagraphFont"/>
    <w:link w:val="BodyText"/>
    <w:rsid w:val="00B9183B"/>
    <w:rPr>
      <w:rFonts w:ascii="Palatino Linotype" w:eastAsia="SimSun" w:hAnsi="Palatino Linotype" w:cs="Times New Roman"/>
      <w:color w:val="000000"/>
      <w:kern w:val="0"/>
      <w:sz w:val="24"/>
      <w:szCs w:val="20"/>
      <w:lang w:eastAsia="de-DE"/>
      <w14:ligatures w14:val="none"/>
    </w:rPr>
  </w:style>
  <w:style w:type="character" w:styleId="CommentReference">
    <w:name w:val="annotation reference"/>
    <w:rsid w:val="00B9183B"/>
    <w:rPr>
      <w:sz w:val="21"/>
      <w:szCs w:val="21"/>
    </w:rPr>
  </w:style>
  <w:style w:type="paragraph" w:styleId="CommentText">
    <w:name w:val="annotation text"/>
    <w:basedOn w:val="Normal"/>
    <w:link w:val="CommentTextChar"/>
    <w:rsid w:val="00B9183B"/>
  </w:style>
  <w:style w:type="character" w:customStyle="1" w:styleId="CommentTextChar">
    <w:name w:val="Comment Text Char"/>
    <w:basedOn w:val="DefaultParagraphFont"/>
    <w:link w:val="CommentText"/>
    <w:rsid w:val="00B9183B"/>
    <w:rPr>
      <w:rFonts w:ascii="Palatino Linotype" w:eastAsia="SimSun" w:hAnsi="Palatino Linotype" w:cs="Times New Roman"/>
      <w:noProof/>
      <w:color w:val="000000"/>
      <w:kern w:val="0"/>
      <w:sz w:val="20"/>
      <w:szCs w:val="20"/>
      <w:lang w:eastAsia="zh-CN"/>
      <w14:ligatures w14:val="none"/>
    </w:rPr>
  </w:style>
  <w:style w:type="paragraph" w:styleId="CommentSubject">
    <w:name w:val="annotation subject"/>
    <w:basedOn w:val="CommentText"/>
    <w:next w:val="CommentText"/>
    <w:link w:val="CommentSubjectChar"/>
    <w:rsid w:val="00B9183B"/>
    <w:rPr>
      <w:b/>
      <w:bCs/>
    </w:rPr>
  </w:style>
  <w:style w:type="character" w:customStyle="1" w:styleId="CommentSubjectChar">
    <w:name w:val="Comment Subject Char"/>
    <w:basedOn w:val="CommentTextChar"/>
    <w:link w:val="CommentSubject"/>
    <w:rsid w:val="00B9183B"/>
    <w:rPr>
      <w:rFonts w:ascii="Palatino Linotype" w:eastAsia="SimSun" w:hAnsi="Palatino Linotype" w:cs="Times New Roman"/>
      <w:b/>
      <w:bCs/>
      <w:noProof/>
      <w:color w:val="000000"/>
      <w:kern w:val="0"/>
      <w:sz w:val="20"/>
      <w:szCs w:val="20"/>
      <w:lang w:eastAsia="zh-CN"/>
      <w14:ligatures w14:val="none"/>
    </w:rPr>
  </w:style>
  <w:style w:type="character" w:styleId="EndnoteReference">
    <w:name w:val="endnote reference"/>
    <w:rsid w:val="00B9183B"/>
    <w:rPr>
      <w:vertAlign w:val="superscript"/>
    </w:rPr>
  </w:style>
  <w:style w:type="paragraph" w:styleId="EndnoteText">
    <w:name w:val="endnote text"/>
    <w:basedOn w:val="Normal"/>
    <w:link w:val="EndnoteTextChar"/>
    <w:semiHidden/>
    <w:unhideWhenUsed/>
    <w:rsid w:val="00B9183B"/>
    <w:pPr>
      <w:spacing w:line="240" w:lineRule="auto"/>
    </w:pPr>
  </w:style>
  <w:style w:type="character" w:customStyle="1" w:styleId="EndnoteTextChar">
    <w:name w:val="Endnote Text Char"/>
    <w:basedOn w:val="DefaultParagraphFont"/>
    <w:link w:val="EndnoteText"/>
    <w:semiHidden/>
    <w:rsid w:val="00B9183B"/>
    <w:rPr>
      <w:rFonts w:ascii="Palatino Linotype" w:eastAsia="SimSun" w:hAnsi="Palatino Linotype" w:cs="Times New Roman"/>
      <w:noProof/>
      <w:color w:val="000000"/>
      <w:kern w:val="0"/>
      <w:sz w:val="20"/>
      <w:szCs w:val="20"/>
      <w:lang w:eastAsia="zh-CN"/>
      <w14:ligatures w14:val="none"/>
    </w:rPr>
  </w:style>
  <w:style w:type="character" w:styleId="FollowedHyperlink">
    <w:name w:val="FollowedHyperlink"/>
    <w:rsid w:val="00B9183B"/>
    <w:rPr>
      <w:color w:val="954F72"/>
      <w:u w:val="single"/>
    </w:rPr>
  </w:style>
  <w:style w:type="paragraph" w:styleId="NormalWeb">
    <w:name w:val="Normal (Web)"/>
    <w:basedOn w:val="Normal"/>
    <w:uiPriority w:val="99"/>
    <w:rsid w:val="00B9183B"/>
    <w:rPr>
      <w:szCs w:val="24"/>
    </w:rPr>
  </w:style>
  <w:style w:type="paragraph" w:customStyle="1" w:styleId="MsoFootnoteText0">
    <w:name w:val="MsoFootnoteText"/>
    <w:basedOn w:val="NormalWeb"/>
    <w:qFormat/>
    <w:rsid w:val="00B9183B"/>
    <w:rPr>
      <w:rFonts w:ascii="Times New Roman" w:hAnsi="Times New Roman"/>
    </w:rPr>
  </w:style>
  <w:style w:type="character" w:styleId="PageNumber">
    <w:name w:val="page number"/>
    <w:rsid w:val="00B9183B"/>
  </w:style>
  <w:style w:type="character" w:styleId="PlaceholderText">
    <w:name w:val="Placeholder Text"/>
    <w:uiPriority w:val="99"/>
    <w:semiHidden/>
    <w:rsid w:val="00B9183B"/>
    <w:rPr>
      <w:color w:val="808080"/>
    </w:rPr>
  </w:style>
  <w:style w:type="paragraph" w:customStyle="1" w:styleId="MDPI71FootNotes">
    <w:name w:val="MDPI_7.1_FootNotes"/>
    <w:qFormat/>
    <w:rsid w:val="00B9183B"/>
    <w:pPr>
      <w:numPr>
        <w:numId w:val="13"/>
      </w:numPr>
      <w:adjustRightInd w:val="0"/>
      <w:snapToGrid w:val="0"/>
      <w:spacing w:after="0" w:line="228" w:lineRule="auto"/>
    </w:pPr>
    <w:rPr>
      <w:rFonts w:ascii="Palatino Linotype" w:eastAsia="DengXian" w:hAnsi="Palatino Linotype" w:cs="Times New Roman"/>
      <w:noProof/>
      <w:color w:val="000000"/>
      <w:kern w:val="0"/>
      <w:sz w:val="18"/>
      <w:szCs w:val="20"/>
      <w:lang w:eastAsia="zh-CN"/>
      <w14:ligatures w14:val="none"/>
    </w:rPr>
  </w:style>
  <w:style w:type="paragraph" w:styleId="Title">
    <w:name w:val="Title"/>
    <w:basedOn w:val="Normal"/>
    <w:next w:val="Normal"/>
    <w:link w:val="TitleChar"/>
    <w:uiPriority w:val="10"/>
    <w:qFormat/>
    <w:rsid w:val="00B9183B"/>
    <w:pPr>
      <w:spacing w:line="240" w:lineRule="auto"/>
      <w:contextualSpacing/>
      <w:jc w:val="left"/>
    </w:pPr>
    <w:rPr>
      <w:rFonts w:ascii="Calibri Light" w:eastAsia="DengXian Light" w:hAnsi="Calibri Light"/>
      <w:noProof w:val="0"/>
      <w:color w:val="auto"/>
      <w:spacing w:val="-10"/>
      <w:kern w:val="28"/>
      <w:sz w:val="56"/>
      <w:szCs w:val="56"/>
      <w:lang w:eastAsia="en-US"/>
    </w:rPr>
  </w:style>
  <w:style w:type="character" w:customStyle="1" w:styleId="TitleChar">
    <w:name w:val="Title Char"/>
    <w:basedOn w:val="DefaultParagraphFont"/>
    <w:link w:val="Title"/>
    <w:uiPriority w:val="10"/>
    <w:rsid w:val="00B9183B"/>
    <w:rPr>
      <w:rFonts w:ascii="Calibri Light" w:eastAsia="DengXian Light" w:hAnsi="Calibri Light" w:cs="Times New Roman"/>
      <w:spacing w:val="-10"/>
      <w:kern w:val="28"/>
      <w:sz w:val="56"/>
      <w:szCs w:val="56"/>
      <w14:ligatures w14:val="none"/>
    </w:rPr>
  </w:style>
  <w:style w:type="table" w:customStyle="1" w:styleId="TableGrid11">
    <w:name w:val="Table Grid11"/>
    <w:basedOn w:val="TableNormal"/>
    <w:next w:val="TableGrid"/>
    <w:uiPriority w:val="59"/>
    <w:rsid w:val="00B9183B"/>
    <w:pPr>
      <w:spacing w:after="0" w:line="240" w:lineRule="auto"/>
    </w:pPr>
    <w:rPr>
      <w:rFonts w:ascii="Calibri" w:eastAsia="SimSun" w:hAnsi="Calibri" w:cs="Arial"/>
      <w:kern w:val="0"/>
      <w:lang w:bidi="ne-N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9183B"/>
    <w:pPr>
      <w:spacing w:after="0" w:line="240" w:lineRule="auto"/>
    </w:pPr>
    <w:rPr>
      <w:rFonts w:ascii="Calibri" w:eastAsia="SimSun" w:hAnsi="Calibri" w:cs="Arial"/>
      <w:kern w:val="0"/>
      <w:lang w:bidi="ne-N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183B"/>
    <w:pPr>
      <w:spacing w:after="0" w:line="240" w:lineRule="auto"/>
    </w:pPr>
    <w:rPr>
      <w:rFonts w:ascii="Palatino Linotype" w:eastAsia="SimSun" w:hAnsi="Palatino Linotype" w:cs="Times New Roman"/>
      <w:noProof/>
      <w:color w:val="000000"/>
      <w:kern w:val="0"/>
      <w:sz w:val="20"/>
      <w:szCs w:val="20"/>
      <w:lang w:eastAsia="zh-CN"/>
      <w14:ligatures w14:val="none"/>
    </w:rPr>
  </w:style>
  <w:style w:type="paragraph" w:styleId="ListParagraph">
    <w:name w:val="List Paragraph"/>
    <w:aliases w:val="AB List 1,Bullet Points,Bullets,List Paragraph1,Evidence on Demand bullet points,Recommendation,List Paragraph11,List Paragraph2,LISTA,Bullet List,FooterText,Colorful List Accent 1,numbered,Paragraphe de liste1,列出段落,列出段落1,List Paragraph21"/>
    <w:basedOn w:val="Normal"/>
    <w:link w:val="ListParagraphChar"/>
    <w:uiPriority w:val="34"/>
    <w:qFormat/>
    <w:rsid w:val="00B9183B"/>
    <w:pPr>
      <w:spacing w:after="160" w:line="259" w:lineRule="auto"/>
      <w:ind w:left="720"/>
      <w:contextualSpacing/>
      <w:jc w:val="left"/>
    </w:pPr>
    <w:rPr>
      <w:rFonts w:ascii="Calibri" w:eastAsia="Calibri" w:hAnsi="Calibri" w:cs="Arial"/>
      <w:noProof w:val="0"/>
      <w:color w:val="auto"/>
      <w:sz w:val="22"/>
      <w:lang w:val="en-GB" w:eastAsia="en-US" w:bidi="ne-NP"/>
    </w:rPr>
  </w:style>
  <w:style w:type="character" w:customStyle="1" w:styleId="ListParagraphChar">
    <w:name w:val="List Paragraph Char"/>
    <w:aliases w:val="AB List 1 Char,Bullet Points Char,Bullets Char,List Paragraph1 Char,Evidence on Demand bullet points Char,Recommendation Char,List Paragraph11 Char,List Paragraph2 Char,LISTA Char,Bullet List Char,FooterText Char,numbered Char"/>
    <w:link w:val="ListParagraph"/>
    <w:uiPriority w:val="34"/>
    <w:qFormat/>
    <w:rsid w:val="00B9183B"/>
    <w:rPr>
      <w:rFonts w:ascii="Calibri" w:eastAsia="Calibri" w:hAnsi="Calibri" w:cs="Arial"/>
      <w:kern w:val="0"/>
      <w:szCs w:val="20"/>
      <w:lang w:val="en-GB" w:bidi="ne-NP"/>
      <w14:ligatures w14:val="none"/>
    </w:rPr>
  </w:style>
  <w:style w:type="table" w:styleId="GridTable1Light-Accent6">
    <w:name w:val="Grid Table 1 Light Accent 6"/>
    <w:basedOn w:val="TableNormal"/>
    <w:uiPriority w:val="46"/>
    <w:rsid w:val="00B9183B"/>
    <w:pPr>
      <w:spacing w:after="0" w:line="240" w:lineRule="auto"/>
    </w:pPr>
    <w:rPr>
      <w:rFonts w:ascii="Calibri" w:eastAsia="Calibri" w:hAnsi="Calibri" w:cs="Arial"/>
      <w:kern w:val="0"/>
      <w:szCs w:val="20"/>
      <w:lang w:bidi="ne-NP"/>
      <w14:ligatures w14:val="none"/>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PlainTable2">
    <w:name w:val="Plain Table 2"/>
    <w:basedOn w:val="TableNormal"/>
    <w:uiPriority w:val="42"/>
    <w:rsid w:val="00B9183B"/>
    <w:pPr>
      <w:spacing w:after="0" w:line="240" w:lineRule="auto"/>
    </w:pPr>
    <w:rPr>
      <w:rFonts w:ascii="Calibri" w:eastAsia="SimSun" w:hAnsi="Calibri" w:cs="Times New Roman"/>
      <w:kern w:val="0"/>
      <w:sz w:val="20"/>
      <w:szCs w:val="20"/>
      <w:lang w:bidi="ne-NP"/>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B9183B"/>
    <w:pPr>
      <w:spacing w:after="0" w:line="240" w:lineRule="auto"/>
    </w:pPr>
    <w:rPr>
      <w:rFonts w:ascii="Calibri" w:eastAsia="Calibri" w:hAnsi="Calibri" w:cs="Arial"/>
      <w:kern w:val="0"/>
      <w:szCs w:val="20"/>
      <w:lang w:bidi="ne-N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
    <w:name w:val="List Table 2"/>
    <w:basedOn w:val="TableNormal"/>
    <w:uiPriority w:val="47"/>
    <w:rsid w:val="00B9183B"/>
    <w:pPr>
      <w:spacing w:after="0" w:line="240" w:lineRule="auto"/>
    </w:pPr>
    <w:rPr>
      <w:rFonts w:ascii="Calibri" w:eastAsia="SimSun" w:hAnsi="Calibri" w:cs="Times New Roman"/>
      <w:kern w:val="0"/>
      <w:sz w:val="20"/>
      <w:szCs w:val="20"/>
      <w:lang w:bidi="ne-NP"/>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1Light">
    <w:name w:val="Grid Table 1 Light"/>
    <w:basedOn w:val="TableNormal"/>
    <w:uiPriority w:val="46"/>
    <w:rsid w:val="00B9183B"/>
    <w:pPr>
      <w:spacing w:after="0" w:line="240" w:lineRule="auto"/>
    </w:pPr>
    <w:rPr>
      <w:rFonts w:ascii="Calibri" w:eastAsia="SimSun" w:hAnsi="Calibri" w:cs="Times New Roman"/>
      <w:kern w:val="0"/>
      <w:sz w:val="20"/>
      <w:szCs w:val="20"/>
      <w:lang w:bidi="ne-NP"/>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B9183B"/>
    <w:pPr>
      <w:spacing w:after="0" w:line="240" w:lineRule="auto"/>
    </w:pPr>
    <w:rPr>
      <w:rFonts w:ascii="Calibri" w:eastAsia="Calibri" w:hAnsi="Calibri" w:cs="Arial"/>
      <w:kern w:val="0"/>
      <w:szCs w:val="20"/>
      <w:lang w:bidi="ne-NP"/>
      <w14:ligatures w14:val="none"/>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39"/>
    <w:rsid w:val="00B9183B"/>
    <w:pPr>
      <w:spacing w:after="0" w:line="240" w:lineRule="auto"/>
    </w:pPr>
    <w:rPr>
      <w:rFonts w:ascii="Calibri" w:eastAsia="Calibri" w:hAnsi="Calibri" w:cs="Arial"/>
      <w:kern w:val="0"/>
      <w:szCs w:val="20"/>
      <w:lang w:bidi="ne-N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B9183B"/>
    <w:rPr>
      <w:i/>
      <w:iCs/>
    </w:rPr>
  </w:style>
  <w:style w:type="character" w:customStyle="1" w:styleId="wd-jnl-art-breadcrumb-title">
    <w:name w:val="wd-jnl-art-breadcrumb-title"/>
    <w:basedOn w:val="DefaultParagraphFont"/>
    <w:rsid w:val="00B9183B"/>
  </w:style>
  <w:style w:type="character" w:customStyle="1" w:styleId="wd-jnl-art-breadcrumb-vol">
    <w:name w:val="wd-jnl-art-breadcrumb-vol"/>
    <w:basedOn w:val="DefaultParagraphFont"/>
    <w:rsid w:val="00B9183B"/>
  </w:style>
  <w:style w:type="character" w:customStyle="1" w:styleId="wd-jnl-art-breadcrumb-issue">
    <w:name w:val="wd-jnl-art-breadcrumb-issue"/>
    <w:basedOn w:val="DefaultParagraphFont"/>
    <w:rsid w:val="00B9183B"/>
  </w:style>
  <w:style w:type="character" w:styleId="Strong">
    <w:name w:val="Strong"/>
    <w:uiPriority w:val="22"/>
    <w:qFormat/>
    <w:rsid w:val="00B9183B"/>
    <w:rPr>
      <w:b/>
      <w:bCs/>
    </w:rPr>
  </w:style>
  <w:style w:type="character" w:customStyle="1" w:styleId="anchor-text">
    <w:name w:val="anchor-text"/>
    <w:basedOn w:val="DefaultParagraphFont"/>
    <w:rsid w:val="00B9183B"/>
  </w:style>
  <w:style w:type="character" w:customStyle="1" w:styleId="label">
    <w:name w:val="label"/>
    <w:basedOn w:val="DefaultParagraphFont"/>
    <w:rsid w:val="00B9183B"/>
  </w:style>
  <w:style w:type="character" w:customStyle="1" w:styleId="value">
    <w:name w:val="value"/>
    <w:basedOn w:val="DefaultParagraphFont"/>
    <w:rsid w:val="00B9183B"/>
  </w:style>
  <w:style w:type="paragraph" w:customStyle="1" w:styleId="EndNoteBibliographyTitle">
    <w:name w:val="EndNote Bibliography Title"/>
    <w:basedOn w:val="Normal"/>
    <w:link w:val="EndNoteBibliographyTitleChar"/>
    <w:rsid w:val="00B9183B"/>
    <w:pPr>
      <w:jc w:val="center"/>
    </w:pPr>
    <w:rPr>
      <w:sz w:val="18"/>
    </w:rPr>
  </w:style>
  <w:style w:type="character" w:customStyle="1" w:styleId="EndNoteBibliographyTitleChar">
    <w:name w:val="EndNote Bibliography Title Char"/>
    <w:link w:val="EndNoteBibliographyTitle"/>
    <w:rsid w:val="00B9183B"/>
    <w:rPr>
      <w:rFonts w:ascii="Palatino Linotype" w:eastAsia="SimSun" w:hAnsi="Palatino Linotype" w:cs="Times New Roman"/>
      <w:noProof/>
      <w:color w:val="000000"/>
      <w:kern w:val="0"/>
      <w:sz w:val="18"/>
      <w:szCs w:val="20"/>
      <w:lang w:eastAsia="zh-CN"/>
      <w14:ligatures w14:val="none"/>
    </w:rPr>
  </w:style>
  <w:style w:type="paragraph" w:customStyle="1" w:styleId="EndNoteBibliography">
    <w:name w:val="EndNote Bibliography"/>
    <w:basedOn w:val="Normal"/>
    <w:link w:val="EndNoteBibliographyChar"/>
    <w:rsid w:val="00B9183B"/>
    <w:pPr>
      <w:spacing w:line="240" w:lineRule="atLeast"/>
    </w:pPr>
    <w:rPr>
      <w:sz w:val="18"/>
    </w:rPr>
  </w:style>
  <w:style w:type="character" w:customStyle="1" w:styleId="EndNoteBibliographyChar">
    <w:name w:val="EndNote Bibliography Char"/>
    <w:link w:val="EndNoteBibliography"/>
    <w:rsid w:val="00B9183B"/>
    <w:rPr>
      <w:rFonts w:ascii="Palatino Linotype" w:eastAsia="SimSun" w:hAnsi="Palatino Linotype" w:cs="Times New Roman"/>
      <w:noProof/>
      <w:color w:val="000000"/>
      <w:kern w:val="0"/>
      <w:sz w:val="18"/>
      <w:szCs w:val="20"/>
      <w:lang w:eastAsia="zh-CN"/>
      <w14:ligatures w14:val="none"/>
    </w:rPr>
  </w:style>
  <w:style w:type="character" w:customStyle="1" w:styleId="UnresolvedMention2">
    <w:name w:val="Unresolved Mention2"/>
    <w:uiPriority w:val="99"/>
    <w:semiHidden/>
    <w:unhideWhenUsed/>
    <w:rsid w:val="00B9183B"/>
    <w:rPr>
      <w:color w:val="605E5C"/>
      <w:shd w:val="clear" w:color="auto" w:fill="E1DFDD"/>
    </w:rPr>
  </w:style>
  <w:style w:type="table" w:customStyle="1" w:styleId="PlainTable21">
    <w:name w:val="Plain Table 21"/>
    <w:basedOn w:val="TableNormal"/>
    <w:next w:val="PlainTable2"/>
    <w:uiPriority w:val="42"/>
    <w:rsid w:val="00A8603C"/>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A8603C"/>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36C33-3AC3-45ED-A0B0-E86BCF04A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Pages>
  <Words>1999</Words>
  <Characters>11398</Characters>
  <Application>Microsoft Office Word</Application>
  <DocSecurity>0</DocSecurity>
  <Lines>94</Lines>
  <Paragraphs>26</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1	Introduction</vt:lpstr>
      <vt:lpstr>2	Methods and Materials</vt:lpstr>
      <vt:lpstr>/</vt:lpstr>
      <vt:lpstr/>
      <vt:lpstr/>
      <vt:lpstr/>
      <vt:lpstr/>
      <vt:lpstr>3	Findings and discussions</vt:lpstr>
      <vt:lpstr>3.1 Publication trend, scale, and methods of analysis </vt:lpstr>
      <vt:lpstr>/</vt:lpstr>
      <vt:lpstr/>
      <vt:lpstr>    </vt:lpstr>
      <vt:lpstr>    </vt:lpstr>
      <vt:lpstr>    </vt:lpstr>
      <vt:lpstr>    </vt:lpstr>
      <vt:lpstr>3.2 The geographical region covered </vt:lpstr>
      <vt:lpstr>3.3 Changing definition and thematic focus of adaptive capacity</vt:lpstr>
      <vt:lpstr>3.4 Changes in dimensions </vt:lpstr>
      <vt:lpstr>3.5	Changes in indicators  </vt:lpstr>
      <vt:lpstr>4	Research issues and gap</vt:lpstr>
      <vt:lpstr>5.  Conclusion</vt:lpstr>
      <vt:lpstr>References</vt:lpstr>
    </vt:vector>
  </TitlesOfParts>
  <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Tibendra Raj Banskota</dc:creator>
  <cp:keywords/>
  <dc:description/>
  <cp:lastModifiedBy>Tibendra Raj Banskota</cp:lastModifiedBy>
  <cp:revision>35</cp:revision>
  <dcterms:created xsi:type="dcterms:W3CDTF">2023-07-08T03:11:00Z</dcterms:created>
  <dcterms:modified xsi:type="dcterms:W3CDTF">2025-01-22T16:24:00Z</dcterms:modified>
</cp:coreProperties>
</file>