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D25CB" w14:textId="77777777" w:rsidR="003D0486" w:rsidRDefault="003D0486" w:rsidP="003D0486">
      <w:pPr>
        <w:pBdr>
          <w:top w:val="nil"/>
          <w:left w:val="nil"/>
          <w:bottom w:val="nil"/>
          <w:right w:val="nil"/>
          <w:between w:val="nil"/>
        </w:pBdr>
        <w:spacing w:before="240" w:line="360" w:lineRule="auto"/>
        <w:jc w:val="center"/>
        <w:rPr>
          <w:rFonts w:ascii="Calibri" w:eastAsia="Calibri" w:hAnsi="Calibri" w:cs="Calibri"/>
          <w:b/>
          <w:color w:val="000000"/>
          <w:sz w:val="28"/>
          <w:szCs w:val="28"/>
        </w:rPr>
      </w:pPr>
      <w:bookmarkStart w:id="0" w:name="_heading=h.gjdgxs" w:colFirst="0" w:colLast="0"/>
      <w:bookmarkEnd w:id="0"/>
      <w:r>
        <w:rPr>
          <w:rFonts w:ascii="Calibri" w:eastAsia="Calibri" w:hAnsi="Calibri" w:cs="Calibri"/>
          <w:b/>
          <w:color w:val="000000"/>
          <w:sz w:val="28"/>
          <w:szCs w:val="28"/>
        </w:rPr>
        <w:t>Planning and resource allocation models in research‐intensive universities: budget allocation and the search for excellence</w:t>
      </w:r>
    </w:p>
    <w:p w14:paraId="74BF9996" w14:textId="77777777" w:rsidR="003D0486" w:rsidRDefault="003D0486" w:rsidP="003D0486">
      <w:pPr>
        <w:pBdr>
          <w:top w:val="nil"/>
          <w:left w:val="nil"/>
          <w:bottom w:val="nil"/>
          <w:right w:val="nil"/>
          <w:between w:val="nil"/>
        </w:pBdr>
        <w:spacing w:line="240" w:lineRule="auto"/>
        <w:ind w:right="567"/>
        <w:jc w:val="center"/>
        <w:rPr>
          <w:rFonts w:ascii="Calibri" w:eastAsia="Calibri" w:hAnsi="Calibri" w:cs="Calibri"/>
          <w:b/>
          <w:sz w:val="28"/>
          <w:szCs w:val="28"/>
        </w:rPr>
      </w:pPr>
    </w:p>
    <w:p w14:paraId="7573FC36" w14:textId="77777777" w:rsidR="003D0486" w:rsidRDefault="003D0486" w:rsidP="003D0486">
      <w:pPr>
        <w:pBdr>
          <w:top w:val="nil"/>
          <w:left w:val="nil"/>
          <w:bottom w:val="nil"/>
          <w:right w:val="nil"/>
          <w:between w:val="nil"/>
        </w:pBdr>
        <w:spacing w:line="240" w:lineRule="auto"/>
        <w:ind w:right="567"/>
        <w:jc w:val="center"/>
        <w:rPr>
          <w:rFonts w:ascii="Calibri" w:eastAsia="Calibri" w:hAnsi="Calibri" w:cs="Calibri"/>
          <w:b/>
          <w:vertAlign w:val="superscript"/>
        </w:rPr>
      </w:pPr>
      <w:r>
        <w:rPr>
          <w:rFonts w:ascii="Calibri" w:eastAsia="Calibri" w:hAnsi="Calibri" w:cs="Calibri"/>
          <w:b/>
        </w:rPr>
        <w:t>Luciane Graziele Pereira Ferrero</w:t>
      </w:r>
      <w:r>
        <w:rPr>
          <w:rFonts w:ascii="Calibri" w:eastAsia="Calibri" w:hAnsi="Calibri" w:cs="Calibri"/>
          <w:b/>
          <w:vertAlign w:val="superscript"/>
        </w:rPr>
        <w:footnoteReference w:id="1"/>
      </w:r>
      <w:proofErr w:type="gramStart"/>
      <w:r>
        <w:rPr>
          <w:rFonts w:ascii="Calibri" w:eastAsia="Calibri" w:hAnsi="Calibri" w:cs="Calibri"/>
          <w:b/>
          <w:i/>
          <w:vertAlign w:val="superscript"/>
        </w:rPr>
        <w:t>.,*</w:t>
      </w:r>
      <w:proofErr w:type="gramEnd"/>
      <w:r>
        <w:rPr>
          <w:rFonts w:ascii="Calibri" w:eastAsia="Calibri" w:hAnsi="Calibri" w:cs="Calibri"/>
          <w:b/>
        </w:rPr>
        <w:t xml:space="preserve"> &amp; Sergio Luiz Monteiro Salles-Filho</w:t>
      </w:r>
      <w:r>
        <w:rPr>
          <w:rFonts w:ascii="Calibri" w:eastAsia="Calibri" w:hAnsi="Calibri" w:cs="Calibri"/>
          <w:b/>
          <w:vertAlign w:val="superscript"/>
        </w:rPr>
        <w:footnoteReference w:id="2"/>
      </w:r>
    </w:p>
    <w:p w14:paraId="6C401607" w14:textId="77777777" w:rsidR="003D0486" w:rsidRDefault="003D0486">
      <w:pPr>
        <w:rPr>
          <w:rFonts w:ascii="Calibri" w:eastAsia="Calibri" w:hAnsi="Calibri" w:cs="Calibri"/>
          <w:b/>
          <w:sz w:val="24"/>
          <w:szCs w:val="24"/>
        </w:rPr>
      </w:pPr>
      <w:r>
        <w:rPr>
          <w:rFonts w:ascii="Calibri" w:eastAsia="Calibri" w:hAnsi="Calibri" w:cs="Calibri"/>
          <w:b/>
          <w:sz w:val="24"/>
          <w:szCs w:val="24"/>
        </w:rPr>
        <w:br w:type="page"/>
      </w:r>
    </w:p>
    <w:p w14:paraId="00000001" w14:textId="7FF16F19" w:rsidR="00AF2922" w:rsidRDefault="00E4553D">
      <w:pPr>
        <w:spacing w:before="280"/>
        <w:jc w:val="both"/>
        <w:rPr>
          <w:rFonts w:ascii="Calibri" w:eastAsia="Calibri" w:hAnsi="Calibri" w:cs="Calibri"/>
          <w:b/>
          <w:sz w:val="24"/>
          <w:szCs w:val="24"/>
        </w:rPr>
      </w:pPr>
      <w:bookmarkStart w:id="1" w:name="_GoBack"/>
      <w:bookmarkEnd w:id="1"/>
      <w:r>
        <w:rPr>
          <w:rFonts w:ascii="Calibri" w:eastAsia="Calibri" w:hAnsi="Calibri" w:cs="Calibri"/>
          <w:b/>
          <w:sz w:val="24"/>
          <w:szCs w:val="24"/>
        </w:rPr>
        <w:lastRenderedPageBreak/>
        <w:t>Appendix 3: Practical Guide for University Administrators on Implementing the Resource Allocation Model</w:t>
      </w:r>
    </w:p>
    <w:p w14:paraId="00000002"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proposed resource allocation model integrates performance evaluation, strategic planning, and multi-criteria decision-making methodologies. These frameworks emphasize adaptable, comprehensive indicators and iterative evaluation processes that align wit</w:t>
      </w:r>
      <w:r>
        <w:rPr>
          <w:rFonts w:ascii="Calibri" w:eastAsia="Calibri" w:hAnsi="Calibri" w:cs="Calibri"/>
          <w:sz w:val="24"/>
          <w:szCs w:val="24"/>
        </w:rPr>
        <w:t>h institutional objectives. By incorporating the Analytic Network Process (ANP) and PROMETHEE methodologies, the model ensures that resource distribution reflects the heterogeneous nature of academic units and evolving priorities (Behzadian et al., 2010; S</w:t>
      </w:r>
      <w:r>
        <w:rPr>
          <w:rFonts w:ascii="Calibri" w:eastAsia="Calibri" w:hAnsi="Calibri" w:cs="Calibri"/>
          <w:sz w:val="24"/>
          <w:szCs w:val="24"/>
        </w:rPr>
        <w:t>aaty, 2004). This guide translates theoretical constructs into implementation steps.</w:t>
      </w:r>
    </w:p>
    <w:p w14:paraId="00000003" w14:textId="77777777" w:rsidR="00AF2922" w:rsidRDefault="00E4553D">
      <w:pPr>
        <w:spacing w:before="280"/>
        <w:jc w:val="both"/>
        <w:rPr>
          <w:rFonts w:ascii="Calibri" w:eastAsia="Calibri" w:hAnsi="Calibri" w:cs="Calibri"/>
          <w:b/>
          <w:sz w:val="24"/>
          <w:szCs w:val="24"/>
        </w:rPr>
      </w:pPr>
      <w:r>
        <w:rPr>
          <w:rFonts w:ascii="Calibri" w:eastAsia="Calibri" w:hAnsi="Calibri" w:cs="Calibri"/>
          <w:b/>
          <w:sz w:val="24"/>
          <w:szCs w:val="24"/>
        </w:rPr>
        <w:t>Change Management</w:t>
      </w:r>
    </w:p>
    <w:p w14:paraId="00000004"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A comprehensive resource allocation implementation model requires strategic management to ensure a tactical transition. University administrators must ad</w:t>
      </w:r>
      <w:r>
        <w:rPr>
          <w:rFonts w:ascii="Calibri" w:eastAsia="Calibri" w:hAnsi="Calibri" w:cs="Calibri"/>
          <w:sz w:val="24"/>
          <w:szCs w:val="24"/>
        </w:rPr>
        <w:t>dress key factors to facilitate effective adoption. Faculties must be fully aligned with the institutional goals and with the variables used in assessments. Elbawab (2024) emphasizes that institutional learning and change management are critical for long-t</w:t>
      </w:r>
      <w:r>
        <w:rPr>
          <w:rFonts w:ascii="Calibri" w:eastAsia="Calibri" w:hAnsi="Calibri" w:cs="Calibri"/>
          <w:sz w:val="24"/>
          <w:szCs w:val="24"/>
        </w:rPr>
        <w:t xml:space="preserve">erm success. Universities with adaptive governance structures investigated </w:t>
      </w:r>
      <w:proofErr w:type="gramStart"/>
      <w:r>
        <w:rPr>
          <w:rFonts w:ascii="Calibri" w:eastAsia="Calibri" w:hAnsi="Calibri" w:cs="Calibri"/>
          <w:sz w:val="24"/>
          <w:szCs w:val="24"/>
        </w:rPr>
        <w:t>by  Egorov</w:t>
      </w:r>
      <w:proofErr w:type="gramEnd"/>
      <w:r>
        <w:rPr>
          <w:rFonts w:ascii="Calibri" w:eastAsia="Calibri" w:hAnsi="Calibri" w:cs="Calibri"/>
          <w:sz w:val="24"/>
          <w:szCs w:val="24"/>
        </w:rPr>
        <w:t xml:space="preserve"> &amp; Serebrennikov (2023). They highlighted that new resource allocation strategies can be more effectively implemented in positioned and prepared universities.</w:t>
      </w:r>
    </w:p>
    <w:p w14:paraId="00000005"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 xml:space="preserve">Besides, it </w:t>
      </w:r>
      <w:r>
        <w:rPr>
          <w:rFonts w:ascii="Calibri" w:eastAsia="Calibri" w:hAnsi="Calibri" w:cs="Calibri"/>
          <w:sz w:val="24"/>
          <w:szCs w:val="24"/>
        </w:rPr>
        <w:t>is important to consider early and proactive stakeholder engagement, encompassing faculty, administrative staff, and department heads from the outset to cultivate institutional alignment and mitigate resistance. For effectiveness, to ensure that stakeholde</w:t>
      </w:r>
      <w:r>
        <w:rPr>
          <w:rFonts w:ascii="Calibri" w:eastAsia="Calibri" w:hAnsi="Calibri" w:cs="Calibri"/>
          <w:sz w:val="24"/>
          <w:szCs w:val="24"/>
        </w:rPr>
        <w:t>rs understand its purpose, it is important to provide training and resources that are aligned with and support institutional strategic models. Institutional commitment considering early involvement increases the likelihood of long-term success, and consequ</w:t>
      </w:r>
      <w:r>
        <w:rPr>
          <w:rFonts w:ascii="Calibri" w:eastAsia="Calibri" w:hAnsi="Calibri" w:cs="Calibri"/>
          <w:sz w:val="24"/>
          <w:szCs w:val="24"/>
        </w:rPr>
        <w:t>ently the likelihood of long-term success (Nguyen, 2018; Gede &amp; Huluka, 2023).</w:t>
      </w:r>
    </w:p>
    <w:p w14:paraId="00000006"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process of implementation is crucial for building trust and reducing uncertainty.  Maintaining consistent and transparent communication is considered the key for strategy im</w:t>
      </w:r>
      <w:r>
        <w:rPr>
          <w:rFonts w:ascii="Calibri" w:eastAsia="Calibri" w:hAnsi="Calibri" w:cs="Calibri"/>
          <w:sz w:val="24"/>
          <w:szCs w:val="24"/>
        </w:rPr>
        <w:t>plementation. Regular updates, address concerns, and model’s implications must be priority for resource allocation excellence. Both technical and non-technical audiences must access information with the aim of fostering institutional confidence and streaml</w:t>
      </w:r>
      <w:r>
        <w:rPr>
          <w:rFonts w:ascii="Calibri" w:eastAsia="Calibri" w:hAnsi="Calibri" w:cs="Calibri"/>
          <w:sz w:val="24"/>
          <w:szCs w:val="24"/>
        </w:rPr>
        <w:t>ining integration (Falqueto et al., 2020; Chen et al., 2024).</w:t>
      </w:r>
    </w:p>
    <w:p w14:paraId="00000007"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An organized and phased deployment, beginning with pilot testing, allows administrators to identify challenges and refine the model before a larger implementation. Testing within a selected coho</w:t>
      </w:r>
      <w:r>
        <w:rPr>
          <w:rFonts w:ascii="Calibri" w:eastAsia="Calibri" w:hAnsi="Calibri" w:cs="Calibri"/>
          <w:sz w:val="24"/>
          <w:szCs w:val="24"/>
        </w:rPr>
        <w:t>rt of academic units provides valuable insights for necessary adjustments. A gradual, iterative expansion permits continuous refinement, minimizing disruptions and enhancing overall effectiveness (Javed et al., 2024).</w:t>
      </w:r>
    </w:p>
    <w:p w14:paraId="00000008" w14:textId="77777777" w:rsidR="00AF2922" w:rsidRDefault="00E4553D">
      <w:pPr>
        <w:spacing w:before="240" w:after="40"/>
        <w:jc w:val="both"/>
        <w:rPr>
          <w:rFonts w:ascii="Calibri" w:eastAsia="Calibri" w:hAnsi="Calibri" w:cs="Calibri"/>
          <w:b/>
          <w:i/>
          <w:sz w:val="24"/>
          <w:szCs w:val="24"/>
        </w:rPr>
      </w:pPr>
      <w:r>
        <w:rPr>
          <w:rFonts w:ascii="Calibri" w:eastAsia="Calibri" w:hAnsi="Calibri" w:cs="Calibri"/>
          <w:b/>
          <w:i/>
          <w:sz w:val="24"/>
          <w:szCs w:val="24"/>
        </w:rPr>
        <w:lastRenderedPageBreak/>
        <w:t xml:space="preserve">(i) Stakeholder Engagement – Bridging </w:t>
      </w:r>
      <w:r>
        <w:rPr>
          <w:rFonts w:ascii="Calibri" w:eastAsia="Calibri" w:hAnsi="Calibri" w:cs="Calibri"/>
          <w:b/>
          <w:i/>
          <w:sz w:val="24"/>
          <w:szCs w:val="24"/>
        </w:rPr>
        <w:t>Theory and Practice</w:t>
      </w:r>
    </w:p>
    <w:p w14:paraId="00000009"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theoretical foundation of the model highlights the necessity of incorporating diverse perspectives. ANP accommodates interdependencies and feedback loops, requiring active participation from faculty, department heads, and administra</w:t>
      </w:r>
      <w:r>
        <w:rPr>
          <w:rFonts w:ascii="Calibri" w:eastAsia="Calibri" w:hAnsi="Calibri" w:cs="Calibri"/>
          <w:sz w:val="24"/>
          <w:szCs w:val="24"/>
        </w:rPr>
        <w:t>tors in determining indicator weights and priorities. Douglass (2016) emphasizes stakeholder involvement as a means to integrate varied perspectives into strategic planning. Administrators should clearly articulate how the model enhances strategic alignmen</w:t>
      </w:r>
      <w:r>
        <w:rPr>
          <w:rFonts w:ascii="Calibri" w:eastAsia="Calibri" w:hAnsi="Calibri" w:cs="Calibri"/>
          <w:sz w:val="24"/>
          <w:szCs w:val="24"/>
        </w:rPr>
        <w:t>t by dynamically weighting indicators to reflect institutional objectives. By emphasizing research excellence, societal impact, and academic development, administrators can foster stakeholder support. This aligns with Hinton (2012), who underscores the imp</w:t>
      </w:r>
      <w:r>
        <w:rPr>
          <w:rFonts w:ascii="Calibri" w:eastAsia="Calibri" w:hAnsi="Calibri" w:cs="Calibri"/>
          <w:sz w:val="24"/>
          <w:szCs w:val="24"/>
        </w:rPr>
        <w:t>ortance of diverse input in resource allocation.</w:t>
      </w:r>
    </w:p>
    <w:p w14:paraId="0000000A"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 xml:space="preserve">Recent studies further reinforce the significance of stakeholder engagement in higher education planning. Elbawab (2024) highlights that participatory decision-making strengthens institutional alignment and </w:t>
      </w:r>
      <w:r>
        <w:rPr>
          <w:rFonts w:ascii="Calibri" w:eastAsia="Calibri" w:hAnsi="Calibri" w:cs="Calibri"/>
          <w:sz w:val="24"/>
          <w:szCs w:val="24"/>
        </w:rPr>
        <w:t>enhances performance. Similarly, Javed et al. (2024) argue that engagement among academic staff and leadership is essential for improving resource efficiency and fostering innovation in universities.</w:t>
      </w:r>
    </w:p>
    <w:p w14:paraId="0000000B"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b/>
          <w:sz w:val="24"/>
          <w:szCs w:val="24"/>
        </w:rPr>
        <w:t>Practical Implication:</w:t>
      </w:r>
      <w:r>
        <w:rPr>
          <w:rFonts w:ascii="Calibri" w:eastAsia="Calibri" w:hAnsi="Calibri" w:cs="Calibri"/>
          <w:sz w:val="24"/>
          <w:szCs w:val="24"/>
        </w:rPr>
        <w:t xml:space="preserve"> Early engagement cultivates stake</w:t>
      </w:r>
      <w:r>
        <w:rPr>
          <w:rFonts w:ascii="Calibri" w:eastAsia="Calibri" w:hAnsi="Calibri" w:cs="Calibri"/>
          <w:sz w:val="24"/>
          <w:szCs w:val="24"/>
        </w:rPr>
        <w:t>holder ownership, ensuring the effective translation of theoretical concepts into practice and fostering institutional buy-in.</w:t>
      </w:r>
    </w:p>
    <w:p w14:paraId="0000000C" w14:textId="77777777" w:rsidR="00AF2922" w:rsidRDefault="00E4553D">
      <w:pPr>
        <w:spacing w:before="240" w:after="40"/>
        <w:jc w:val="both"/>
        <w:rPr>
          <w:rFonts w:ascii="Calibri" w:eastAsia="Calibri" w:hAnsi="Calibri" w:cs="Calibri"/>
          <w:b/>
          <w:i/>
          <w:sz w:val="24"/>
          <w:szCs w:val="24"/>
        </w:rPr>
      </w:pPr>
      <w:r>
        <w:rPr>
          <w:rFonts w:ascii="Calibri" w:eastAsia="Calibri" w:hAnsi="Calibri" w:cs="Calibri"/>
          <w:b/>
          <w:i/>
          <w:sz w:val="24"/>
          <w:szCs w:val="24"/>
        </w:rPr>
        <w:t>(ii) Transparent Communication – Linking Theory to Implementation</w:t>
      </w:r>
    </w:p>
    <w:p w14:paraId="0000000D"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PROMETHEE and ANP emphasize transparency in decision-making, ne</w:t>
      </w:r>
      <w:r>
        <w:rPr>
          <w:rFonts w:ascii="Calibri" w:eastAsia="Calibri" w:hAnsi="Calibri" w:cs="Calibri"/>
          <w:sz w:val="24"/>
          <w:szCs w:val="24"/>
        </w:rPr>
        <w:t xml:space="preserve">cessitating clear communication regarding data utilization, weight assignment, and outcome calculations. Administrators must balance theoretical complexity with clarity to ensure accessibility for all stakeholders. Watermeyer &amp; Chubb (2019) emphasize that </w:t>
      </w:r>
      <w:r>
        <w:rPr>
          <w:rFonts w:ascii="Calibri" w:eastAsia="Calibri" w:hAnsi="Calibri" w:cs="Calibri"/>
          <w:sz w:val="24"/>
          <w:szCs w:val="24"/>
        </w:rPr>
        <w:t>transparency in decision-making cultivates trust and ensures stakeholders understand the rationale behind the model. Periodic updates on progress, refinements to the model, and explanations of decision rationales enhance institutional alignment. Feedback c</w:t>
      </w:r>
      <w:r>
        <w:rPr>
          <w:rFonts w:ascii="Calibri" w:eastAsia="Calibri" w:hAnsi="Calibri" w:cs="Calibri"/>
          <w:sz w:val="24"/>
          <w:szCs w:val="24"/>
        </w:rPr>
        <w:t>hannels, as Bisogno et al. (2014) argue, help resolve concerns and increase engagement.</w:t>
      </w:r>
    </w:p>
    <w:p w14:paraId="0000000E"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Chen et al. (2024) demonstrate that transparency in budget allocation enhances institutional performance by enabling academic units to make informed strategic decisions</w:t>
      </w:r>
      <w:r>
        <w:rPr>
          <w:rFonts w:ascii="Calibri" w:eastAsia="Calibri" w:hAnsi="Calibri" w:cs="Calibri"/>
          <w:sz w:val="24"/>
          <w:szCs w:val="24"/>
        </w:rPr>
        <w:t>. Additionally, Mochnacs et al. (2024) note that open communication mitigates resistance to change and accelerates the adoption of innovative allocation models.</w:t>
      </w:r>
    </w:p>
    <w:p w14:paraId="0000000F"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b/>
          <w:sz w:val="24"/>
          <w:szCs w:val="24"/>
        </w:rPr>
        <w:t>Practical Implication:</w:t>
      </w:r>
      <w:r>
        <w:rPr>
          <w:rFonts w:ascii="Calibri" w:eastAsia="Calibri" w:hAnsi="Calibri" w:cs="Calibri"/>
          <w:sz w:val="24"/>
          <w:szCs w:val="24"/>
        </w:rPr>
        <w:t xml:space="preserve"> Transparent communication ensures stakeholders comprehend the model’s pu</w:t>
      </w:r>
      <w:r>
        <w:rPr>
          <w:rFonts w:ascii="Calibri" w:eastAsia="Calibri" w:hAnsi="Calibri" w:cs="Calibri"/>
          <w:sz w:val="24"/>
          <w:szCs w:val="24"/>
        </w:rPr>
        <w:t>rpose and impact, facilitating smoother adoption.</w:t>
      </w:r>
    </w:p>
    <w:p w14:paraId="00000010" w14:textId="77777777" w:rsidR="00AF2922" w:rsidRDefault="00E4553D">
      <w:pPr>
        <w:spacing w:before="240" w:after="40"/>
        <w:jc w:val="both"/>
        <w:rPr>
          <w:rFonts w:ascii="Calibri" w:eastAsia="Calibri" w:hAnsi="Calibri" w:cs="Calibri"/>
          <w:b/>
          <w:i/>
          <w:sz w:val="24"/>
          <w:szCs w:val="24"/>
        </w:rPr>
      </w:pPr>
      <w:r>
        <w:rPr>
          <w:rFonts w:ascii="Calibri" w:eastAsia="Calibri" w:hAnsi="Calibri" w:cs="Calibri"/>
          <w:b/>
          <w:i/>
          <w:sz w:val="24"/>
          <w:szCs w:val="24"/>
        </w:rPr>
        <w:t>(iii) Pilot Testing and Iterative Implementation – Translating Theory into Practice</w:t>
      </w:r>
    </w:p>
    <w:p w14:paraId="00000011"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model’s adaptability allows for customization across disciplines and institutional contexts. ANP facilitates adjustmen</w:t>
      </w:r>
      <w:r>
        <w:rPr>
          <w:rFonts w:ascii="Calibri" w:eastAsia="Calibri" w:hAnsi="Calibri" w:cs="Calibri"/>
          <w:sz w:val="24"/>
          <w:szCs w:val="24"/>
        </w:rPr>
        <w:t xml:space="preserve">ts in weighting to accommodate the unique priorities of </w:t>
      </w:r>
      <w:r>
        <w:rPr>
          <w:rFonts w:ascii="Calibri" w:eastAsia="Calibri" w:hAnsi="Calibri" w:cs="Calibri"/>
          <w:sz w:val="24"/>
          <w:szCs w:val="24"/>
        </w:rPr>
        <w:lastRenderedPageBreak/>
        <w:t>academic units. Oancea (2019) highlights the importance of pilot testing to evaluate the model’s effectiveness and refine it based on empirical feedback. Administrators should conduct pilot tests in s</w:t>
      </w:r>
      <w:r>
        <w:rPr>
          <w:rFonts w:ascii="Calibri" w:eastAsia="Calibri" w:hAnsi="Calibri" w:cs="Calibri"/>
          <w:sz w:val="24"/>
          <w:szCs w:val="24"/>
        </w:rPr>
        <w:t>elected units before full-scale implementation. These tests provide a controlled environment to assess the model’s efficacy, identify challenges, and refine the framework. Hoareau et al. (2013) emphasize that pilot testing allows for iterative adjustments,</w:t>
      </w:r>
      <w:r>
        <w:rPr>
          <w:rFonts w:ascii="Calibri" w:eastAsia="Calibri" w:hAnsi="Calibri" w:cs="Calibri"/>
          <w:sz w:val="24"/>
          <w:szCs w:val="24"/>
        </w:rPr>
        <w:t xml:space="preserve"> ensuring scalability and adaptability.</w:t>
      </w:r>
    </w:p>
    <w:p w14:paraId="00000012"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Li et al. (2024) further confirm that pilot testing enhances resource allocation efficiency, particularly when aligned with institutional strategic planning. Zhu et al. (2024) highlight that universities prioritizing</w:t>
      </w:r>
      <w:r>
        <w:rPr>
          <w:rFonts w:ascii="Calibri" w:eastAsia="Calibri" w:hAnsi="Calibri" w:cs="Calibri"/>
          <w:sz w:val="24"/>
          <w:szCs w:val="24"/>
        </w:rPr>
        <w:t xml:space="preserve"> structured pilot phases experience fewer disruptions during implementation.</w:t>
      </w:r>
    </w:p>
    <w:p w14:paraId="00000013"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b/>
          <w:sz w:val="24"/>
          <w:szCs w:val="24"/>
        </w:rPr>
        <w:t>Practical Implication:</w:t>
      </w:r>
      <w:r>
        <w:rPr>
          <w:rFonts w:ascii="Calibri" w:eastAsia="Calibri" w:hAnsi="Calibri" w:cs="Calibri"/>
          <w:sz w:val="24"/>
          <w:szCs w:val="24"/>
        </w:rPr>
        <w:t xml:space="preserve"> Pilot testing validates theoretical assumptions, refines the model based on empirical data, and ensures scalable implementation.</w:t>
      </w:r>
    </w:p>
    <w:p w14:paraId="00000014" w14:textId="77777777" w:rsidR="00AF2922" w:rsidRDefault="00E4553D">
      <w:pPr>
        <w:spacing w:before="240" w:after="40"/>
        <w:jc w:val="both"/>
        <w:rPr>
          <w:rFonts w:ascii="Calibri" w:eastAsia="Calibri" w:hAnsi="Calibri" w:cs="Calibri"/>
          <w:b/>
          <w:i/>
          <w:sz w:val="24"/>
          <w:szCs w:val="24"/>
        </w:rPr>
      </w:pPr>
      <w:r>
        <w:rPr>
          <w:rFonts w:ascii="Calibri" w:eastAsia="Calibri" w:hAnsi="Calibri" w:cs="Calibri"/>
          <w:b/>
          <w:i/>
          <w:sz w:val="24"/>
          <w:szCs w:val="24"/>
        </w:rPr>
        <w:t>(iv) Continuous Support and</w:t>
      </w:r>
      <w:r>
        <w:rPr>
          <w:rFonts w:ascii="Calibri" w:eastAsia="Calibri" w:hAnsi="Calibri" w:cs="Calibri"/>
          <w:b/>
          <w:i/>
          <w:sz w:val="24"/>
          <w:szCs w:val="24"/>
        </w:rPr>
        <w:t xml:space="preserve"> Adaptation – Sustaining Long-Term Relevance</w:t>
      </w:r>
    </w:p>
    <w:p w14:paraId="00000015"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dynamic nature of higher education requires periodic reassessment of the model to align with evolving priorities. The importance of regular adaptation for sustained effectiveness was mentioned by Li et al. (</w:t>
      </w:r>
      <w:r>
        <w:rPr>
          <w:rFonts w:ascii="Calibri" w:eastAsia="Calibri" w:hAnsi="Calibri" w:cs="Calibri"/>
          <w:sz w:val="24"/>
          <w:szCs w:val="24"/>
        </w:rPr>
        <w:t xml:space="preserve">2024). The establishment of mechanisms for continuous support are essential, such </w:t>
      </w:r>
      <w:proofErr w:type="gramStart"/>
      <w:r>
        <w:rPr>
          <w:rFonts w:ascii="Calibri" w:eastAsia="Calibri" w:hAnsi="Calibri" w:cs="Calibri"/>
          <w:sz w:val="24"/>
          <w:szCs w:val="24"/>
        </w:rPr>
        <w:t>as workshops</w:t>
      </w:r>
      <w:proofErr w:type="gramEnd"/>
      <w:r>
        <w:rPr>
          <w:rFonts w:ascii="Calibri" w:eastAsia="Calibri" w:hAnsi="Calibri" w:cs="Calibri"/>
          <w:sz w:val="24"/>
          <w:szCs w:val="24"/>
        </w:rPr>
        <w:t xml:space="preserve">, training, and structured feedback loops. Furthermore, changes in academic priorities and the ability to develop responses to emerging challenges should be part </w:t>
      </w:r>
      <w:r>
        <w:rPr>
          <w:rFonts w:ascii="Calibri" w:eastAsia="Calibri" w:hAnsi="Calibri" w:cs="Calibri"/>
          <w:sz w:val="24"/>
          <w:szCs w:val="24"/>
        </w:rPr>
        <w:t>of the model's performance monitoring. Such concerns were highlighted by Chen et al. (2024) that mentioned continuous monitoring to enable adaptation and ensure that resource allocation plans remain effective and relevant.</w:t>
      </w:r>
    </w:p>
    <w:p w14:paraId="00000016"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Additionally, sustainability in r</w:t>
      </w:r>
      <w:r>
        <w:rPr>
          <w:rFonts w:ascii="Calibri" w:eastAsia="Calibri" w:hAnsi="Calibri" w:cs="Calibri"/>
          <w:sz w:val="24"/>
          <w:szCs w:val="24"/>
        </w:rPr>
        <w:t>esource management was reinforced by Leal Filho et al. (2023), which mentioned that it enhances institutional resilience, reinforcing continuous adjustments to budget allocation models.</w:t>
      </w:r>
    </w:p>
    <w:p w14:paraId="00000017"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b/>
          <w:sz w:val="24"/>
          <w:szCs w:val="24"/>
        </w:rPr>
        <w:t>Practical Implication:</w:t>
      </w:r>
      <w:r>
        <w:rPr>
          <w:rFonts w:ascii="Calibri" w:eastAsia="Calibri" w:hAnsi="Calibri" w:cs="Calibri"/>
          <w:sz w:val="24"/>
          <w:szCs w:val="24"/>
        </w:rPr>
        <w:t xml:space="preserve"> Maintaining effectiveness over time depends on </w:t>
      </w:r>
      <w:r>
        <w:rPr>
          <w:rFonts w:ascii="Calibri" w:eastAsia="Calibri" w:hAnsi="Calibri" w:cs="Calibri"/>
          <w:sz w:val="24"/>
          <w:szCs w:val="24"/>
        </w:rPr>
        <w:t>continuous evaluation and refinement of the model with institutional strategies.</w:t>
      </w:r>
    </w:p>
    <w:p w14:paraId="00000018" w14:textId="77777777" w:rsidR="00AF2922" w:rsidRDefault="00E4553D">
      <w:pPr>
        <w:spacing w:before="240" w:after="40"/>
        <w:jc w:val="both"/>
        <w:rPr>
          <w:rFonts w:ascii="Calibri" w:eastAsia="Calibri" w:hAnsi="Calibri" w:cs="Calibri"/>
          <w:b/>
          <w:i/>
          <w:sz w:val="24"/>
          <w:szCs w:val="24"/>
        </w:rPr>
      </w:pPr>
      <w:r>
        <w:rPr>
          <w:rFonts w:ascii="Calibri" w:eastAsia="Calibri" w:hAnsi="Calibri" w:cs="Calibri"/>
          <w:b/>
          <w:i/>
          <w:sz w:val="24"/>
          <w:szCs w:val="24"/>
        </w:rPr>
        <w:t>(v) Final Considerations – Ensuring Long-Term Success</w:t>
      </w:r>
    </w:p>
    <w:p w14:paraId="00000019"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Successful application of the model requires a dynamic, adaptive and stakeholder-driven approach. Integrating theoretical</w:t>
      </w:r>
      <w:r>
        <w:rPr>
          <w:rFonts w:ascii="Calibri" w:eastAsia="Calibri" w:hAnsi="Calibri" w:cs="Calibri"/>
          <w:sz w:val="24"/>
          <w:szCs w:val="24"/>
        </w:rPr>
        <w:t xml:space="preserve"> principles with structured implementation transforms resource allocation into a strategic instrument for institutional development. Morgan Jones et al. (2022) argue that aligning resource allocation with university goals fosters academic excellence and br</w:t>
      </w:r>
      <w:r>
        <w:rPr>
          <w:rFonts w:ascii="Calibri" w:eastAsia="Calibri" w:hAnsi="Calibri" w:cs="Calibri"/>
          <w:sz w:val="24"/>
          <w:szCs w:val="24"/>
        </w:rPr>
        <w:t xml:space="preserve">oader societal impact. Early engagement, transparent communication, pilot testing, and continuous adaptation form the foundation for successful implementation. Aligning resource allocation with institutional objectives ensures the model remains a valuable </w:t>
      </w:r>
      <w:r>
        <w:rPr>
          <w:rFonts w:ascii="Calibri" w:eastAsia="Calibri" w:hAnsi="Calibri" w:cs="Calibri"/>
          <w:sz w:val="24"/>
          <w:szCs w:val="24"/>
        </w:rPr>
        <w:t xml:space="preserve">instrument for long-term success. Alryalat et al. (2019) assert that strategic resource </w:t>
      </w:r>
      <w:r>
        <w:rPr>
          <w:rFonts w:ascii="Calibri" w:eastAsia="Calibri" w:hAnsi="Calibri" w:cs="Calibri"/>
          <w:sz w:val="24"/>
          <w:szCs w:val="24"/>
        </w:rPr>
        <w:lastRenderedPageBreak/>
        <w:t>allocation enhances university performance and supports goal attainment, while Adriaanse &amp; Rensleigh (2013) highlight strategic planning’s role in ensuring effective re</w:t>
      </w:r>
      <w:r>
        <w:rPr>
          <w:rFonts w:ascii="Calibri" w:eastAsia="Calibri" w:hAnsi="Calibri" w:cs="Calibri"/>
          <w:sz w:val="24"/>
          <w:szCs w:val="24"/>
        </w:rPr>
        <w:t>source management to achieve university objectives.</w:t>
      </w:r>
    </w:p>
    <w:p w14:paraId="0000001A"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literature supports this guide by emphasizing the critical role of resource allocation and strategic planning. The Research Excellence Framework (REF) in the UK significantly influences how universiti</w:t>
      </w:r>
      <w:r>
        <w:rPr>
          <w:rFonts w:ascii="Calibri" w:eastAsia="Calibri" w:hAnsi="Calibri" w:cs="Calibri"/>
          <w:sz w:val="24"/>
          <w:szCs w:val="24"/>
        </w:rPr>
        <w:t>es align resources with academic priorities (Oancea, 2019; Morgan Jones et al., 2022). Studies by Li et al. (2024) and Bisogno et al. (2014) emphasize the adaptation of models to meet individual university needs while aligning with broader societal goals.</w:t>
      </w:r>
    </w:p>
    <w:p w14:paraId="0000001B" w14:textId="77777777" w:rsidR="00AF2922" w:rsidRDefault="00E4553D">
      <w:pPr>
        <w:spacing w:before="240" w:after="240"/>
        <w:jc w:val="both"/>
        <w:rPr>
          <w:rFonts w:ascii="Calibri" w:eastAsia="Calibri" w:hAnsi="Calibri" w:cs="Calibri"/>
          <w:sz w:val="24"/>
          <w:szCs w:val="24"/>
        </w:rPr>
      </w:pPr>
      <w:r>
        <w:rPr>
          <w:rFonts w:ascii="Calibri" w:eastAsia="Calibri" w:hAnsi="Calibri" w:cs="Calibri"/>
          <w:sz w:val="24"/>
          <w:szCs w:val="24"/>
        </w:rPr>
        <w:t>The proposed model introduces a groundbreaking, adaptable, and multidimensional framework for resource allocation in research universities. By integrating strategic planning, social impact, sustainability, and inclusion, it surpasses traditional models rel</w:t>
      </w:r>
      <w:r>
        <w:rPr>
          <w:rFonts w:ascii="Calibri" w:eastAsia="Calibri" w:hAnsi="Calibri" w:cs="Calibri"/>
          <w:sz w:val="24"/>
          <w:szCs w:val="24"/>
        </w:rPr>
        <w:t>iant on static metrics. Its innovative use of the Analytic Network Process (ANP) and PROMETHEE enables dynamic weighting of indicators, ensuring relevance across diverse academic contexts. Beyond performance evaluation, the model aligns budget allocation w</w:t>
      </w:r>
      <w:r>
        <w:rPr>
          <w:rFonts w:ascii="Calibri" w:eastAsia="Calibri" w:hAnsi="Calibri" w:cs="Calibri"/>
          <w:sz w:val="24"/>
          <w:szCs w:val="24"/>
        </w:rPr>
        <w:t>ith long-term strategic objectives, fostering institutional development. The customizable nature of the proposed model allows universities to prioritize specific intrinsic indicators, an approach that goes beyond those considered more rigid or theoreticall</w:t>
      </w:r>
      <w:r>
        <w:rPr>
          <w:rFonts w:ascii="Calibri" w:eastAsia="Calibri" w:hAnsi="Calibri" w:cs="Calibri"/>
          <w:sz w:val="24"/>
          <w:szCs w:val="24"/>
        </w:rPr>
        <w:t>y universal. With the upkeep of decision support tools, the proposed model provides a context-adaptable and data-driven solution to enhance institutional excellence and strategic coherence.</w:t>
      </w:r>
    </w:p>
    <w:sectPr w:rsidR="00AF292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8C00C" w14:textId="77777777" w:rsidR="00E4553D" w:rsidRDefault="00E4553D" w:rsidP="003D0486">
      <w:pPr>
        <w:spacing w:line="240" w:lineRule="auto"/>
      </w:pPr>
      <w:r>
        <w:separator/>
      </w:r>
    </w:p>
  </w:endnote>
  <w:endnote w:type="continuationSeparator" w:id="0">
    <w:p w14:paraId="782F908E" w14:textId="77777777" w:rsidR="00E4553D" w:rsidRDefault="00E4553D" w:rsidP="003D0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1D4FB" w14:textId="77777777" w:rsidR="00E4553D" w:rsidRDefault="00E4553D" w:rsidP="003D0486">
      <w:pPr>
        <w:spacing w:line="240" w:lineRule="auto"/>
      </w:pPr>
      <w:r>
        <w:separator/>
      </w:r>
    </w:p>
  </w:footnote>
  <w:footnote w:type="continuationSeparator" w:id="0">
    <w:p w14:paraId="3494DCF8" w14:textId="77777777" w:rsidR="00E4553D" w:rsidRDefault="00E4553D" w:rsidP="003D0486">
      <w:pPr>
        <w:spacing w:line="240" w:lineRule="auto"/>
      </w:pPr>
      <w:r>
        <w:continuationSeparator/>
      </w:r>
    </w:p>
  </w:footnote>
  <w:footnote w:id="1">
    <w:p w14:paraId="7D9F9308" w14:textId="77777777" w:rsidR="003D0486" w:rsidRDefault="003D0486" w:rsidP="003D0486">
      <w:pPr>
        <w:spacing w:line="240" w:lineRule="auto"/>
        <w:rPr>
          <w:rFonts w:ascii="Calibri" w:eastAsia="Calibri" w:hAnsi="Calibri" w:cs="Calibri"/>
        </w:rPr>
      </w:pPr>
      <w:r>
        <w:rPr>
          <w:vertAlign w:val="superscript"/>
        </w:rPr>
        <w:footnoteRef/>
      </w:r>
      <w:r>
        <w:rPr>
          <w:sz w:val="20"/>
          <w:szCs w:val="20"/>
        </w:rPr>
        <w:t xml:space="preserve"> </w:t>
      </w:r>
      <w:r>
        <w:rPr>
          <w:rFonts w:ascii="Calibri" w:eastAsia="Calibri" w:hAnsi="Calibri" w:cs="Calibri"/>
        </w:rPr>
        <w:t xml:space="preserve">School of Applied Sciences, University of Campinas, Limeira, Brazil. * e-mail: </w:t>
      </w:r>
      <w:hyperlink r:id="rId1">
        <w:r>
          <w:rPr>
            <w:rFonts w:ascii="Calibri" w:eastAsia="Calibri" w:hAnsi="Calibri" w:cs="Calibri"/>
            <w:color w:val="1155CC"/>
            <w:u w:val="single"/>
          </w:rPr>
          <w:t>lucianegraziele@gmail.com</w:t>
        </w:r>
      </w:hyperlink>
    </w:p>
    <w:p w14:paraId="6DD89E01" w14:textId="77777777" w:rsidR="003D0486" w:rsidRDefault="003D0486" w:rsidP="003D0486">
      <w:pPr>
        <w:spacing w:line="240" w:lineRule="auto"/>
        <w:rPr>
          <w:rFonts w:ascii="Calibri" w:eastAsia="Calibri" w:hAnsi="Calibri" w:cs="Calibri"/>
        </w:rPr>
      </w:pPr>
    </w:p>
  </w:footnote>
  <w:footnote w:id="2">
    <w:p w14:paraId="2A326F32" w14:textId="77777777" w:rsidR="003D0486" w:rsidRDefault="003D0486" w:rsidP="003D0486">
      <w:pPr>
        <w:spacing w:line="240" w:lineRule="auto"/>
        <w:rPr>
          <w:sz w:val="20"/>
          <w:szCs w:val="20"/>
        </w:rPr>
      </w:pPr>
      <w:r>
        <w:rPr>
          <w:vertAlign w:val="superscript"/>
        </w:rPr>
        <w:footnoteRef/>
      </w:r>
      <w:r>
        <w:rPr>
          <w:sz w:val="20"/>
          <w:szCs w:val="20"/>
        </w:rPr>
        <w:t xml:space="preserve"> </w:t>
      </w:r>
      <w:r>
        <w:rPr>
          <w:rFonts w:ascii="Calibri" w:eastAsia="Calibri" w:hAnsi="Calibri" w:cs="Calibri"/>
        </w:rPr>
        <w:t>Department of Science and Technology Policy, University of Campinas, Campinas, Brazil.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922"/>
    <w:rsid w:val="003D0486"/>
    <w:rsid w:val="00AF2922"/>
    <w:rsid w:val="00E455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0D137-C3F9-4386-9100-27783752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lucianegrazie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PKYbRxY4CKy1OR4YM66k2JQW5A==">CgMxLjA4AHIhMVYtamdSbl9DQzFQYUEtWWREWUd0bHhwT2lDYnRVNzFR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1637</Words>
  <Characters>8842</Characters>
  <Application>Microsoft Office Word</Application>
  <DocSecurity>0</DocSecurity>
  <Lines>73</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2025-03-15T19:26:00Z</dcterms:created>
  <dcterms:modified xsi:type="dcterms:W3CDTF">2025-03-15T19:27:00Z</dcterms:modified>
</cp:coreProperties>
</file>