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26881">
      <w:pPr>
        <w:spacing w:after="0" w:line="480" w:lineRule="auto"/>
        <w:rPr>
          <w:rFonts w:ascii="Times New Roman" w:hAnsi="Times New Roman" w:cs="Times New Roman"/>
          <w:b/>
          <w:bCs/>
          <w:sz w:val="24"/>
          <w:szCs w:val="24"/>
          <w:lang w:val="en-GB"/>
        </w:rPr>
      </w:pPr>
      <w:bookmarkStart w:id="0" w:name="_Hlk176135999"/>
      <w:r>
        <w:rPr>
          <w:rFonts w:ascii="Times New Roman" w:hAnsi="Times New Roman" w:cs="Times New Roman"/>
          <w:b/>
          <w:bCs/>
          <w:sz w:val="24"/>
          <w:szCs w:val="24"/>
          <w:lang w:val="en-GB"/>
        </w:rPr>
        <w:t>Supplementary Information</w:t>
      </w:r>
    </w:p>
    <w:p w14:paraId="52274F74">
      <w:pPr>
        <w:spacing w:after="0" w:line="480" w:lineRule="auto"/>
        <w:rPr>
          <w:rFonts w:ascii="Times New Roman" w:hAnsi="Times New Roman" w:cs="Times New Roman"/>
          <w:sz w:val="24"/>
          <w:szCs w:val="24"/>
        </w:rPr>
      </w:pPr>
      <w:r>
        <w:rPr>
          <w:rFonts w:ascii="Times New Roman" w:hAnsi="Times New Roman" w:cs="Times New Roman"/>
          <w:i/>
          <w:iCs/>
          <w:sz w:val="24"/>
          <w:szCs w:val="24"/>
        </w:rPr>
        <w:t>Humanities and Social Science Communications</w:t>
      </w:r>
    </w:p>
    <w:p w14:paraId="70D5A081">
      <w:pPr>
        <w:spacing w:after="0" w:line="480" w:lineRule="auto"/>
        <w:rPr>
          <w:rFonts w:ascii="Times New Roman" w:hAnsi="Times New Roman" w:cs="Times New Roman"/>
          <w:sz w:val="24"/>
          <w:szCs w:val="24"/>
          <w:lang w:val="en-GB"/>
        </w:rPr>
      </w:pPr>
    </w:p>
    <w:p w14:paraId="1D2A7C80">
      <w:pPr>
        <w:spacing w:after="0" w:line="48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Effects of STEM Learning on Students with Autism Spectrum Disorder and Students with Intellectual Disability: A Systematic Review and Meta-Analysis</w:t>
      </w:r>
    </w:p>
    <w:p w14:paraId="01F70715">
      <w:pPr>
        <w:spacing w:after="0" w:line="480" w:lineRule="auto"/>
        <w:rPr>
          <w:rFonts w:ascii="Times New Roman" w:hAnsi="Times New Roman" w:cs="Times New Roman"/>
          <w:b/>
          <w:bCs/>
          <w:sz w:val="24"/>
          <w:szCs w:val="24"/>
          <w:lang w:val="en-GB"/>
        </w:rPr>
      </w:pPr>
    </w:p>
    <w:bookmarkEnd w:id="0"/>
    <w:p w14:paraId="7CD7562A">
      <w:pPr>
        <w:spacing w:after="0" w:line="480" w:lineRule="auto"/>
        <w:rPr>
          <w:rFonts w:ascii="Times New Roman" w:hAnsi="Times New Roman" w:cs="Times New Roman"/>
          <w:sz w:val="24"/>
          <w:szCs w:val="24"/>
          <w:lang w:val="en-GB"/>
        </w:rPr>
      </w:pPr>
      <w:r>
        <w:rPr>
          <w:rFonts w:hint="eastAsia" w:ascii="Times New Roman" w:hAnsi="Times New Roman" w:cs="Times New Roman"/>
          <w:sz w:val="24"/>
          <w:szCs w:val="24"/>
          <w:lang w:val="en-GB"/>
        </w:rPr>
        <w:t>Fang Da</w:t>
      </w:r>
      <w:r>
        <w:rPr>
          <w:rFonts w:ascii="Times New Roman" w:hAnsi="Times New Roman" w:cs="Times New Roman"/>
          <w:sz w:val="24"/>
          <w:szCs w:val="24"/>
          <w:vertAlign w:val="superscript"/>
          <w:lang w:val="en-GB"/>
        </w:rPr>
        <w:t>1,2</w:t>
      </w:r>
      <w:r>
        <w:rPr>
          <w:rFonts w:hint="eastAsia" w:ascii="Times New Roman" w:hAnsi="Times New Roman" w:cs="Times New Roman"/>
          <w:sz w:val="24"/>
          <w:szCs w:val="24"/>
          <w:lang w:val="en-GB"/>
        </w:rPr>
        <w:t>, Ying Ma</w:t>
      </w:r>
      <w:r>
        <w:rPr>
          <w:rFonts w:ascii="Times New Roman" w:hAnsi="Times New Roman" w:cs="Times New Roman"/>
          <w:sz w:val="24"/>
          <w:szCs w:val="24"/>
          <w:vertAlign w:val="superscript"/>
          <w:lang w:val="en-GB"/>
        </w:rPr>
        <w:t>1</w:t>
      </w:r>
      <w:r>
        <w:rPr>
          <w:rFonts w:hint="eastAsia" w:ascii="Times New Roman" w:hAnsi="Times New Roman" w:cs="Times New Roman"/>
          <w:sz w:val="24"/>
          <w:szCs w:val="24"/>
          <w:lang w:val="en-GB"/>
        </w:rPr>
        <w:t>, Minjie Ma</w:t>
      </w:r>
      <w:r>
        <w:rPr>
          <w:rFonts w:ascii="Times New Roman" w:hAnsi="Times New Roman" w:cs="Times New Roman"/>
          <w:sz w:val="24"/>
          <w:szCs w:val="24"/>
          <w:vertAlign w:val="superscript"/>
          <w:lang w:val="en-GB"/>
        </w:rPr>
        <w:t>3</w:t>
      </w:r>
      <w:r>
        <w:rPr>
          <w:rFonts w:ascii="Times New Roman" w:hAnsi="Times New Roman" w:cs="Times New Roman"/>
          <w:sz w:val="24"/>
          <w:szCs w:val="24"/>
          <w:lang w:val="en-GB"/>
        </w:rPr>
        <w:t xml:space="preserve">, </w:t>
      </w:r>
      <w:r>
        <w:rPr>
          <w:rFonts w:hint="eastAsia" w:ascii="Times New Roman" w:hAnsi="Times New Roman" w:cs="Times New Roman"/>
          <w:sz w:val="24"/>
          <w:szCs w:val="24"/>
          <w:lang w:val="en-GB"/>
        </w:rPr>
        <w:t>Jieyu Mao</w:t>
      </w:r>
      <w:r>
        <w:rPr>
          <w:rFonts w:ascii="Times New Roman" w:hAnsi="Times New Roman" w:cs="Times New Roman"/>
          <w:sz w:val="24"/>
          <w:szCs w:val="24"/>
          <w:vertAlign w:val="superscript"/>
          <w:lang w:val="en-GB"/>
        </w:rPr>
        <w:t>1,4</w:t>
      </w:r>
      <w:r>
        <w:rPr>
          <w:rFonts w:ascii="Times New Roman" w:hAnsi="Times New Roman" w:cs="Times New Roman"/>
          <w:sz w:val="24"/>
          <w:szCs w:val="24"/>
          <w:lang w:val="en-GB"/>
        </w:rPr>
        <w:t xml:space="preserve">, </w:t>
      </w:r>
      <w:r>
        <w:rPr>
          <w:rFonts w:hint="eastAsia" w:ascii="Times New Roman" w:hAnsi="Times New Roman" w:cs="Times New Roman"/>
          <w:sz w:val="24"/>
          <w:szCs w:val="24"/>
          <w:lang w:val="en-GB"/>
        </w:rPr>
        <w:t>Zijiang Weng</w:t>
      </w:r>
      <w:r>
        <w:rPr>
          <w:rFonts w:ascii="Times New Roman" w:hAnsi="Times New Roman" w:cs="Times New Roman"/>
          <w:sz w:val="24"/>
          <w:szCs w:val="24"/>
          <w:vertAlign w:val="superscript"/>
          <w:lang w:val="en-GB"/>
        </w:rPr>
        <w:t>1</w:t>
      </w:r>
      <w:r>
        <w:rPr>
          <w:rFonts w:hint="eastAsia" w:ascii="Times New Roman" w:hAnsi="Times New Roman" w:cs="Times New Roman"/>
          <w:sz w:val="24"/>
          <w:szCs w:val="24"/>
          <w:vertAlign w:val="superscript"/>
          <w:lang w:val="en-GB"/>
        </w:rPr>
        <w:t>,5</w:t>
      </w:r>
      <w:r>
        <w:rPr>
          <w:rFonts w:ascii="Times New Roman" w:hAnsi="Times New Roman" w:cs="Times New Roman"/>
          <w:sz w:val="24"/>
          <w:szCs w:val="24"/>
          <w:lang w:val="en-GB"/>
        </w:rPr>
        <w:t xml:space="preserve">, </w:t>
      </w:r>
      <w:r>
        <w:rPr>
          <w:rFonts w:hint="eastAsia" w:ascii="Times New Roman" w:hAnsi="Times New Roman" w:cs="Times New Roman"/>
          <w:sz w:val="24"/>
          <w:szCs w:val="24"/>
          <w:lang w:val="en-GB"/>
        </w:rPr>
        <w:t>Chao Yang</w:t>
      </w:r>
      <w:r>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 xml:space="preserve">, </w:t>
      </w:r>
      <w:r>
        <w:rPr>
          <w:rFonts w:hint="eastAsia" w:ascii="Times New Roman" w:hAnsi="Times New Roman" w:cs="Times New Roman"/>
          <w:sz w:val="24"/>
          <w:szCs w:val="24"/>
          <w:lang w:val="en-GB"/>
        </w:rPr>
        <w:t>and Tingzhao Wang</w:t>
      </w:r>
      <w:r>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w:t>
      </w:r>
    </w:p>
    <w:p w14:paraId="6C118989">
      <w:pPr>
        <w:spacing w:after="0" w:line="480" w:lineRule="auto"/>
        <w:rPr>
          <w:rFonts w:ascii="Times New Roman" w:hAnsi="Times New Roman" w:cs="Times New Roman"/>
          <w:sz w:val="24"/>
          <w:szCs w:val="24"/>
          <w:lang w:val="en-GB"/>
        </w:rPr>
      </w:pPr>
    </w:p>
    <w:p w14:paraId="7B0B5E17">
      <w:pPr>
        <w:spacing w:after="0" w:line="480" w:lineRule="auto"/>
        <w:rPr>
          <w:rFonts w:ascii="Times New Roman" w:hAnsi="Times New Roman" w:cs="Times New Roman"/>
          <w:sz w:val="24"/>
          <w:szCs w:val="24"/>
          <w:lang w:val="en-GB"/>
        </w:rPr>
      </w:pPr>
      <w:r>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 xml:space="preserve">Faculty of Education, Shaanxi Normal University, </w:t>
      </w:r>
      <w:r>
        <w:rPr>
          <w:rFonts w:hint="eastAsia" w:ascii="Times New Roman" w:hAnsi="Times New Roman" w:cs="Times New Roman"/>
          <w:sz w:val="24"/>
          <w:szCs w:val="24"/>
          <w:lang w:val="en-GB"/>
        </w:rPr>
        <w:t>199 Changannan</w:t>
      </w:r>
      <w:r>
        <w:rPr>
          <w:rFonts w:ascii="Times New Roman" w:hAnsi="Times New Roman" w:cs="Times New Roman"/>
          <w:sz w:val="24"/>
          <w:szCs w:val="24"/>
          <w:lang w:val="en-GB"/>
        </w:rPr>
        <w:t xml:space="preserve"> rd.,</w:t>
      </w:r>
      <w:r>
        <w:rPr>
          <w:rFonts w:hint="eastAsia" w:ascii="Times New Roman" w:hAnsi="Times New Roman" w:cs="Times New Roman"/>
          <w:sz w:val="24"/>
          <w:szCs w:val="24"/>
          <w:lang w:val="en-GB"/>
        </w:rPr>
        <w:t xml:space="preserve"> </w:t>
      </w:r>
      <w:r>
        <w:rPr>
          <w:rFonts w:ascii="Times New Roman" w:hAnsi="Times New Roman" w:cs="Times New Roman"/>
          <w:sz w:val="24"/>
          <w:szCs w:val="24"/>
          <w:lang w:val="en-GB"/>
        </w:rPr>
        <w:t>Xi’an</w:t>
      </w:r>
      <w:r>
        <w:rPr>
          <w:rFonts w:hint="eastAsia" w:ascii="Times New Roman" w:hAnsi="Times New Roman" w:cs="Times New Roman"/>
          <w:sz w:val="24"/>
          <w:szCs w:val="24"/>
          <w:lang w:val="en-GB"/>
        </w:rPr>
        <w:t xml:space="preserve">, </w:t>
      </w:r>
      <w:r>
        <w:rPr>
          <w:rFonts w:ascii="Times New Roman" w:hAnsi="Times New Roman" w:cs="Times New Roman"/>
          <w:sz w:val="24"/>
          <w:szCs w:val="24"/>
          <w:lang w:val="en-GB"/>
        </w:rPr>
        <w:t xml:space="preserve">Shaanxi </w:t>
      </w:r>
      <w:r>
        <w:rPr>
          <w:rFonts w:hint="eastAsia" w:ascii="Times New Roman" w:hAnsi="Times New Roman" w:cs="Times New Roman"/>
          <w:sz w:val="24"/>
          <w:szCs w:val="24"/>
          <w:lang w:val="en-GB"/>
        </w:rPr>
        <w:t xml:space="preserve">710062, </w:t>
      </w:r>
      <w:r>
        <w:rPr>
          <w:rFonts w:ascii="Times New Roman" w:hAnsi="Times New Roman" w:cs="Times New Roman"/>
          <w:sz w:val="24"/>
          <w:szCs w:val="24"/>
          <w:lang w:val="en-GB"/>
        </w:rPr>
        <w:t>People’s Republic of China</w:t>
      </w:r>
    </w:p>
    <w:p w14:paraId="7E259422">
      <w:pPr>
        <w:spacing w:after="0" w:line="480" w:lineRule="auto"/>
        <w:rPr>
          <w:rFonts w:ascii="Times New Roman" w:hAnsi="Times New Roman" w:cs="Times New Roman"/>
          <w:sz w:val="24"/>
          <w:szCs w:val="24"/>
          <w:lang w:val="en-GB"/>
        </w:rPr>
      </w:pPr>
      <w:r>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Xi’an Qizhi School</w:t>
      </w:r>
      <w:r>
        <w:rPr>
          <w:rFonts w:hint="eastAsia" w:ascii="Times New Roman" w:hAnsi="Times New Roman" w:cs="Times New Roman"/>
          <w:sz w:val="24"/>
          <w:szCs w:val="24"/>
          <w:lang w:val="en-GB"/>
        </w:rPr>
        <w:t xml:space="preserve">, 7 Daxuenan </w:t>
      </w:r>
      <w:r>
        <w:rPr>
          <w:rFonts w:ascii="Times New Roman" w:hAnsi="Times New Roman" w:cs="Times New Roman"/>
          <w:sz w:val="24"/>
          <w:szCs w:val="24"/>
          <w:lang w:val="en-GB"/>
        </w:rPr>
        <w:t>rd.,</w:t>
      </w:r>
      <w:r>
        <w:rPr>
          <w:rFonts w:hint="eastAsia" w:ascii="Times New Roman" w:hAnsi="Times New Roman" w:cs="Times New Roman"/>
          <w:sz w:val="24"/>
          <w:szCs w:val="24"/>
          <w:lang w:val="en-GB"/>
        </w:rPr>
        <w:t xml:space="preserve"> </w:t>
      </w:r>
      <w:r>
        <w:rPr>
          <w:rFonts w:ascii="Times New Roman" w:hAnsi="Times New Roman" w:cs="Times New Roman"/>
          <w:sz w:val="24"/>
          <w:szCs w:val="24"/>
          <w:lang w:val="en-GB"/>
        </w:rPr>
        <w:t>Xi’an</w:t>
      </w:r>
      <w:r>
        <w:rPr>
          <w:rFonts w:hint="eastAsia" w:ascii="Times New Roman" w:hAnsi="Times New Roman" w:cs="Times New Roman"/>
          <w:sz w:val="24"/>
          <w:szCs w:val="24"/>
          <w:lang w:val="en-GB"/>
        </w:rPr>
        <w:t xml:space="preserve">, </w:t>
      </w:r>
      <w:r>
        <w:rPr>
          <w:rFonts w:ascii="Times New Roman" w:hAnsi="Times New Roman" w:cs="Times New Roman"/>
          <w:sz w:val="24"/>
          <w:szCs w:val="24"/>
          <w:lang w:val="en-GB"/>
        </w:rPr>
        <w:t xml:space="preserve">Shaanxi </w:t>
      </w:r>
      <w:r>
        <w:rPr>
          <w:rFonts w:hint="eastAsia" w:ascii="Times New Roman" w:hAnsi="Times New Roman" w:cs="Times New Roman"/>
          <w:sz w:val="24"/>
          <w:szCs w:val="24"/>
          <w:lang w:val="en-GB"/>
        </w:rPr>
        <w:t xml:space="preserve">710068, </w:t>
      </w:r>
      <w:r>
        <w:rPr>
          <w:rFonts w:ascii="Times New Roman" w:hAnsi="Times New Roman" w:cs="Times New Roman"/>
          <w:sz w:val="24"/>
          <w:szCs w:val="24"/>
          <w:lang w:val="en-GB"/>
        </w:rPr>
        <w:t>People’s Republic of China</w:t>
      </w:r>
    </w:p>
    <w:p w14:paraId="02B0DF41">
      <w:pPr>
        <w:spacing w:after="0" w:line="480" w:lineRule="auto"/>
        <w:rPr>
          <w:rFonts w:ascii="Times New Roman" w:hAnsi="Times New Roman" w:cs="Times New Roman"/>
          <w:sz w:val="24"/>
          <w:szCs w:val="24"/>
          <w:lang w:val="en-GB"/>
        </w:rPr>
      </w:pPr>
      <w:r>
        <w:rPr>
          <w:rFonts w:ascii="Times New Roman" w:hAnsi="Times New Roman" w:cs="Times New Roman"/>
          <w:sz w:val="24"/>
          <w:szCs w:val="24"/>
          <w:vertAlign w:val="superscript"/>
          <w:lang w:val="en-GB"/>
        </w:rPr>
        <w:t>3</w:t>
      </w:r>
      <w:r>
        <w:rPr>
          <w:rFonts w:ascii="Times New Roman" w:hAnsi="Times New Roman" w:cs="Times New Roman"/>
          <w:sz w:val="24"/>
          <w:szCs w:val="24"/>
          <w:lang w:val="en-GB"/>
        </w:rPr>
        <w:t>Xi’an Mangya School</w:t>
      </w:r>
      <w:r>
        <w:rPr>
          <w:rFonts w:hint="eastAsia" w:ascii="Times New Roman" w:hAnsi="Times New Roman" w:cs="Times New Roman"/>
          <w:sz w:val="24"/>
          <w:szCs w:val="24"/>
          <w:lang w:val="en-GB"/>
        </w:rPr>
        <w:t xml:space="preserve">, 98 Zhenhua </w:t>
      </w:r>
      <w:r>
        <w:rPr>
          <w:rFonts w:ascii="Times New Roman" w:hAnsi="Times New Roman" w:cs="Times New Roman"/>
          <w:sz w:val="24"/>
          <w:szCs w:val="24"/>
          <w:lang w:val="en-GB"/>
        </w:rPr>
        <w:t>rd.,</w:t>
      </w:r>
      <w:r>
        <w:rPr>
          <w:rFonts w:hint="eastAsia" w:ascii="Times New Roman" w:hAnsi="Times New Roman" w:cs="Times New Roman"/>
          <w:sz w:val="24"/>
          <w:szCs w:val="24"/>
          <w:lang w:val="en-GB"/>
        </w:rPr>
        <w:t xml:space="preserve"> </w:t>
      </w:r>
      <w:r>
        <w:rPr>
          <w:rFonts w:ascii="Times New Roman" w:hAnsi="Times New Roman" w:cs="Times New Roman"/>
          <w:sz w:val="24"/>
          <w:szCs w:val="24"/>
          <w:lang w:val="en-GB"/>
        </w:rPr>
        <w:t>Xi’an</w:t>
      </w:r>
      <w:r>
        <w:rPr>
          <w:rFonts w:hint="eastAsia" w:ascii="Times New Roman" w:hAnsi="Times New Roman" w:cs="Times New Roman"/>
          <w:sz w:val="24"/>
          <w:szCs w:val="24"/>
          <w:lang w:val="en-GB"/>
        </w:rPr>
        <w:t xml:space="preserve">, </w:t>
      </w:r>
      <w:r>
        <w:rPr>
          <w:rFonts w:ascii="Times New Roman" w:hAnsi="Times New Roman" w:cs="Times New Roman"/>
          <w:sz w:val="24"/>
          <w:szCs w:val="24"/>
          <w:lang w:val="en-GB"/>
        </w:rPr>
        <w:t xml:space="preserve">Shaanxi </w:t>
      </w:r>
      <w:r>
        <w:rPr>
          <w:rFonts w:hint="eastAsia" w:ascii="Times New Roman" w:hAnsi="Times New Roman" w:cs="Times New Roman"/>
          <w:sz w:val="24"/>
          <w:szCs w:val="24"/>
          <w:lang w:val="en-GB"/>
        </w:rPr>
        <w:t xml:space="preserve">710014, </w:t>
      </w:r>
      <w:r>
        <w:rPr>
          <w:rFonts w:ascii="Times New Roman" w:hAnsi="Times New Roman" w:cs="Times New Roman"/>
          <w:sz w:val="24"/>
          <w:szCs w:val="24"/>
          <w:lang w:val="en-GB"/>
        </w:rPr>
        <w:t>People’s Republic of China</w:t>
      </w:r>
    </w:p>
    <w:p w14:paraId="567180AD">
      <w:pPr>
        <w:spacing w:after="0" w:line="480" w:lineRule="auto"/>
        <w:rPr>
          <w:rFonts w:ascii="Times New Roman" w:hAnsi="Times New Roman" w:cs="Times New Roman"/>
          <w:sz w:val="24"/>
          <w:szCs w:val="24"/>
          <w:lang w:val="en-GB"/>
        </w:rPr>
      </w:pPr>
      <w:r>
        <w:rPr>
          <w:rFonts w:ascii="Times New Roman" w:hAnsi="Times New Roman" w:cs="Times New Roman"/>
          <w:sz w:val="24"/>
          <w:szCs w:val="24"/>
          <w:vertAlign w:val="superscript"/>
          <w:lang w:val="en-GB"/>
        </w:rPr>
        <w:t>4</w:t>
      </w:r>
      <w:r>
        <w:rPr>
          <w:rFonts w:hint="eastAsia" w:ascii="Times New Roman" w:hAnsi="Times New Roman" w:cs="Times New Roman"/>
          <w:sz w:val="24"/>
          <w:szCs w:val="24"/>
          <w:lang w:val="en-GB"/>
        </w:rPr>
        <w:t xml:space="preserve">Hangzhou Yanglingzi </w:t>
      </w:r>
      <w:r>
        <w:rPr>
          <w:rFonts w:ascii="Times New Roman" w:hAnsi="Times New Roman" w:cs="Times New Roman"/>
          <w:sz w:val="24"/>
          <w:szCs w:val="24"/>
          <w:lang w:val="en-GB"/>
        </w:rPr>
        <w:t>School</w:t>
      </w:r>
      <w:r>
        <w:rPr>
          <w:rFonts w:hint="eastAsia" w:ascii="Times New Roman" w:hAnsi="Times New Roman" w:cs="Times New Roman"/>
          <w:sz w:val="24"/>
          <w:szCs w:val="24"/>
          <w:lang w:val="en-GB"/>
        </w:rPr>
        <w:t xml:space="preserve">, 3 Yaojiang </w:t>
      </w:r>
      <w:r>
        <w:rPr>
          <w:rFonts w:ascii="Times New Roman" w:hAnsi="Times New Roman" w:cs="Times New Roman"/>
          <w:sz w:val="24"/>
          <w:szCs w:val="24"/>
          <w:lang w:val="en-GB"/>
        </w:rPr>
        <w:t>rd.,</w:t>
      </w:r>
      <w:r>
        <w:rPr>
          <w:rFonts w:hint="eastAsia" w:ascii="Times New Roman" w:hAnsi="Times New Roman" w:cs="Times New Roman"/>
          <w:sz w:val="24"/>
          <w:szCs w:val="24"/>
          <w:lang w:val="en-GB"/>
        </w:rPr>
        <w:t xml:space="preserve"> Hangzhou, Zhejiang</w:t>
      </w:r>
      <w:r>
        <w:rPr>
          <w:rFonts w:ascii="Times New Roman" w:hAnsi="Times New Roman" w:cs="Times New Roman"/>
          <w:sz w:val="24"/>
          <w:szCs w:val="24"/>
          <w:lang w:val="en-GB"/>
        </w:rPr>
        <w:t xml:space="preserve"> </w:t>
      </w:r>
      <w:r>
        <w:rPr>
          <w:rFonts w:hint="eastAsia" w:ascii="Times New Roman" w:hAnsi="Times New Roman" w:cs="Times New Roman"/>
          <w:sz w:val="24"/>
          <w:szCs w:val="24"/>
          <w:lang w:val="en-GB"/>
        </w:rPr>
        <w:t xml:space="preserve">310008, </w:t>
      </w:r>
      <w:r>
        <w:rPr>
          <w:rFonts w:ascii="Times New Roman" w:hAnsi="Times New Roman" w:cs="Times New Roman"/>
          <w:sz w:val="24"/>
          <w:szCs w:val="24"/>
          <w:lang w:val="en-GB"/>
        </w:rPr>
        <w:t>People’s Republic of China</w:t>
      </w:r>
    </w:p>
    <w:p w14:paraId="5B62524D">
      <w:pPr>
        <w:spacing w:after="0" w:line="480" w:lineRule="auto"/>
        <w:rPr>
          <w:rFonts w:ascii="Times New Roman" w:hAnsi="Times New Roman" w:cs="Times New Roman"/>
          <w:sz w:val="24"/>
          <w:szCs w:val="24"/>
          <w:lang w:val="en-GB"/>
        </w:rPr>
      </w:pPr>
      <w:r>
        <w:rPr>
          <w:rFonts w:hint="eastAsia" w:ascii="Times New Roman" w:hAnsi="Times New Roman" w:cs="Times New Roman"/>
          <w:sz w:val="24"/>
          <w:szCs w:val="24"/>
          <w:vertAlign w:val="superscript"/>
          <w:lang w:val="en-GB"/>
        </w:rPr>
        <w:t>5</w:t>
      </w:r>
      <w:r>
        <w:rPr>
          <w:rFonts w:hint="eastAsia" w:ascii="Times New Roman" w:hAnsi="Times New Roman" w:cs="Times New Roman"/>
          <w:sz w:val="24"/>
          <w:szCs w:val="24"/>
          <w:lang w:val="en-GB"/>
        </w:rPr>
        <w:t>Chengdu Tonghui (International) School, 60 Guanghuadongsan rd., Chengdu, Sichuan</w:t>
      </w:r>
      <w:r>
        <w:rPr>
          <w:rFonts w:ascii="Times New Roman" w:hAnsi="Times New Roman" w:cs="Times New Roman"/>
          <w:sz w:val="24"/>
          <w:szCs w:val="24"/>
          <w:lang w:val="en-GB"/>
        </w:rPr>
        <w:t xml:space="preserve"> </w:t>
      </w:r>
      <w:r>
        <w:rPr>
          <w:rFonts w:hint="eastAsia" w:ascii="Times New Roman" w:hAnsi="Times New Roman" w:cs="Times New Roman"/>
          <w:sz w:val="24"/>
          <w:szCs w:val="24"/>
          <w:lang w:val="en-GB"/>
        </w:rPr>
        <w:t xml:space="preserve">610074, </w:t>
      </w:r>
      <w:r>
        <w:rPr>
          <w:rFonts w:ascii="Times New Roman" w:hAnsi="Times New Roman" w:cs="Times New Roman"/>
          <w:sz w:val="24"/>
          <w:szCs w:val="24"/>
          <w:lang w:val="en-GB"/>
        </w:rPr>
        <w:t>People’s Republic of China</w:t>
      </w:r>
    </w:p>
    <w:p w14:paraId="79D82591">
      <w:pPr>
        <w:spacing w:after="0" w:line="480" w:lineRule="auto"/>
        <w:rPr>
          <w:rFonts w:ascii="Times New Roman" w:hAnsi="Times New Roman" w:cs="Times New Roman"/>
          <w:sz w:val="24"/>
          <w:szCs w:val="24"/>
          <w:lang w:val="en-GB"/>
        </w:rPr>
      </w:pPr>
    </w:p>
    <w:p w14:paraId="366CC209">
      <w:pPr>
        <w:spacing w:after="0" w:line="480" w:lineRule="auto"/>
        <w:rPr>
          <w:rFonts w:ascii="Times New Roman" w:hAnsi="Times New Roman" w:cs="Times New Roman"/>
          <w:sz w:val="24"/>
          <w:szCs w:val="24"/>
        </w:rPr>
      </w:pPr>
      <w:r>
        <w:rPr>
          <w:rFonts w:ascii="Times New Roman" w:hAnsi="Times New Roman" w:cs="Times New Roman"/>
          <w:sz w:val="24"/>
          <w:szCs w:val="24"/>
          <w:lang w:val="en-GB"/>
        </w:rPr>
        <w:t>*</w:t>
      </w:r>
      <w:r>
        <w:rPr>
          <w:rFonts w:ascii="Times New Roman" w:hAnsi="Times New Roman" w:cs="Times New Roman"/>
          <w:b/>
          <w:bCs/>
          <w:sz w:val="24"/>
          <w:szCs w:val="24"/>
          <w:lang w:val="en-GB"/>
        </w:rPr>
        <w:t>Correspondence</w:t>
      </w:r>
      <w:r>
        <w:rPr>
          <w:rFonts w:ascii="Times New Roman" w:hAnsi="Times New Roman" w:cs="Times New Roman"/>
          <w:sz w:val="24"/>
          <w:szCs w:val="24"/>
          <w:lang w:val="en-GB"/>
        </w:rPr>
        <w:t xml:space="preserve">: </w:t>
      </w:r>
      <w:r>
        <w:rPr>
          <w:rFonts w:hint="eastAsia" w:ascii="Times New Roman" w:hAnsi="Times New Roman" w:cs="Times New Roman"/>
          <w:sz w:val="24"/>
          <w:szCs w:val="24"/>
        </w:rPr>
        <w:t>Tingzhao Wang</w:t>
      </w:r>
    </w:p>
    <w:p w14:paraId="055C92F6">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Faculty of Education, Shaanxi Normal University</w:t>
      </w:r>
    </w:p>
    <w:p w14:paraId="4B7EA9FA">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199 Changannan Road, Xi’an, Shaanxi 710062, People’s Republic of China</w:t>
      </w:r>
    </w:p>
    <w:p w14:paraId="554BC804">
      <w:pPr>
        <w:spacing w:after="0" w:line="480" w:lineRule="auto"/>
        <w:rPr>
          <w:rFonts w:ascii="Times New Roman" w:hAnsi="Times New Roman" w:cs="Times New Roman"/>
          <w:sz w:val="24"/>
          <w:szCs w:val="24"/>
        </w:rPr>
      </w:pPr>
      <w:r>
        <w:rPr>
          <w:rFonts w:ascii="Times New Roman" w:hAnsi="Times New Roman" w:cs="Times New Roman"/>
          <w:sz w:val="24"/>
          <w:szCs w:val="24"/>
        </w:rPr>
        <w:t>Tel: +</w:t>
      </w:r>
      <w:r>
        <w:rPr>
          <w:rFonts w:hint="eastAsia" w:ascii="Times New Roman" w:hAnsi="Times New Roman" w:cs="Times New Roman"/>
          <w:sz w:val="24"/>
          <w:szCs w:val="24"/>
        </w:rPr>
        <w:t>8618681884401</w:t>
      </w:r>
    </w:p>
    <w:p w14:paraId="57452661">
      <w:pPr>
        <w:spacing w:after="0" w:line="480" w:lineRule="auto"/>
        <w:rPr>
          <w:rFonts w:ascii="Times New Roman" w:hAnsi="Times New Roman" w:cs="Times New Roman"/>
          <w:sz w:val="24"/>
          <w:szCs w:val="24"/>
        </w:rPr>
      </w:pPr>
      <w:r>
        <w:rPr>
          <w:rFonts w:ascii="Times New Roman" w:hAnsi="Times New Roman" w:cs="Times New Roman"/>
          <w:sz w:val="24"/>
          <w:szCs w:val="24"/>
        </w:rPr>
        <w:t>Fax: +</w:t>
      </w:r>
      <w:r>
        <w:rPr>
          <w:rFonts w:hint="eastAsia" w:ascii="Times New Roman" w:hAnsi="Times New Roman" w:cs="Times New Roman"/>
          <w:sz w:val="24"/>
          <w:szCs w:val="24"/>
        </w:rPr>
        <w:t>86-29-85308767</w:t>
      </w:r>
    </w:p>
    <w:p w14:paraId="12DE4AC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Email: </w:t>
      </w:r>
      <w:r>
        <w:fldChar w:fldCharType="begin"/>
      </w:r>
      <w:r>
        <w:instrText xml:space="preserve"> HYPERLINK "mailto:wangtingzhao@snnu.edu.cn" </w:instrText>
      </w:r>
      <w:r>
        <w:fldChar w:fldCharType="separate"/>
      </w:r>
      <w:r>
        <w:rPr>
          <w:rStyle w:val="30"/>
          <w:rFonts w:hint="eastAsia" w:ascii="Times New Roman" w:hAnsi="Times New Roman" w:cs="Times New Roman"/>
          <w:sz w:val="24"/>
          <w:szCs w:val="24"/>
        </w:rPr>
        <w:t>wangtingzhao@snnu.edu.cn</w:t>
      </w:r>
      <w:r>
        <w:rPr>
          <w:rStyle w:val="30"/>
          <w:rFonts w:hint="eastAsia" w:ascii="Times New Roman" w:hAnsi="Times New Roman" w:cs="Times New Roman"/>
          <w:sz w:val="24"/>
          <w:szCs w:val="24"/>
        </w:rPr>
        <w:fldChar w:fldCharType="end"/>
      </w:r>
    </w:p>
    <w:p w14:paraId="7426250F">
      <w:pPr>
        <w:spacing w:after="0" w:line="480" w:lineRule="auto"/>
        <w:rPr>
          <w:rFonts w:ascii="Times New Roman" w:hAnsi="Times New Roman" w:cs="Times New Roman"/>
          <w:sz w:val="24"/>
          <w:szCs w:val="24"/>
          <w:lang w:val="en-GB"/>
        </w:rPr>
      </w:pPr>
    </w:p>
    <w:p w14:paraId="62DDD343">
      <w:pPr>
        <w:spacing w:after="0" w:line="480" w:lineRule="auto"/>
        <w:rPr>
          <w:rFonts w:ascii="Times New Roman" w:hAnsi="Times New Roman" w:cs="Times New Roman"/>
          <w:sz w:val="24"/>
          <w:szCs w:val="24"/>
          <w:lang w:val="en-GB"/>
        </w:rPr>
        <w:sectPr>
          <w:pgSz w:w="11906" w:h="16838"/>
          <w:pgMar w:top="1440" w:right="1440" w:bottom="1440" w:left="1440" w:header="720" w:footer="720" w:gutter="0"/>
          <w:cols w:space="720" w:num="1"/>
          <w:docGrid w:linePitch="360" w:charSpace="0"/>
        </w:sectPr>
      </w:pPr>
    </w:p>
    <w:p w14:paraId="2F897F15">
      <w:pPr>
        <w:spacing w:after="0"/>
        <w:rPr>
          <w:rFonts w:ascii="Times New Roman" w:hAnsi="Times New Roman" w:cs="Times New Roman"/>
          <w:color w:val="333333"/>
          <w:sz w:val="18"/>
          <w:szCs w:val="18"/>
          <w:shd w:val="clear" w:color="auto" w:fill="FCFCFC"/>
        </w:rPr>
      </w:pPr>
      <w:r>
        <w:rPr>
          <w:rFonts w:ascii="Times New Roman" w:hAnsi="Times New Roman" w:cs="Times New Roman"/>
          <w:b/>
          <w:bCs/>
          <w:sz w:val="18"/>
          <w:szCs w:val="18"/>
          <w:lang w:eastAsia="zh-CN"/>
        </w:rPr>
        <w:t>Supplementary Table S1</w:t>
      </w:r>
      <w:r>
        <w:rPr>
          <w:rFonts w:ascii="Times New Roman" w:hAnsi="Times New Roman" w:cs="Times New Roman"/>
          <w:sz w:val="18"/>
          <w:szCs w:val="18"/>
          <w:lang w:eastAsia="zh-CN"/>
        </w:rPr>
        <w:t>. Descriptive summary of included articles</w:t>
      </w:r>
    </w:p>
    <w:tbl>
      <w:tblPr>
        <w:tblStyle w:val="2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0"/>
        <w:gridCol w:w="1246"/>
        <w:gridCol w:w="1611"/>
        <w:gridCol w:w="1068"/>
        <w:gridCol w:w="1121"/>
        <w:gridCol w:w="1695"/>
        <w:gridCol w:w="1696"/>
        <w:gridCol w:w="1162"/>
        <w:gridCol w:w="892"/>
        <w:gridCol w:w="1125"/>
        <w:gridCol w:w="1028"/>
        <w:gridCol w:w="1790"/>
      </w:tblGrid>
      <w:tr w14:paraId="184B2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384" w:type="pct"/>
            <w:tcBorders>
              <w:top w:val="single" w:color="auto" w:sz="4" w:space="0"/>
              <w:bottom w:val="single" w:color="auto" w:sz="4" w:space="0"/>
            </w:tcBorders>
          </w:tcPr>
          <w:p w14:paraId="48DD0A1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Study</w:t>
            </w:r>
          </w:p>
        </w:tc>
        <w:tc>
          <w:tcPr>
            <w:tcW w:w="385" w:type="pct"/>
            <w:tcBorders>
              <w:top w:val="single" w:color="auto" w:sz="4" w:space="0"/>
              <w:bottom w:val="single" w:color="auto" w:sz="4" w:space="0"/>
            </w:tcBorders>
          </w:tcPr>
          <w:p w14:paraId="62D9F14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 characteristics (sex, age, disability type)</w:t>
            </w:r>
          </w:p>
        </w:tc>
        <w:tc>
          <w:tcPr>
            <w:tcW w:w="870" w:type="pct"/>
            <w:gridSpan w:val="2"/>
            <w:tcBorders>
              <w:top w:val="single" w:color="auto" w:sz="4" w:space="0"/>
              <w:bottom w:val="single" w:color="auto" w:sz="4" w:space="0"/>
            </w:tcBorders>
          </w:tcPr>
          <w:p w14:paraId="5E0AC6A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Intervention processes (setting, interventionist, duration)</w:t>
            </w:r>
          </w:p>
        </w:tc>
        <w:tc>
          <w:tcPr>
            <w:tcW w:w="343" w:type="pct"/>
            <w:tcBorders>
              <w:top w:val="single" w:color="auto" w:sz="4" w:space="0"/>
              <w:bottom w:val="single" w:color="auto" w:sz="4" w:space="0"/>
            </w:tcBorders>
          </w:tcPr>
          <w:p w14:paraId="5E72D60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STEM domain</w:t>
            </w:r>
          </w:p>
        </w:tc>
        <w:tc>
          <w:tcPr>
            <w:tcW w:w="549" w:type="pct"/>
            <w:tcBorders>
              <w:top w:val="single" w:color="auto" w:sz="4" w:space="0"/>
              <w:bottom w:val="single" w:color="auto" w:sz="4" w:space="0"/>
            </w:tcBorders>
          </w:tcPr>
          <w:p w14:paraId="768A4FB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STEM-related target skill</w:t>
            </w:r>
          </w:p>
        </w:tc>
        <w:tc>
          <w:tcPr>
            <w:tcW w:w="549" w:type="pct"/>
            <w:tcBorders>
              <w:top w:val="single" w:color="auto" w:sz="4" w:space="0"/>
              <w:bottom w:val="single" w:color="auto" w:sz="4" w:space="0"/>
            </w:tcBorders>
          </w:tcPr>
          <w:p w14:paraId="33220D8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Intervention method</w:t>
            </w:r>
          </w:p>
        </w:tc>
        <w:tc>
          <w:tcPr>
            <w:tcW w:w="378" w:type="pct"/>
            <w:tcBorders>
              <w:top w:val="single" w:color="auto" w:sz="4" w:space="0"/>
              <w:bottom w:val="single" w:color="auto" w:sz="4" w:space="0"/>
            </w:tcBorders>
          </w:tcPr>
          <w:p w14:paraId="3C6CF3D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Study design</w:t>
            </w:r>
          </w:p>
        </w:tc>
        <w:tc>
          <w:tcPr>
            <w:tcW w:w="262" w:type="pct"/>
            <w:tcBorders>
              <w:top w:val="single" w:color="auto" w:sz="4" w:space="0"/>
              <w:bottom w:val="single" w:color="auto" w:sz="4" w:space="0"/>
            </w:tcBorders>
          </w:tcPr>
          <w:p w14:paraId="3AD3611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Efficacy (%)</w:t>
            </w:r>
          </w:p>
        </w:tc>
        <w:tc>
          <w:tcPr>
            <w:tcW w:w="366" w:type="pct"/>
            <w:tcBorders>
              <w:top w:val="single" w:color="auto" w:sz="4" w:space="0"/>
              <w:bottom w:val="single" w:color="auto" w:sz="4" w:space="0"/>
            </w:tcBorders>
          </w:tcPr>
          <w:p w14:paraId="5A415F7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Procedural fidelity</w:t>
            </w:r>
          </w:p>
        </w:tc>
        <w:tc>
          <w:tcPr>
            <w:tcW w:w="335" w:type="pct"/>
            <w:tcBorders>
              <w:top w:val="single" w:color="auto" w:sz="4" w:space="0"/>
              <w:bottom w:val="single" w:color="auto" w:sz="4" w:space="0"/>
            </w:tcBorders>
          </w:tcPr>
          <w:p w14:paraId="18F922F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Social validity</w:t>
            </w:r>
          </w:p>
        </w:tc>
        <w:tc>
          <w:tcPr>
            <w:tcW w:w="579" w:type="pct"/>
            <w:tcBorders>
              <w:top w:val="single" w:color="auto" w:sz="4" w:space="0"/>
              <w:bottom w:val="single" w:color="auto" w:sz="4" w:space="0"/>
            </w:tcBorders>
          </w:tcPr>
          <w:p w14:paraId="28BF2E6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Effect size (intervention,</w:t>
            </w:r>
          </w:p>
          <w:p w14:paraId="4964FD7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generalization,</w:t>
            </w:r>
          </w:p>
          <w:p w14:paraId="425D81D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maintenance)</w:t>
            </w:r>
          </w:p>
        </w:tc>
      </w:tr>
      <w:tr w14:paraId="749B0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384" w:type="pct"/>
            <w:tcBorders>
              <w:top w:val="single" w:color="auto" w:sz="4" w:space="0"/>
            </w:tcBorders>
          </w:tcPr>
          <w:p w14:paraId="1665C7E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14:ligatures w14:val="none"/>
              </w:rPr>
              <w:t>C</w:t>
            </w:r>
            <w:r>
              <w:rPr>
                <w:rFonts w:ascii="Times New Roman" w:hAnsi="Times New Roman" w:eastAsia="宋体" w:cs="Times New Roman"/>
                <w:kern w:val="0"/>
                <w:sz w:val="18"/>
                <w:szCs w:val="18"/>
                <w:lang w:eastAsia="zh-CN"/>
                <w14:ligatures w14:val="none"/>
              </w:rPr>
              <w:t>ourtade</w:t>
            </w:r>
            <w:r>
              <w:rPr>
                <w:rFonts w:ascii="Times New Roman" w:hAnsi="Times New Roman" w:eastAsia="宋体" w:cs="Times New Roman"/>
                <w:kern w:val="0"/>
                <w:sz w:val="18"/>
                <w:szCs w:val="18"/>
                <w14:ligatures w14:val="none"/>
              </w:rPr>
              <w:t xml:space="preserve"> (</w:t>
            </w:r>
            <w:r>
              <w:rPr>
                <w:rFonts w:ascii="Times New Roman" w:hAnsi="Times New Roman" w:eastAsia="宋体" w:cs="Times New Roman"/>
                <w:kern w:val="0"/>
                <w:sz w:val="18"/>
                <w:szCs w:val="18"/>
                <w:lang w:eastAsia="zh-CN"/>
                <w14:ligatures w14:val="none"/>
              </w:rPr>
              <w:t>2010</w:t>
            </w:r>
            <w:r>
              <w:rPr>
                <w:rFonts w:ascii="Times New Roman" w:hAnsi="Times New Roman" w:eastAsia="宋体" w:cs="Times New Roman"/>
                <w:kern w:val="0"/>
                <w:sz w:val="18"/>
                <w:szCs w:val="18"/>
                <w14:ligatures w14:val="none"/>
              </w:rPr>
              <w:t>)</w:t>
            </w:r>
          </w:p>
        </w:tc>
        <w:tc>
          <w:tcPr>
            <w:tcW w:w="385" w:type="pct"/>
            <w:tcBorders>
              <w:top w:val="single" w:color="auto" w:sz="4" w:space="0"/>
            </w:tcBorders>
          </w:tcPr>
          <w:p w14:paraId="59B1BC9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 M, 4 F;</w:t>
            </w:r>
          </w:p>
          <w:p w14:paraId="129C82A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11–15 years;</w:t>
            </w:r>
          </w:p>
          <w:p w14:paraId="194D61C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Borders>
              <w:top w:val="single" w:color="auto" w:sz="4" w:space="0"/>
            </w:tcBorders>
          </w:tcPr>
          <w:p w14:paraId="48AC63E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 special education teacher</w:t>
            </w:r>
          </w:p>
        </w:tc>
        <w:tc>
          <w:tcPr>
            <w:tcW w:w="348" w:type="pct"/>
            <w:tcBorders>
              <w:top w:val="single" w:color="auto" w:sz="4" w:space="0"/>
            </w:tcBorders>
          </w:tcPr>
          <w:p w14:paraId="1881B4F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430840F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20–30 min</w:t>
            </w:r>
            <w:r>
              <w:rPr>
                <w:rFonts w:ascii="Times New Roman" w:hAnsi="Times New Roman" w:eastAsia="MS Gothic" w:cs="Times New Roman"/>
                <w:kern w:val="0"/>
                <w:sz w:val="18"/>
                <w:szCs w:val="18"/>
                <w:lang w:eastAsia="zh-CN"/>
                <w14:ligatures w14:val="none"/>
              </w:rPr>
              <w:t xml:space="preserve">, </w:t>
            </w:r>
            <w:r>
              <w:rPr>
                <w:rFonts w:ascii="Times New Roman" w:hAnsi="Times New Roman" w:eastAsia="宋体" w:cs="Times New Roman"/>
                <w:kern w:val="0"/>
                <w:sz w:val="18"/>
                <w:szCs w:val="18"/>
                <w:lang w:eastAsia="zh-CN"/>
                <w14:ligatures w14:val="none"/>
              </w:rPr>
              <w:t>31 times</w:t>
            </w:r>
          </w:p>
        </w:tc>
        <w:tc>
          <w:tcPr>
            <w:tcW w:w="343" w:type="pct"/>
            <w:tcBorders>
              <w:top w:val="single" w:color="auto" w:sz="4" w:space="0"/>
            </w:tcBorders>
          </w:tcPr>
          <w:p w14:paraId="2EB150B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Borders>
              <w:top w:val="single" w:color="auto" w:sz="4" w:space="0"/>
            </w:tcBorders>
          </w:tcPr>
          <w:p w14:paraId="6373836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Inquiry skill</w:t>
            </w:r>
          </w:p>
        </w:tc>
        <w:tc>
          <w:tcPr>
            <w:tcW w:w="549" w:type="pct"/>
            <w:tcBorders>
              <w:top w:val="single" w:color="auto" w:sz="4" w:space="0"/>
            </w:tcBorders>
          </w:tcPr>
          <w:p w14:paraId="618411D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Inquiry-based task analysis</w:t>
            </w:r>
          </w:p>
          <w:p w14:paraId="22ACD9F1">
            <w:pPr>
              <w:widowControl w:val="0"/>
              <w:spacing w:after="0" w:line="240" w:lineRule="auto"/>
              <w:jc w:val="left"/>
              <w:rPr>
                <w:rFonts w:ascii="Times New Roman" w:hAnsi="Times New Roman" w:eastAsia="宋体" w:cs="Times New Roman"/>
                <w:kern w:val="0"/>
                <w:sz w:val="18"/>
                <w:szCs w:val="18"/>
                <w:lang w:eastAsia="zh-CN"/>
                <w14:ligatures w14:val="none"/>
              </w:rPr>
            </w:pPr>
          </w:p>
        </w:tc>
        <w:tc>
          <w:tcPr>
            <w:tcW w:w="378" w:type="pct"/>
            <w:tcBorders>
              <w:top w:val="single" w:color="auto" w:sz="4" w:space="0"/>
            </w:tcBorders>
          </w:tcPr>
          <w:p w14:paraId="5C31C9E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MB across participants</w:t>
            </w:r>
          </w:p>
          <w:p w14:paraId="7D1C0E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Borders>
              <w:top w:val="single" w:color="auto" w:sz="4" w:space="0"/>
            </w:tcBorders>
          </w:tcPr>
          <w:p w14:paraId="385C350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95.3</w:t>
            </w:r>
          </w:p>
        </w:tc>
        <w:tc>
          <w:tcPr>
            <w:tcW w:w="366" w:type="pct"/>
            <w:tcBorders>
              <w:top w:val="single" w:color="auto" w:sz="4" w:space="0"/>
            </w:tcBorders>
          </w:tcPr>
          <w:p w14:paraId="446A02D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Borders>
              <w:top w:val="single" w:color="auto" w:sz="4" w:space="0"/>
            </w:tcBorders>
          </w:tcPr>
          <w:p w14:paraId="31FCA52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Borders>
              <w:top w:val="single" w:color="auto" w:sz="4" w:space="0"/>
            </w:tcBorders>
          </w:tcPr>
          <w:p w14:paraId="4458FDA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0.99;</w:t>
            </w:r>
          </w:p>
          <w:p w14:paraId="250878E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5113832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74DA1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384" w:type="pct"/>
          </w:tcPr>
          <w:p w14:paraId="7BC125D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Cihak</w:t>
            </w:r>
          </w:p>
          <w:p w14:paraId="3BD492B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(2010)</w:t>
            </w:r>
          </w:p>
        </w:tc>
        <w:tc>
          <w:tcPr>
            <w:tcW w:w="385" w:type="pct"/>
          </w:tcPr>
          <w:p w14:paraId="650DAE4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58E3C94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13–14 years;</w:t>
            </w:r>
          </w:p>
          <w:p w14:paraId="35ADDA2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ID, </w:t>
            </w:r>
            <w:r>
              <w:rPr>
                <w:rFonts w:hint="eastAsia" w:ascii="Times New Roman" w:hAnsi="Times New Roman" w:eastAsia="宋体" w:cs="Times New Roman"/>
                <w:kern w:val="0"/>
                <w:sz w:val="18"/>
                <w:szCs w:val="18"/>
                <w:lang w:eastAsia="zh-CN"/>
                <w14:ligatures w14:val="none"/>
              </w:rPr>
              <w:t>ASD-</w:t>
            </w:r>
            <w:r>
              <w:rPr>
                <w:rFonts w:ascii="Times New Roman" w:hAnsi="Times New Roman" w:eastAsia="宋体" w:cs="Times New Roman"/>
                <w:kern w:val="0"/>
                <w:sz w:val="18"/>
                <w:szCs w:val="18"/>
                <w:lang w:eastAsia="zh-CN"/>
                <w14:ligatures w14:val="none"/>
              </w:rPr>
              <w:t>ID</w:t>
            </w:r>
          </w:p>
        </w:tc>
        <w:tc>
          <w:tcPr>
            <w:tcW w:w="522" w:type="pct"/>
          </w:tcPr>
          <w:p w14:paraId="6996BB7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 researchers</w:t>
            </w:r>
          </w:p>
        </w:tc>
        <w:tc>
          <w:tcPr>
            <w:tcW w:w="348" w:type="pct"/>
          </w:tcPr>
          <w:p w14:paraId="56A2D85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Once a day;</w:t>
            </w:r>
          </w:p>
          <w:p w14:paraId="4053459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30–60 min, 32 times</w:t>
            </w:r>
          </w:p>
        </w:tc>
        <w:tc>
          <w:tcPr>
            <w:tcW w:w="343" w:type="pct"/>
          </w:tcPr>
          <w:p w14:paraId="55A1C1F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399A1FB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Single-digit addition problems</w:t>
            </w:r>
          </w:p>
        </w:tc>
        <w:tc>
          <w:tcPr>
            <w:tcW w:w="549" w:type="pct"/>
          </w:tcPr>
          <w:p w14:paraId="68BF1E7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Touchpoints and number line</w:t>
            </w:r>
          </w:p>
        </w:tc>
        <w:tc>
          <w:tcPr>
            <w:tcW w:w="378" w:type="pct"/>
          </w:tcPr>
          <w:p w14:paraId="0700D8E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Alternating </w:t>
            </w:r>
          </w:p>
          <w:p w14:paraId="468D102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treatment design</w:t>
            </w:r>
          </w:p>
        </w:tc>
        <w:tc>
          <w:tcPr>
            <w:tcW w:w="262" w:type="pct"/>
          </w:tcPr>
          <w:p w14:paraId="2CB2390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99.3</w:t>
            </w:r>
          </w:p>
        </w:tc>
        <w:tc>
          <w:tcPr>
            <w:tcW w:w="366" w:type="pct"/>
          </w:tcPr>
          <w:p w14:paraId="4C43BC7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5DA19D5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w:t>
            </w:r>
          </w:p>
        </w:tc>
        <w:tc>
          <w:tcPr>
            <w:tcW w:w="579" w:type="pct"/>
          </w:tcPr>
          <w:p w14:paraId="1C1DB50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3AB582C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067454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1D942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4" w:type="pct"/>
          </w:tcPr>
          <w:p w14:paraId="6D35A8B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Rockwell et al. (2011)</w:t>
            </w:r>
          </w:p>
        </w:tc>
        <w:tc>
          <w:tcPr>
            <w:tcW w:w="385" w:type="pct"/>
          </w:tcPr>
          <w:p w14:paraId="3E962BD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1 F; </w:t>
            </w:r>
          </w:p>
          <w:p w14:paraId="221D2D0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10 years; </w:t>
            </w:r>
          </w:p>
          <w:p w14:paraId="54552F6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63091FD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Home; </w:t>
            </w:r>
          </w:p>
          <w:p w14:paraId="7016901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2CA34D5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 times a week;</w:t>
            </w:r>
          </w:p>
          <w:p w14:paraId="0FDA4A30">
            <w:pPr>
              <w:pStyle w:val="22"/>
              <w:widowControl w:val="0"/>
              <w:spacing w:before="0" w:line="240" w:lineRule="auto"/>
              <w:ind w:firstLine="0" w:firstLineChars="0"/>
              <w:jc w:val="left"/>
              <w:rPr>
                <w:rFonts w:eastAsia="宋体" w:cs="Times New Roman"/>
                <w:sz w:val="18"/>
                <w:szCs w:val="18"/>
                <w:lang w:val="en-GB" w:eastAsia="zh-CN"/>
              </w:rPr>
            </w:pPr>
            <w:r>
              <w:rPr>
                <w:rFonts w:eastAsia="宋体" w:cs="Times New Roman"/>
                <w:sz w:val="18"/>
                <w:szCs w:val="18"/>
                <w:lang w:val="en-GB" w:eastAsia="zh-CN"/>
              </w:rPr>
              <w:t>45 min;</w:t>
            </w:r>
          </w:p>
          <w:p w14:paraId="445CCF8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32 times</w:t>
            </w:r>
          </w:p>
        </w:tc>
        <w:tc>
          <w:tcPr>
            <w:tcW w:w="343" w:type="pct"/>
          </w:tcPr>
          <w:p w14:paraId="379261C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05BF0E0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 word problems</w:t>
            </w:r>
          </w:p>
        </w:tc>
        <w:tc>
          <w:tcPr>
            <w:tcW w:w="549" w:type="pct"/>
          </w:tcPr>
          <w:p w14:paraId="0D89F57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SBI</w:t>
            </w:r>
          </w:p>
        </w:tc>
        <w:tc>
          <w:tcPr>
            <w:tcW w:w="378" w:type="pct"/>
          </w:tcPr>
          <w:p w14:paraId="009B992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6C5001E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behaviours</w:t>
            </w:r>
          </w:p>
          <w:p w14:paraId="5464E6D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3DF96E4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366" w:type="pct"/>
          </w:tcPr>
          <w:p w14:paraId="2509346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335" w:type="pct"/>
          </w:tcPr>
          <w:p w14:paraId="6D2CF2C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706A39B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0.98;</w:t>
            </w:r>
          </w:p>
          <w:p w14:paraId="363627A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0.94;</w:t>
            </w:r>
          </w:p>
          <w:p w14:paraId="569B443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6CF6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384" w:type="pct"/>
          </w:tcPr>
          <w:p w14:paraId="57324AC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Jimenez et al. (2012)</w:t>
            </w:r>
          </w:p>
        </w:tc>
        <w:tc>
          <w:tcPr>
            <w:tcW w:w="385" w:type="pct"/>
          </w:tcPr>
          <w:p w14:paraId="3F6BA9C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F, 3 M</w:t>
            </w:r>
          </w:p>
          <w:p w14:paraId="205D304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11–14 years;</w:t>
            </w:r>
          </w:p>
          <w:p w14:paraId="3212E13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19572D1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Inclusive classroom; </w:t>
            </w:r>
          </w:p>
          <w:p w14:paraId="4069759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 and general teacher</w:t>
            </w:r>
          </w:p>
        </w:tc>
        <w:tc>
          <w:tcPr>
            <w:tcW w:w="348" w:type="pct"/>
          </w:tcPr>
          <w:p w14:paraId="28D1F2F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2–3 times a week;</w:t>
            </w:r>
          </w:p>
          <w:p w14:paraId="1962829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35 times</w:t>
            </w:r>
          </w:p>
        </w:tc>
        <w:tc>
          <w:tcPr>
            <w:tcW w:w="343" w:type="pct"/>
          </w:tcPr>
          <w:p w14:paraId="733794D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3655133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knowledge</w:t>
            </w:r>
          </w:p>
        </w:tc>
        <w:tc>
          <w:tcPr>
            <w:tcW w:w="549" w:type="pct"/>
          </w:tcPr>
          <w:p w14:paraId="78CEA6B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Peer-mediated embedded instruction</w:t>
            </w:r>
          </w:p>
        </w:tc>
        <w:tc>
          <w:tcPr>
            <w:tcW w:w="378" w:type="pct"/>
          </w:tcPr>
          <w:p w14:paraId="2ADE280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MP across</w:t>
            </w:r>
          </w:p>
          <w:p w14:paraId="27B33A7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units</w:t>
            </w:r>
          </w:p>
          <w:p w14:paraId="21D796F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66C84FF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2DB15BD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081D83D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6F580AE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0.86;</w:t>
            </w:r>
          </w:p>
          <w:p w14:paraId="1FA6148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416F7C0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0.94</w:t>
            </w:r>
          </w:p>
        </w:tc>
      </w:tr>
      <w:tr w14:paraId="54F4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84" w:type="pct"/>
          </w:tcPr>
          <w:p w14:paraId="5890936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Carnahan and Williamson (2013)</w:t>
            </w:r>
          </w:p>
        </w:tc>
        <w:tc>
          <w:tcPr>
            <w:tcW w:w="385" w:type="pct"/>
          </w:tcPr>
          <w:p w14:paraId="3D74FC0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4BF5E8F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 years;</w:t>
            </w:r>
          </w:p>
          <w:p w14:paraId="33F83E8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55847EB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General classroom;</w:t>
            </w:r>
          </w:p>
          <w:p w14:paraId="56FEF87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w:t>
            </w:r>
          </w:p>
        </w:tc>
        <w:tc>
          <w:tcPr>
            <w:tcW w:w="348" w:type="pct"/>
          </w:tcPr>
          <w:p w14:paraId="0E8FDFD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408A8AA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16 times</w:t>
            </w:r>
          </w:p>
        </w:tc>
        <w:tc>
          <w:tcPr>
            <w:tcW w:w="343" w:type="pct"/>
          </w:tcPr>
          <w:p w14:paraId="1DF5085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5C4D16B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Comprehension of </w:t>
            </w:r>
          </w:p>
          <w:p w14:paraId="146D5E0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text</w:t>
            </w:r>
          </w:p>
        </w:tc>
        <w:tc>
          <w:tcPr>
            <w:tcW w:w="549" w:type="pct"/>
          </w:tcPr>
          <w:p w14:paraId="42BCC31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Compare-contrast </w:t>
            </w:r>
          </w:p>
          <w:p w14:paraId="5E959BC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strategy</w:t>
            </w:r>
          </w:p>
        </w:tc>
        <w:tc>
          <w:tcPr>
            <w:tcW w:w="378" w:type="pct"/>
          </w:tcPr>
          <w:p w14:paraId="2C8516C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Reversal design</w:t>
            </w:r>
          </w:p>
          <w:p w14:paraId="08C6A33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A-B-A-B</w:t>
            </w:r>
          </w:p>
        </w:tc>
        <w:tc>
          <w:tcPr>
            <w:tcW w:w="262" w:type="pct"/>
          </w:tcPr>
          <w:p w14:paraId="477011D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98.7–100</w:t>
            </w:r>
          </w:p>
        </w:tc>
        <w:tc>
          <w:tcPr>
            <w:tcW w:w="366" w:type="pct"/>
          </w:tcPr>
          <w:p w14:paraId="3168C93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1BFCC6C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4B61D0A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0.97;</w:t>
            </w:r>
          </w:p>
          <w:p w14:paraId="028E57C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29CA679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0.98</w:t>
            </w:r>
          </w:p>
        </w:tc>
      </w:tr>
      <w:tr w14:paraId="167CC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4" w:type="pct"/>
          </w:tcPr>
          <w:p w14:paraId="3DA1B23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Jimenez et al. (2013)</w:t>
            </w:r>
          </w:p>
        </w:tc>
        <w:tc>
          <w:tcPr>
            <w:tcW w:w="385" w:type="pct"/>
          </w:tcPr>
          <w:p w14:paraId="7F3F4F5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F, 3 M</w:t>
            </w:r>
          </w:p>
          <w:p w14:paraId="3AD452A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8–11 years;</w:t>
            </w:r>
          </w:p>
          <w:p w14:paraId="7E74204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ID, </w:t>
            </w:r>
            <w:r>
              <w:rPr>
                <w:rFonts w:hint="eastAsia" w:ascii="Times New Roman" w:hAnsi="Times New Roman" w:eastAsia="宋体" w:cs="Times New Roman"/>
                <w:kern w:val="0"/>
                <w:sz w:val="18"/>
                <w:szCs w:val="18"/>
                <w:lang w:eastAsia="zh-CN"/>
                <w14:ligatures w14:val="none"/>
              </w:rPr>
              <w:t>ASD-</w:t>
            </w:r>
            <w:r>
              <w:rPr>
                <w:rFonts w:ascii="Times New Roman" w:hAnsi="Times New Roman" w:eastAsia="宋体" w:cs="Times New Roman"/>
                <w:kern w:val="0"/>
                <w:sz w:val="18"/>
                <w:szCs w:val="18"/>
                <w:lang w:eastAsia="zh-CN"/>
                <w14:ligatures w14:val="none"/>
              </w:rPr>
              <w:t xml:space="preserve"> ID</w:t>
            </w:r>
          </w:p>
        </w:tc>
        <w:tc>
          <w:tcPr>
            <w:tcW w:w="522" w:type="pct"/>
          </w:tcPr>
          <w:p w14:paraId="4807C39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General classroom; special education teacher</w:t>
            </w:r>
          </w:p>
        </w:tc>
        <w:tc>
          <w:tcPr>
            <w:tcW w:w="348" w:type="pct"/>
          </w:tcPr>
          <w:p w14:paraId="6CE7A33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0D6D5EA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 times</w:t>
            </w:r>
          </w:p>
        </w:tc>
        <w:tc>
          <w:tcPr>
            <w:tcW w:w="343" w:type="pct"/>
          </w:tcPr>
          <w:p w14:paraId="37D424D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6095806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Early numeracy skills</w:t>
            </w:r>
          </w:p>
        </w:tc>
        <w:tc>
          <w:tcPr>
            <w:tcW w:w="549" w:type="pct"/>
          </w:tcPr>
          <w:p w14:paraId="626CC4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Embedded systematic instruction</w:t>
            </w:r>
          </w:p>
        </w:tc>
        <w:tc>
          <w:tcPr>
            <w:tcW w:w="378" w:type="pct"/>
          </w:tcPr>
          <w:p w14:paraId="01B2496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MP across participants</w:t>
            </w:r>
          </w:p>
          <w:p w14:paraId="2FB6F96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198B412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0E4F90B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1D6FBFF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6324D18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0.95;</w:t>
            </w:r>
          </w:p>
          <w:p w14:paraId="1688187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7E1F6BF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4CCA5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384" w:type="pct"/>
          </w:tcPr>
          <w:p w14:paraId="4BE3A6F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Smith et al. (2013)</w:t>
            </w:r>
          </w:p>
        </w:tc>
        <w:tc>
          <w:tcPr>
            <w:tcW w:w="385" w:type="pct"/>
          </w:tcPr>
          <w:p w14:paraId="77898C0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72CCCB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11–12 years;</w:t>
            </w:r>
          </w:p>
          <w:p w14:paraId="359EE5D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2BE53A5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Inclusive classroom; special education teacher and general teacher</w:t>
            </w:r>
          </w:p>
        </w:tc>
        <w:tc>
          <w:tcPr>
            <w:tcW w:w="348" w:type="pct"/>
          </w:tcPr>
          <w:p w14:paraId="13FCA48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Once a week;</w:t>
            </w:r>
          </w:p>
          <w:p w14:paraId="5E4199D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40 min;</w:t>
            </w:r>
          </w:p>
          <w:p w14:paraId="15B817D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13times</w:t>
            </w:r>
          </w:p>
        </w:tc>
        <w:tc>
          <w:tcPr>
            <w:tcW w:w="343" w:type="pct"/>
          </w:tcPr>
          <w:p w14:paraId="527840B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6A56A41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content</w:t>
            </w:r>
          </w:p>
        </w:tc>
        <w:tc>
          <w:tcPr>
            <w:tcW w:w="549" w:type="pct"/>
          </w:tcPr>
          <w:p w14:paraId="18E2AF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Embedded</w:t>
            </w:r>
          </w:p>
          <w:p w14:paraId="4B82C95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CAI</w:t>
            </w:r>
          </w:p>
        </w:tc>
        <w:tc>
          <w:tcPr>
            <w:tcW w:w="378" w:type="pct"/>
          </w:tcPr>
          <w:p w14:paraId="7373170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MP across participants</w:t>
            </w:r>
          </w:p>
          <w:p w14:paraId="21481EA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66CC805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4E65B3F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2EB5394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79636E5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768D3B7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232E930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1B1A8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rPr>
        <w:tc>
          <w:tcPr>
            <w:tcW w:w="384" w:type="pct"/>
          </w:tcPr>
          <w:p w14:paraId="09F79DC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Burton et al. (2013)</w:t>
            </w:r>
          </w:p>
        </w:tc>
        <w:tc>
          <w:tcPr>
            <w:tcW w:w="385" w:type="pct"/>
          </w:tcPr>
          <w:p w14:paraId="7B6DD38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5 M;</w:t>
            </w:r>
          </w:p>
          <w:p w14:paraId="3F57FCB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13–15 years;</w:t>
            </w:r>
          </w:p>
          <w:p w14:paraId="2D87C8AF">
            <w:pPr>
              <w:widowControl w:val="0"/>
              <w:spacing w:after="0" w:line="240" w:lineRule="auto"/>
              <w:jc w:val="left"/>
              <w:rPr>
                <w:rFonts w:ascii="Times New Roman" w:hAnsi="Times New Roman" w:eastAsia="宋体" w:cs="Times New Roman"/>
                <w:kern w:val="0"/>
                <w:sz w:val="18"/>
                <w:szCs w:val="18"/>
                <w:lang w:eastAsia="zh-CN"/>
                <w14:ligatures w14:val="none"/>
              </w:rPr>
            </w:pPr>
            <w:r>
              <w:rPr>
                <w:rFonts w:hint="eastAsia" w:ascii="Times New Roman" w:hAnsi="Times New Roman" w:eastAsia="宋体" w:cs="Times New Roman"/>
                <w:kern w:val="0"/>
                <w:sz w:val="18"/>
                <w:szCs w:val="18"/>
                <w:lang w:eastAsia="zh-CN"/>
                <w14:ligatures w14:val="none"/>
              </w:rPr>
              <w:t xml:space="preserve">ID, </w:t>
            </w: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4D2ABC3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General classroom; special education teacher</w:t>
            </w:r>
          </w:p>
        </w:tc>
        <w:tc>
          <w:tcPr>
            <w:tcW w:w="348" w:type="pct"/>
          </w:tcPr>
          <w:p w14:paraId="7B8441C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4–8 times a week;</w:t>
            </w:r>
          </w:p>
          <w:p w14:paraId="1BDB81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20–30 min;</w:t>
            </w:r>
          </w:p>
          <w:p w14:paraId="4F1326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48times</w:t>
            </w:r>
          </w:p>
        </w:tc>
        <w:tc>
          <w:tcPr>
            <w:tcW w:w="343" w:type="pct"/>
          </w:tcPr>
          <w:p w14:paraId="2CC8374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17FE2E1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 word problems</w:t>
            </w:r>
          </w:p>
        </w:tc>
        <w:tc>
          <w:tcPr>
            <w:tcW w:w="549" w:type="pct"/>
          </w:tcPr>
          <w:p w14:paraId="0D3BB74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VSM</w:t>
            </w:r>
          </w:p>
        </w:tc>
        <w:tc>
          <w:tcPr>
            <w:tcW w:w="378" w:type="pct"/>
          </w:tcPr>
          <w:p w14:paraId="46F3B14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MB across participants</w:t>
            </w:r>
          </w:p>
          <w:p w14:paraId="0DE3F1D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7CC290A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4F349A6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013662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7343147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6F746CA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6078F34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0BF89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384" w:type="pct"/>
          </w:tcPr>
          <w:p w14:paraId="62B148F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Knight et al. (2013)</w:t>
            </w:r>
          </w:p>
        </w:tc>
        <w:tc>
          <w:tcPr>
            <w:tcW w:w="385" w:type="pct"/>
          </w:tcPr>
          <w:p w14:paraId="4648748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 F, 2 M;</w:t>
            </w:r>
          </w:p>
          <w:p w14:paraId="64AA7E1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13–14 years;</w:t>
            </w:r>
          </w:p>
          <w:p w14:paraId="7BB3EA2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402BDEE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6E12DE8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w:t>
            </w:r>
          </w:p>
        </w:tc>
        <w:tc>
          <w:tcPr>
            <w:tcW w:w="348" w:type="pct"/>
          </w:tcPr>
          <w:p w14:paraId="64EF5A4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4–5 times per week;</w:t>
            </w:r>
          </w:p>
          <w:p w14:paraId="4D6808A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15 min; </w:t>
            </w:r>
          </w:p>
          <w:p w14:paraId="2B1FB4F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30 times</w:t>
            </w:r>
          </w:p>
        </w:tc>
        <w:tc>
          <w:tcPr>
            <w:tcW w:w="343" w:type="pct"/>
          </w:tcPr>
          <w:p w14:paraId="7A6F706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203904F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vocabulary concepts</w:t>
            </w:r>
          </w:p>
        </w:tc>
        <w:tc>
          <w:tcPr>
            <w:tcW w:w="549" w:type="pct"/>
          </w:tcPr>
          <w:p w14:paraId="4680BC9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Systematic instruction, graphic organizer</w:t>
            </w:r>
          </w:p>
        </w:tc>
        <w:tc>
          <w:tcPr>
            <w:tcW w:w="378" w:type="pct"/>
          </w:tcPr>
          <w:p w14:paraId="53CEE70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MP across participants</w:t>
            </w:r>
          </w:p>
          <w:p w14:paraId="43820E6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6F6E450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7459FFD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BB7E7A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193E5C0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0.96;</w:t>
            </w:r>
          </w:p>
          <w:p w14:paraId="085CCC5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B17D2A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48B55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84" w:type="pct"/>
          </w:tcPr>
          <w:p w14:paraId="5AD5ECC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Schaefer Whitby (2013)</w:t>
            </w:r>
          </w:p>
        </w:tc>
        <w:tc>
          <w:tcPr>
            <w:tcW w:w="385" w:type="pct"/>
          </w:tcPr>
          <w:p w14:paraId="5BE8EF9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123BA21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13–14 years;</w:t>
            </w:r>
          </w:p>
          <w:p w14:paraId="14C6DF7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2C78BE0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2F1E5FB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3B4BD00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Once a day;</w:t>
            </w:r>
          </w:p>
          <w:p w14:paraId="66781B0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25 times</w:t>
            </w:r>
          </w:p>
        </w:tc>
        <w:tc>
          <w:tcPr>
            <w:tcW w:w="343" w:type="pct"/>
          </w:tcPr>
          <w:p w14:paraId="28B25CE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5DA3A11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Math </w:t>
            </w:r>
          </w:p>
          <w:p w14:paraId="6968345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word problems</w:t>
            </w:r>
          </w:p>
        </w:tc>
        <w:tc>
          <w:tcPr>
            <w:tcW w:w="549" w:type="pct"/>
          </w:tcPr>
          <w:p w14:paraId="5DACDB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Cognitive and meta-cognitive strategies </w:t>
            </w:r>
          </w:p>
        </w:tc>
        <w:tc>
          <w:tcPr>
            <w:tcW w:w="378" w:type="pct"/>
          </w:tcPr>
          <w:p w14:paraId="4B7CEEC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MB across participants</w:t>
            </w:r>
          </w:p>
          <w:p w14:paraId="12E13B8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65B5B82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98</w:t>
            </w:r>
          </w:p>
        </w:tc>
        <w:tc>
          <w:tcPr>
            <w:tcW w:w="366" w:type="pct"/>
          </w:tcPr>
          <w:p w14:paraId="0767AC8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2F51AB0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6B1A0C8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61601FC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3FAF720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0.43</w:t>
            </w:r>
          </w:p>
        </w:tc>
      </w:tr>
      <w:tr w14:paraId="5639B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384" w:type="pct"/>
          </w:tcPr>
          <w:p w14:paraId="6F8AA32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Jimenez et al. (2014)</w:t>
            </w:r>
          </w:p>
        </w:tc>
        <w:tc>
          <w:tcPr>
            <w:tcW w:w="385" w:type="pct"/>
          </w:tcPr>
          <w:p w14:paraId="34A244A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5030456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 years;</w:t>
            </w:r>
          </w:p>
          <w:p w14:paraId="66E2997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1E26546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3F80DC0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4D85752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times a week; 45 min; 65 times</w:t>
            </w:r>
          </w:p>
        </w:tc>
        <w:tc>
          <w:tcPr>
            <w:tcW w:w="343" w:type="pct"/>
          </w:tcPr>
          <w:p w14:paraId="13ECEC2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032C85D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content</w:t>
            </w:r>
          </w:p>
        </w:tc>
        <w:tc>
          <w:tcPr>
            <w:tcW w:w="549" w:type="pct"/>
          </w:tcPr>
          <w:p w14:paraId="5E172B4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Embedded systematic instruction</w:t>
            </w:r>
          </w:p>
        </w:tc>
        <w:tc>
          <w:tcPr>
            <w:tcW w:w="378" w:type="pct"/>
          </w:tcPr>
          <w:p w14:paraId="39E3EFA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786EA91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units</w:t>
            </w:r>
          </w:p>
          <w:p w14:paraId="485AEBF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A-B-A-B</w:t>
            </w:r>
          </w:p>
        </w:tc>
        <w:tc>
          <w:tcPr>
            <w:tcW w:w="262" w:type="pct"/>
          </w:tcPr>
          <w:p w14:paraId="631B5D8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2BE045C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55E2E56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7C8753A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0.80;</w:t>
            </w:r>
          </w:p>
          <w:p w14:paraId="6EA1AA4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4B0D3F1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0.92</w:t>
            </w:r>
          </w:p>
        </w:tc>
      </w:tr>
      <w:tr w14:paraId="32616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4" w:type="pct"/>
          </w:tcPr>
          <w:p w14:paraId="7F17B34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Weng and Bouck (2014)</w:t>
            </w:r>
          </w:p>
        </w:tc>
        <w:tc>
          <w:tcPr>
            <w:tcW w:w="385" w:type="pct"/>
          </w:tcPr>
          <w:p w14:paraId="4B46BD6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73DC30C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15–17 years;</w:t>
            </w:r>
          </w:p>
          <w:p w14:paraId="6148AD9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3C377B0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37769B5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5C3271D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1645E3A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21 times</w:t>
            </w:r>
          </w:p>
        </w:tc>
        <w:tc>
          <w:tcPr>
            <w:tcW w:w="343" w:type="pct"/>
          </w:tcPr>
          <w:p w14:paraId="123C41E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2CB8535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Price comparison</w:t>
            </w:r>
          </w:p>
        </w:tc>
        <w:tc>
          <w:tcPr>
            <w:tcW w:w="549" w:type="pct"/>
          </w:tcPr>
          <w:p w14:paraId="366315F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VP</w:t>
            </w:r>
          </w:p>
        </w:tc>
        <w:tc>
          <w:tcPr>
            <w:tcW w:w="378" w:type="pct"/>
          </w:tcPr>
          <w:p w14:paraId="124D7B6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MB across participants</w:t>
            </w:r>
          </w:p>
          <w:p w14:paraId="4183980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706CF3B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97</w:t>
            </w:r>
          </w:p>
        </w:tc>
        <w:tc>
          <w:tcPr>
            <w:tcW w:w="366" w:type="pct"/>
          </w:tcPr>
          <w:p w14:paraId="1ECE171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6358609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w:t>
            </w:r>
          </w:p>
        </w:tc>
        <w:tc>
          <w:tcPr>
            <w:tcW w:w="579" w:type="pct"/>
          </w:tcPr>
          <w:p w14:paraId="507F34A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0.41;</w:t>
            </w:r>
          </w:p>
          <w:p w14:paraId="3B14182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0.70;</w:t>
            </w:r>
          </w:p>
          <w:p w14:paraId="0CEE709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692A6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384" w:type="pct"/>
          </w:tcPr>
          <w:p w14:paraId="5EE9446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Knight et al. (2015) </w:t>
            </w:r>
          </w:p>
        </w:tc>
        <w:tc>
          <w:tcPr>
            <w:tcW w:w="385" w:type="pct"/>
          </w:tcPr>
          <w:p w14:paraId="35F2EAA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 1 F;</w:t>
            </w:r>
          </w:p>
          <w:p w14:paraId="432004F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11–14 years;</w:t>
            </w:r>
          </w:p>
          <w:p w14:paraId="3E6A855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1789404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0772D09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5AB7DAB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Once a week;</w:t>
            </w:r>
          </w:p>
          <w:p w14:paraId="5A4E4D0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20–30 min;</w:t>
            </w:r>
          </w:p>
          <w:p w14:paraId="08ED3E3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 times</w:t>
            </w:r>
          </w:p>
        </w:tc>
        <w:tc>
          <w:tcPr>
            <w:tcW w:w="343" w:type="pct"/>
          </w:tcPr>
          <w:p w14:paraId="10787A7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78FE900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Science </w:t>
            </w:r>
          </w:p>
          <w:p w14:paraId="58E7445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vocabulary</w:t>
            </w:r>
          </w:p>
          <w:p w14:paraId="3B368112">
            <w:pPr>
              <w:widowControl w:val="0"/>
              <w:spacing w:after="0" w:line="240" w:lineRule="auto"/>
              <w:jc w:val="left"/>
              <w:rPr>
                <w:rFonts w:ascii="Times New Roman" w:hAnsi="Times New Roman" w:eastAsia="宋体" w:cs="Times New Roman"/>
                <w:kern w:val="0"/>
                <w:sz w:val="18"/>
                <w:szCs w:val="18"/>
                <w:lang w:eastAsia="zh-CN"/>
                <w14:ligatures w14:val="none"/>
              </w:rPr>
            </w:pPr>
          </w:p>
        </w:tc>
        <w:tc>
          <w:tcPr>
            <w:tcW w:w="549" w:type="pct"/>
          </w:tcPr>
          <w:p w14:paraId="35026ED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CAI</w:t>
            </w:r>
          </w:p>
        </w:tc>
        <w:tc>
          <w:tcPr>
            <w:tcW w:w="378" w:type="pct"/>
          </w:tcPr>
          <w:p w14:paraId="3963567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32F9190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1942F14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382FC7D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1C11D3F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335" w:type="pct"/>
          </w:tcPr>
          <w:p w14:paraId="72FDEDF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12A010C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0.61;</w:t>
            </w:r>
          </w:p>
          <w:p w14:paraId="21AF69B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1788F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7AE08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384" w:type="pct"/>
          </w:tcPr>
          <w:p w14:paraId="19FCF1B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Miller et al. (2015)</w:t>
            </w:r>
          </w:p>
        </w:tc>
        <w:tc>
          <w:tcPr>
            <w:tcW w:w="385" w:type="pct"/>
          </w:tcPr>
          <w:p w14:paraId="17D28B3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F, 1 M;</w:t>
            </w:r>
          </w:p>
          <w:p w14:paraId="0332C51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14–19 years;</w:t>
            </w:r>
          </w:p>
          <w:p w14:paraId="4DC011F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5C7D3DC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4BB86D2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7D40A49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times a week;</w:t>
            </w:r>
          </w:p>
          <w:p w14:paraId="33F842B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20 min; </w:t>
            </w:r>
          </w:p>
          <w:p w14:paraId="5624A0D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30 times</w:t>
            </w:r>
          </w:p>
        </w:tc>
        <w:tc>
          <w:tcPr>
            <w:tcW w:w="343" w:type="pct"/>
          </w:tcPr>
          <w:p w14:paraId="563AB4E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253A5A6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Inquiry, problem-solving, and self-determination skills</w:t>
            </w:r>
          </w:p>
        </w:tc>
        <w:tc>
          <w:tcPr>
            <w:tcW w:w="549" w:type="pct"/>
          </w:tcPr>
          <w:p w14:paraId="4AAC125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Self-monitoring checklist</w:t>
            </w:r>
          </w:p>
        </w:tc>
        <w:tc>
          <w:tcPr>
            <w:tcW w:w="378" w:type="pct"/>
          </w:tcPr>
          <w:p w14:paraId="464962E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0864586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0CA0B73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0CA0C71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93.6</w:t>
            </w:r>
          </w:p>
        </w:tc>
        <w:tc>
          <w:tcPr>
            <w:tcW w:w="366" w:type="pct"/>
          </w:tcPr>
          <w:p w14:paraId="0F02939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70E5310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2397526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0.96;</w:t>
            </w:r>
          </w:p>
          <w:p w14:paraId="7F4035E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0.99;</w:t>
            </w:r>
          </w:p>
          <w:p w14:paraId="5D615AA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3F95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384" w:type="pct"/>
          </w:tcPr>
          <w:p w14:paraId="124EB4E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Heinrich et al. (2016)</w:t>
            </w:r>
          </w:p>
        </w:tc>
        <w:tc>
          <w:tcPr>
            <w:tcW w:w="385" w:type="pct"/>
          </w:tcPr>
          <w:p w14:paraId="707F6DB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63A0F73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16–17 years;</w:t>
            </w:r>
          </w:p>
          <w:p w14:paraId="3139155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75F5211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Inclusive classroom;</w:t>
            </w:r>
          </w:p>
          <w:p w14:paraId="58046CA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 and general teacher</w:t>
            </w:r>
          </w:p>
        </w:tc>
        <w:tc>
          <w:tcPr>
            <w:tcW w:w="348" w:type="pct"/>
          </w:tcPr>
          <w:p w14:paraId="3CC99DD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5 times a week;</w:t>
            </w:r>
          </w:p>
          <w:p w14:paraId="1DB8D9A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45 min;</w:t>
            </w:r>
          </w:p>
          <w:p w14:paraId="5783D83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28 times</w:t>
            </w:r>
          </w:p>
        </w:tc>
        <w:tc>
          <w:tcPr>
            <w:tcW w:w="343" w:type="pct"/>
          </w:tcPr>
          <w:p w14:paraId="780B181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Technology, Math</w:t>
            </w:r>
          </w:p>
        </w:tc>
        <w:tc>
          <w:tcPr>
            <w:tcW w:w="549" w:type="pct"/>
          </w:tcPr>
          <w:p w14:paraId="5CA8F1B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STEM content</w:t>
            </w:r>
          </w:p>
        </w:tc>
        <w:tc>
          <w:tcPr>
            <w:tcW w:w="549" w:type="pct"/>
          </w:tcPr>
          <w:p w14:paraId="584DE9F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w:t>
            </w:r>
          </w:p>
        </w:tc>
        <w:tc>
          <w:tcPr>
            <w:tcW w:w="378" w:type="pct"/>
          </w:tcPr>
          <w:p w14:paraId="4014DB6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7B31ED3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4567097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1CE1E43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20FD7D6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7C0CDA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7A9F705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0.88;</w:t>
            </w:r>
          </w:p>
          <w:p w14:paraId="51A4A0A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33B4F12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2061C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4" w:type="pct"/>
          </w:tcPr>
          <w:p w14:paraId="58FF85C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Yakubova et al. (2016)</w:t>
            </w:r>
          </w:p>
        </w:tc>
        <w:tc>
          <w:tcPr>
            <w:tcW w:w="385" w:type="pct"/>
          </w:tcPr>
          <w:p w14:paraId="5DBB196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F, 1 M;</w:t>
            </w:r>
          </w:p>
          <w:p w14:paraId="6DCB3C0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5–6 years;</w:t>
            </w:r>
          </w:p>
          <w:p w14:paraId="28CB5CD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1CB5A53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7F8FBAD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47FED89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times a week;</w:t>
            </w:r>
          </w:p>
          <w:p w14:paraId="16C7EBA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30 min;</w:t>
            </w:r>
          </w:p>
          <w:p w14:paraId="0EA8347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21 times</w:t>
            </w:r>
          </w:p>
        </w:tc>
        <w:tc>
          <w:tcPr>
            <w:tcW w:w="343" w:type="pct"/>
          </w:tcPr>
          <w:p w14:paraId="65F2A2E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2860960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Addition, subtraction,</w:t>
            </w:r>
          </w:p>
          <w:p w14:paraId="1C67FB5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number comparison skills</w:t>
            </w:r>
          </w:p>
        </w:tc>
        <w:tc>
          <w:tcPr>
            <w:tcW w:w="549" w:type="pct"/>
          </w:tcPr>
          <w:p w14:paraId="5C21CA9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VM</w:t>
            </w:r>
          </w:p>
        </w:tc>
        <w:tc>
          <w:tcPr>
            <w:tcW w:w="378" w:type="pct"/>
          </w:tcPr>
          <w:p w14:paraId="1765CD1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377A853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7256355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704A70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72DA1D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4A1A15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37B6F57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0.97;</w:t>
            </w:r>
          </w:p>
          <w:p w14:paraId="00F2FFC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054AC48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0.78</w:t>
            </w:r>
          </w:p>
        </w:tc>
      </w:tr>
      <w:tr w14:paraId="41820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384" w:type="pct"/>
          </w:tcPr>
          <w:p w14:paraId="62E69A5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Carnahan et al. (2016)</w:t>
            </w:r>
          </w:p>
        </w:tc>
        <w:tc>
          <w:tcPr>
            <w:tcW w:w="385" w:type="pct"/>
          </w:tcPr>
          <w:p w14:paraId="43BBCE4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16E5C46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15–16 years;</w:t>
            </w:r>
          </w:p>
          <w:p w14:paraId="07AC5CE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7A74568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5C27EEE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w:t>
            </w:r>
          </w:p>
        </w:tc>
        <w:tc>
          <w:tcPr>
            <w:tcW w:w="348" w:type="pct"/>
          </w:tcPr>
          <w:p w14:paraId="0305E66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1463900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15 times</w:t>
            </w:r>
          </w:p>
        </w:tc>
        <w:tc>
          <w:tcPr>
            <w:tcW w:w="343" w:type="pct"/>
          </w:tcPr>
          <w:p w14:paraId="4A99E56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0D03082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Comprehension of </w:t>
            </w:r>
          </w:p>
          <w:p w14:paraId="485D52B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text</w:t>
            </w:r>
          </w:p>
        </w:tc>
        <w:tc>
          <w:tcPr>
            <w:tcW w:w="549" w:type="pct"/>
          </w:tcPr>
          <w:p w14:paraId="3F3AB19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Text </w:t>
            </w:r>
          </w:p>
          <w:p w14:paraId="49BC8EE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structure guide</w:t>
            </w:r>
          </w:p>
        </w:tc>
        <w:tc>
          <w:tcPr>
            <w:tcW w:w="378" w:type="pct"/>
          </w:tcPr>
          <w:p w14:paraId="61C4117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39DE9CE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2C363D3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37D7EF2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71FF7D0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716C035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57C8978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456A63D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1D863A9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09C11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356274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Kellems et al. (2016)</w:t>
            </w:r>
          </w:p>
        </w:tc>
        <w:tc>
          <w:tcPr>
            <w:tcW w:w="385" w:type="pct"/>
          </w:tcPr>
          <w:p w14:paraId="1D2B636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 5F;</w:t>
            </w:r>
          </w:p>
          <w:p w14:paraId="2491946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19–21 years;</w:t>
            </w:r>
          </w:p>
          <w:p w14:paraId="7FF7046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 ASD</w:t>
            </w:r>
            <w:r>
              <w:rPr>
                <w:rFonts w:hint="eastAsia" w:ascii="Times New Roman" w:hAnsi="Times New Roman" w:eastAsia="宋体" w:cs="Times New Roman"/>
                <w:kern w:val="0"/>
                <w:sz w:val="18"/>
                <w:szCs w:val="18"/>
                <w:lang w:eastAsia="zh-CN"/>
                <w14:ligatures w14:val="none"/>
              </w:rPr>
              <w:t>-no ID</w:t>
            </w:r>
            <w:r>
              <w:rPr>
                <w:rFonts w:ascii="Times New Roman" w:hAnsi="Times New Roman" w:eastAsia="宋体" w:cs="Times New Roman"/>
                <w:kern w:val="0"/>
                <w:sz w:val="18"/>
                <w:szCs w:val="18"/>
                <w:lang w:eastAsia="zh-CN"/>
                <w14:ligatures w14:val="none"/>
              </w:rPr>
              <w:t>, LD</w:t>
            </w:r>
          </w:p>
        </w:tc>
        <w:tc>
          <w:tcPr>
            <w:tcW w:w="522" w:type="pct"/>
          </w:tcPr>
          <w:p w14:paraId="42713DE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Public school;</w:t>
            </w:r>
          </w:p>
          <w:p w14:paraId="0D60E09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589515F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A786A0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24 times</w:t>
            </w:r>
          </w:p>
        </w:tc>
        <w:tc>
          <w:tcPr>
            <w:tcW w:w="343" w:type="pct"/>
          </w:tcPr>
          <w:p w14:paraId="2888DC2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2572617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Multi-step math skills</w:t>
            </w:r>
          </w:p>
        </w:tc>
        <w:tc>
          <w:tcPr>
            <w:tcW w:w="549" w:type="pct"/>
          </w:tcPr>
          <w:p w14:paraId="3011ECE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VP</w:t>
            </w:r>
          </w:p>
        </w:tc>
        <w:tc>
          <w:tcPr>
            <w:tcW w:w="378" w:type="pct"/>
          </w:tcPr>
          <w:p w14:paraId="3AB9DEC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MP across behaviours</w:t>
            </w:r>
          </w:p>
          <w:p w14:paraId="07A4BDC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56125A2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97.8</w:t>
            </w:r>
          </w:p>
        </w:tc>
        <w:tc>
          <w:tcPr>
            <w:tcW w:w="366" w:type="pct"/>
          </w:tcPr>
          <w:p w14:paraId="191A887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29F199A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349FF7B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0.97;</w:t>
            </w:r>
          </w:p>
          <w:p w14:paraId="77EE870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14BF4B8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3F9A3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84" w:type="pct"/>
          </w:tcPr>
          <w:p w14:paraId="4EFCC70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Kasap et al. (2017)</w:t>
            </w:r>
          </w:p>
        </w:tc>
        <w:tc>
          <w:tcPr>
            <w:tcW w:w="385" w:type="pct"/>
          </w:tcPr>
          <w:p w14:paraId="526C3A3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F;</w:t>
            </w:r>
          </w:p>
          <w:p w14:paraId="1D027F0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9–14 years;</w:t>
            </w:r>
          </w:p>
          <w:p w14:paraId="03CF7BE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49D1BA7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0DEA534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71887BB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 times a week;</w:t>
            </w:r>
          </w:p>
          <w:p w14:paraId="1BFE0D0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52 min;</w:t>
            </w:r>
          </w:p>
          <w:p w14:paraId="7C472D7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32 times</w:t>
            </w:r>
          </w:p>
        </w:tc>
        <w:tc>
          <w:tcPr>
            <w:tcW w:w="343" w:type="pct"/>
          </w:tcPr>
          <w:p w14:paraId="51A74F1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1A914BA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Verbal math problem-solving skills</w:t>
            </w:r>
          </w:p>
        </w:tc>
        <w:tc>
          <w:tcPr>
            <w:tcW w:w="549" w:type="pct"/>
          </w:tcPr>
          <w:p w14:paraId="5310A8B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Schema approach</w:t>
            </w:r>
          </w:p>
        </w:tc>
        <w:tc>
          <w:tcPr>
            <w:tcW w:w="378" w:type="pct"/>
          </w:tcPr>
          <w:p w14:paraId="4124C31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3A5DA1C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35130C6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36CFBA7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85.7–100</w:t>
            </w:r>
          </w:p>
        </w:tc>
        <w:tc>
          <w:tcPr>
            <w:tcW w:w="366" w:type="pct"/>
          </w:tcPr>
          <w:p w14:paraId="5A31220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335" w:type="pct"/>
          </w:tcPr>
          <w:p w14:paraId="29F416C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1419AF4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3865DD0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36DC61A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07255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384" w:type="pct"/>
          </w:tcPr>
          <w:p w14:paraId="1A4C431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Collins et al. (2017)</w:t>
            </w:r>
          </w:p>
        </w:tc>
        <w:tc>
          <w:tcPr>
            <w:tcW w:w="385" w:type="pct"/>
          </w:tcPr>
          <w:p w14:paraId="7AB56BB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2 F;</w:t>
            </w:r>
          </w:p>
          <w:p w14:paraId="1CF2407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16–19 years;</w:t>
            </w:r>
          </w:p>
          <w:p w14:paraId="149F1DB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3744008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Greenhouse;</w:t>
            </w:r>
          </w:p>
          <w:p w14:paraId="46D5D97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1505A06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Once a day;</w:t>
            </w:r>
          </w:p>
          <w:p w14:paraId="13E82D6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19 times</w:t>
            </w:r>
          </w:p>
        </w:tc>
        <w:tc>
          <w:tcPr>
            <w:tcW w:w="343" w:type="pct"/>
          </w:tcPr>
          <w:p w14:paraId="4D23481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5D90D17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Core content</w:t>
            </w:r>
          </w:p>
        </w:tc>
        <w:tc>
          <w:tcPr>
            <w:tcW w:w="549" w:type="pct"/>
          </w:tcPr>
          <w:p w14:paraId="17C00CB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w:t>
            </w:r>
          </w:p>
        </w:tc>
        <w:tc>
          <w:tcPr>
            <w:tcW w:w="378" w:type="pct"/>
          </w:tcPr>
          <w:p w14:paraId="3DB547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6E89182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1C71041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36B5969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6F5E918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1A01686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430FA74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0.86;</w:t>
            </w:r>
          </w:p>
          <w:p w14:paraId="4A909FB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294CECC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10C3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384" w:type="pct"/>
          </w:tcPr>
          <w:p w14:paraId="3EA7344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Root et al. (2017)</w:t>
            </w:r>
          </w:p>
        </w:tc>
        <w:tc>
          <w:tcPr>
            <w:tcW w:w="385" w:type="pct"/>
          </w:tcPr>
          <w:p w14:paraId="2F8EA1C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0DE20CE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14 years;</w:t>
            </w:r>
          </w:p>
          <w:p w14:paraId="341645E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5583662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w:t>
            </w:r>
          </w:p>
          <w:p w14:paraId="2CF401A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27F1133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3–4 times a week;</w:t>
            </w:r>
          </w:p>
          <w:p w14:paraId="667A850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10–15 min;</w:t>
            </w:r>
          </w:p>
          <w:p w14:paraId="054F821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31 times</w:t>
            </w:r>
          </w:p>
        </w:tc>
        <w:tc>
          <w:tcPr>
            <w:tcW w:w="343" w:type="pct"/>
          </w:tcPr>
          <w:p w14:paraId="563F816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5D552C3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Finance math problem-solving</w:t>
            </w:r>
          </w:p>
        </w:tc>
        <w:tc>
          <w:tcPr>
            <w:tcW w:w="549" w:type="pct"/>
          </w:tcPr>
          <w:p w14:paraId="278DBF8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MSBI</w:t>
            </w:r>
          </w:p>
        </w:tc>
        <w:tc>
          <w:tcPr>
            <w:tcW w:w="378" w:type="pct"/>
          </w:tcPr>
          <w:p w14:paraId="03F9627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1142CFC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4B293A9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07B9890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73CA80A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AB729F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1FD2B12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70E290E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3EDF1F6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3E58C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3B966CA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Bouck et al. (2017)</w:t>
            </w:r>
          </w:p>
        </w:tc>
        <w:tc>
          <w:tcPr>
            <w:tcW w:w="385" w:type="pct"/>
          </w:tcPr>
          <w:p w14:paraId="14D2DE2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 1 F;</w:t>
            </w:r>
          </w:p>
          <w:p w14:paraId="78A1E47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13–14 years;</w:t>
            </w:r>
          </w:p>
          <w:p w14:paraId="75C7C3E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0BB3B18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07ADCFC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w:t>
            </w:r>
          </w:p>
        </w:tc>
        <w:tc>
          <w:tcPr>
            <w:tcW w:w="348" w:type="pct"/>
          </w:tcPr>
          <w:p w14:paraId="3208A8F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1–2 times a week;</w:t>
            </w:r>
          </w:p>
          <w:p w14:paraId="1146AA8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10–15 min; 18 times</w:t>
            </w:r>
          </w:p>
        </w:tc>
        <w:tc>
          <w:tcPr>
            <w:tcW w:w="343" w:type="pct"/>
          </w:tcPr>
          <w:p w14:paraId="5F08C99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6F2BA4A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Addition of fractions</w:t>
            </w:r>
          </w:p>
        </w:tc>
        <w:tc>
          <w:tcPr>
            <w:tcW w:w="549" w:type="pct"/>
          </w:tcPr>
          <w:p w14:paraId="7858E7A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VA</w:t>
            </w:r>
          </w:p>
        </w:tc>
        <w:tc>
          <w:tcPr>
            <w:tcW w:w="378" w:type="pct"/>
          </w:tcPr>
          <w:p w14:paraId="05BC8A2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2D0BC2F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374379A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329F32D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206F4CC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68E08DB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09A953C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0.94;</w:t>
            </w:r>
          </w:p>
          <w:p w14:paraId="4000299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148BBC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563E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6E26754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Saunders et al. (2018)</w:t>
            </w:r>
          </w:p>
        </w:tc>
        <w:tc>
          <w:tcPr>
            <w:tcW w:w="385" w:type="pct"/>
          </w:tcPr>
          <w:p w14:paraId="546D334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7C54FD9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13–14 years;</w:t>
            </w:r>
          </w:p>
          <w:p w14:paraId="639158A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5A03E85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w:t>
            </w:r>
          </w:p>
          <w:p w14:paraId="62F56FB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7CCB30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3–4 times a week;</w:t>
            </w:r>
          </w:p>
          <w:p w14:paraId="1A07A5C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42 times</w:t>
            </w:r>
          </w:p>
        </w:tc>
        <w:tc>
          <w:tcPr>
            <w:tcW w:w="343" w:type="pct"/>
          </w:tcPr>
          <w:p w14:paraId="326F8D8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7C960DE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 problem solving</w:t>
            </w:r>
          </w:p>
        </w:tc>
        <w:tc>
          <w:tcPr>
            <w:tcW w:w="549" w:type="pct"/>
          </w:tcPr>
          <w:p w14:paraId="23A0FD5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VP</w:t>
            </w:r>
          </w:p>
        </w:tc>
        <w:tc>
          <w:tcPr>
            <w:tcW w:w="378" w:type="pct"/>
          </w:tcPr>
          <w:p w14:paraId="7222B32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3840289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106172D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057F30A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98.9</w:t>
            </w:r>
          </w:p>
        </w:tc>
        <w:tc>
          <w:tcPr>
            <w:tcW w:w="366" w:type="pct"/>
          </w:tcPr>
          <w:p w14:paraId="7B79E68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0E8ED3C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185EDB8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0A195F6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0A6EC31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35F0B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331B2A8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Taylor (2018)</w:t>
            </w:r>
          </w:p>
        </w:tc>
        <w:tc>
          <w:tcPr>
            <w:tcW w:w="385" w:type="pct"/>
          </w:tcPr>
          <w:p w14:paraId="343BC4C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 M, 1 F;</w:t>
            </w:r>
          </w:p>
          <w:p w14:paraId="73F9D00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5–7 years;</w:t>
            </w:r>
          </w:p>
          <w:p w14:paraId="51AF6BE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51CC177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School or home;</w:t>
            </w:r>
          </w:p>
          <w:p w14:paraId="1DAD558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1DB6C3F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078946E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26 times</w:t>
            </w:r>
          </w:p>
        </w:tc>
        <w:tc>
          <w:tcPr>
            <w:tcW w:w="343" w:type="pct"/>
          </w:tcPr>
          <w:p w14:paraId="3871FA2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Technology</w:t>
            </w:r>
          </w:p>
        </w:tc>
        <w:tc>
          <w:tcPr>
            <w:tcW w:w="549" w:type="pct"/>
          </w:tcPr>
          <w:p w14:paraId="0795F1F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Computer programming</w:t>
            </w:r>
          </w:p>
        </w:tc>
        <w:tc>
          <w:tcPr>
            <w:tcW w:w="549" w:type="pct"/>
          </w:tcPr>
          <w:p w14:paraId="1E70AE7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Explicit </w:t>
            </w:r>
          </w:p>
          <w:p w14:paraId="63E17F8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instruction </w:t>
            </w:r>
          </w:p>
        </w:tc>
        <w:tc>
          <w:tcPr>
            <w:tcW w:w="378" w:type="pct"/>
          </w:tcPr>
          <w:p w14:paraId="5CE6C47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Changing criterion design</w:t>
            </w:r>
          </w:p>
        </w:tc>
        <w:tc>
          <w:tcPr>
            <w:tcW w:w="262" w:type="pct"/>
          </w:tcPr>
          <w:p w14:paraId="1C0B382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97.14</w:t>
            </w:r>
          </w:p>
        </w:tc>
        <w:tc>
          <w:tcPr>
            <w:tcW w:w="366" w:type="pct"/>
          </w:tcPr>
          <w:p w14:paraId="7576423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54D69F6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48AE1C7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5A85F5B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0.5;</w:t>
            </w:r>
          </w:p>
          <w:p w14:paraId="60303F1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5AA3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6E50964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McKissick et al. (2018)</w:t>
            </w:r>
          </w:p>
        </w:tc>
        <w:tc>
          <w:tcPr>
            <w:tcW w:w="385" w:type="pct"/>
          </w:tcPr>
          <w:p w14:paraId="24A239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7E93FC3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13–14 years;</w:t>
            </w:r>
          </w:p>
          <w:p w14:paraId="0E3F33F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 xml:space="preserve"> ID</w:t>
            </w:r>
          </w:p>
        </w:tc>
        <w:tc>
          <w:tcPr>
            <w:tcW w:w="522" w:type="pct"/>
          </w:tcPr>
          <w:p w14:paraId="29B8E23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 special education teacher</w:t>
            </w:r>
          </w:p>
        </w:tc>
        <w:tc>
          <w:tcPr>
            <w:tcW w:w="348" w:type="pct"/>
          </w:tcPr>
          <w:p w14:paraId="34CA67B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times a day;</w:t>
            </w:r>
          </w:p>
          <w:p w14:paraId="53FA93C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12–17min;</w:t>
            </w:r>
          </w:p>
          <w:p w14:paraId="4F0321A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28 times</w:t>
            </w:r>
          </w:p>
        </w:tc>
        <w:tc>
          <w:tcPr>
            <w:tcW w:w="343" w:type="pct"/>
          </w:tcPr>
          <w:p w14:paraId="462E51D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7A0686F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vocabulary</w:t>
            </w:r>
          </w:p>
        </w:tc>
        <w:tc>
          <w:tcPr>
            <w:tcW w:w="549" w:type="pct"/>
          </w:tcPr>
          <w:p w14:paraId="67746DB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CAI</w:t>
            </w:r>
          </w:p>
        </w:tc>
        <w:tc>
          <w:tcPr>
            <w:tcW w:w="378" w:type="pct"/>
          </w:tcPr>
          <w:p w14:paraId="78A3254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25D92BE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1775BEA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1B1F7A3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21A135C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4098CEF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4147972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0.69;</w:t>
            </w:r>
          </w:p>
          <w:p w14:paraId="727E24A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C502B8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78468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4F38022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Root et al. (2018)</w:t>
            </w:r>
          </w:p>
        </w:tc>
        <w:tc>
          <w:tcPr>
            <w:tcW w:w="385" w:type="pct"/>
          </w:tcPr>
          <w:p w14:paraId="32B69C1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228EA14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13–18 years;</w:t>
            </w:r>
          </w:p>
          <w:p w14:paraId="54CDFDD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7D9084F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 special education teacher</w:t>
            </w:r>
          </w:p>
        </w:tc>
        <w:tc>
          <w:tcPr>
            <w:tcW w:w="348" w:type="pct"/>
          </w:tcPr>
          <w:p w14:paraId="2C49B95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2359297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31 times</w:t>
            </w:r>
          </w:p>
        </w:tc>
        <w:tc>
          <w:tcPr>
            <w:tcW w:w="343" w:type="pct"/>
          </w:tcPr>
          <w:p w14:paraId="2E9947D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496531F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Finance math problem-solving</w:t>
            </w:r>
          </w:p>
        </w:tc>
        <w:tc>
          <w:tcPr>
            <w:tcW w:w="549" w:type="pct"/>
          </w:tcPr>
          <w:p w14:paraId="4A3A68B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MSBI</w:t>
            </w:r>
          </w:p>
        </w:tc>
        <w:tc>
          <w:tcPr>
            <w:tcW w:w="378" w:type="pct"/>
          </w:tcPr>
          <w:p w14:paraId="3DCFC66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66FAAD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39E33E3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5DD6D08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150B5B6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6FBE88B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7B9079F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70A4320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0.58;</w:t>
            </w:r>
          </w:p>
          <w:p w14:paraId="6620180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4B288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4448D48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Root et al. (2019)</w:t>
            </w:r>
          </w:p>
        </w:tc>
        <w:tc>
          <w:tcPr>
            <w:tcW w:w="385" w:type="pct"/>
          </w:tcPr>
          <w:p w14:paraId="390E7C1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7BBB3C8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10–11 years;</w:t>
            </w:r>
          </w:p>
          <w:p w14:paraId="590E978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r>
              <w:rPr>
                <w:rFonts w:ascii="Times New Roman" w:hAnsi="Times New Roman" w:eastAsia="宋体" w:cs="Times New Roman"/>
                <w:kern w:val="0"/>
                <w:sz w:val="18"/>
                <w:szCs w:val="18"/>
                <w:lang w:eastAsia="zh-CN"/>
                <w14:ligatures w14:val="none"/>
              </w:rPr>
              <w:t>, 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1FD9148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Summer camp;</w:t>
            </w:r>
          </w:p>
          <w:p w14:paraId="65F649A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3473684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 times a week;</w:t>
            </w:r>
          </w:p>
          <w:p w14:paraId="4A73330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15 min;</w:t>
            </w:r>
          </w:p>
          <w:p w14:paraId="4079238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15 times</w:t>
            </w:r>
          </w:p>
        </w:tc>
        <w:tc>
          <w:tcPr>
            <w:tcW w:w="343" w:type="pct"/>
          </w:tcPr>
          <w:p w14:paraId="0253D9C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65D6F0A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Data analysis problems</w:t>
            </w:r>
          </w:p>
        </w:tc>
        <w:tc>
          <w:tcPr>
            <w:tcW w:w="549" w:type="pct"/>
          </w:tcPr>
          <w:p w14:paraId="01DA069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MSBI</w:t>
            </w:r>
          </w:p>
        </w:tc>
        <w:tc>
          <w:tcPr>
            <w:tcW w:w="378" w:type="pct"/>
          </w:tcPr>
          <w:p w14:paraId="243B9EE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1E4AF74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3CFD51F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5D3E04C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2F4B6D1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7BA5CB4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227513A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0.96;</w:t>
            </w:r>
          </w:p>
          <w:p w14:paraId="0080B17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0.44;</w:t>
            </w:r>
          </w:p>
          <w:p w14:paraId="6423C42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2C5CD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6D59D5A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Orihuela et al. (2019)</w:t>
            </w:r>
          </w:p>
        </w:tc>
        <w:tc>
          <w:tcPr>
            <w:tcW w:w="385" w:type="pct"/>
          </w:tcPr>
          <w:p w14:paraId="2A65C80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 M, 1 F;</w:t>
            </w:r>
          </w:p>
          <w:p w14:paraId="1DB85BB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9–12 years;</w:t>
            </w:r>
          </w:p>
          <w:p w14:paraId="44A234E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w:t>
            </w:r>
          </w:p>
        </w:tc>
        <w:tc>
          <w:tcPr>
            <w:tcW w:w="522" w:type="pct"/>
          </w:tcPr>
          <w:p w14:paraId="1DD50E3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118FFF1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w:t>
            </w:r>
          </w:p>
        </w:tc>
        <w:tc>
          <w:tcPr>
            <w:tcW w:w="348" w:type="pct"/>
          </w:tcPr>
          <w:p w14:paraId="5C3A19C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times a day;</w:t>
            </w:r>
          </w:p>
          <w:p w14:paraId="3BFAD96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 min;</w:t>
            </w:r>
          </w:p>
          <w:p w14:paraId="2172370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28 times</w:t>
            </w:r>
          </w:p>
        </w:tc>
        <w:tc>
          <w:tcPr>
            <w:tcW w:w="343" w:type="pct"/>
          </w:tcPr>
          <w:p w14:paraId="35B5EAC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1EFB8E1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Identify geometric shapes</w:t>
            </w:r>
          </w:p>
        </w:tc>
        <w:tc>
          <w:tcPr>
            <w:tcW w:w="549" w:type="pct"/>
          </w:tcPr>
          <w:p w14:paraId="3387912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CTD</w:t>
            </w:r>
          </w:p>
        </w:tc>
        <w:tc>
          <w:tcPr>
            <w:tcW w:w="378" w:type="pct"/>
          </w:tcPr>
          <w:p w14:paraId="72D85BD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7148E6D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14CC400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7AC17E3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6C1337B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84CD1D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761A78F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0.79;</w:t>
            </w:r>
          </w:p>
          <w:p w14:paraId="709FC2D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3C01CE8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09215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84" w:type="pct"/>
          </w:tcPr>
          <w:p w14:paraId="01614C2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Knight et al. (2019)</w:t>
            </w:r>
          </w:p>
        </w:tc>
        <w:tc>
          <w:tcPr>
            <w:tcW w:w="385" w:type="pct"/>
          </w:tcPr>
          <w:p w14:paraId="0CB370A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5AF478A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15–18 years;</w:t>
            </w:r>
          </w:p>
          <w:p w14:paraId="6FC56B6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03B74B8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Common area;</w:t>
            </w:r>
          </w:p>
          <w:p w14:paraId="29D8671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6DF86F7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ED82CD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2–5 min;</w:t>
            </w:r>
          </w:p>
          <w:p w14:paraId="763C6E5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32 times</w:t>
            </w:r>
          </w:p>
        </w:tc>
        <w:tc>
          <w:tcPr>
            <w:tcW w:w="343" w:type="pct"/>
          </w:tcPr>
          <w:p w14:paraId="0762222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Technology</w:t>
            </w:r>
          </w:p>
        </w:tc>
        <w:tc>
          <w:tcPr>
            <w:tcW w:w="549" w:type="pct"/>
          </w:tcPr>
          <w:p w14:paraId="5AC3FEB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Coding skill</w:t>
            </w:r>
          </w:p>
        </w:tc>
        <w:tc>
          <w:tcPr>
            <w:tcW w:w="549" w:type="pct"/>
          </w:tcPr>
          <w:p w14:paraId="2C0F8B3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Explicit </w:t>
            </w:r>
          </w:p>
          <w:p w14:paraId="6B5BD96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instruction </w:t>
            </w:r>
          </w:p>
        </w:tc>
        <w:tc>
          <w:tcPr>
            <w:tcW w:w="378" w:type="pct"/>
          </w:tcPr>
          <w:p w14:paraId="3DB00E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2638565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5A53FCD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6317FD1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97.4</w:t>
            </w:r>
          </w:p>
        </w:tc>
        <w:tc>
          <w:tcPr>
            <w:tcW w:w="366" w:type="pct"/>
          </w:tcPr>
          <w:p w14:paraId="2A55BA5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5DA8B0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1C1442D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50550DE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A02D13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3BD68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5" w:hRule="atLeast"/>
        </w:trPr>
        <w:tc>
          <w:tcPr>
            <w:tcW w:w="384" w:type="pct"/>
          </w:tcPr>
          <w:p w14:paraId="5F61AC9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Cox and Root (2020)</w:t>
            </w:r>
          </w:p>
        </w:tc>
        <w:tc>
          <w:tcPr>
            <w:tcW w:w="385" w:type="pct"/>
          </w:tcPr>
          <w:p w14:paraId="41274CD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 M, 1 F;</w:t>
            </w:r>
          </w:p>
          <w:p w14:paraId="1BBC87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14 years;</w:t>
            </w:r>
          </w:p>
          <w:p w14:paraId="2AAB56E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0A31664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Home or library;</w:t>
            </w:r>
          </w:p>
          <w:p w14:paraId="242CCE5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65F59E3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2–3 times a week;</w:t>
            </w:r>
          </w:p>
          <w:p w14:paraId="1AC2F14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30 min;</w:t>
            </w:r>
          </w:p>
          <w:p w14:paraId="43AE259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17 times</w:t>
            </w:r>
          </w:p>
        </w:tc>
        <w:tc>
          <w:tcPr>
            <w:tcW w:w="343" w:type="pct"/>
          </w:tcPr>
          <w:p w14:paraId="0AE465E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7725044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Proportional word problems solving </w:t>
            </w:r>
          </w:p>
        </w:tc>
        <w:tc>
          <w:tcPr>
            <w:tcW w:w="549" w:type="pct"/>
          </w:tcPr>
          <w:p w14:paraId="622344E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MSBI</w:t>
            </w:r>
          </w:p>
        </w:tc>
        <w:tc>
          <w:tcPr>
            <w:tcW w:w="378" w:type="pct"/>
          </w:tcPr>
          <w:p w14:paraId="7E175C0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Reversal design</w:t>
            </w:r>
          </w:p>
          <w:p w14:paraId="6131AFD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A-B-A-B</w:t>
            </w:r>
          </w:p>
        </w:tc>
        <w:tc>
          <w:tcPr>
            <w:tcW w:w="262" w:type="pct"/>
          </w:tcPr>
          <w:p w14:paraId="4A3483E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95</w:t>
            </w:r>
          </w:p>
        </w:tc>
        <w:tc>
          <w:tcPr>
            <w:tcW w:w="366" w:type="pct"/>
          </w:tcPr>
          <w:p w14:paraId="5BB628B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7644B37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c>
          <w:tcPr>
            <w:tcW w:w="579" w:type="pct"/>
          </w:tcPr>
          <w:p w14:paraId="44A6DFC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50E3006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2F932A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6500D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384" w:type="pct"/>
          </w:tcPr>
          <w:p w14:paraId="314D9E6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Jackson and Hanline (2020)</w:t>
            </w:r>
          </w:p>
        </w:tc>
        <w:tc>
          <w:tcPr>
            <w:tcW w:w="385" w:type="pct"/>
          </w:tcPr>
          <w:p w14:paraId="09C316F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w:t>
            </w:r>
          </w:p>
          <w:p w14:paraId="1C5495A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5 years;</w:t>
            </w:r>
          </w:p>
          <w:p w14:paraId="73FE5A5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7FDDD08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Therapy centre or home;</w:t>
            </w:r>
          </w:p>
          <w:p w14:paraId="7B9548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290263B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4–5 times a week;</w:t>
            </w:r>
          </w:p>
          <w:p w14:paraId="5BB77B6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 min;</w:t>
            </w:r>
          </w:p>
          <w:p w14:paraId="2906132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27 times</w:t>
            </w:r>
          </w:p>
        </w:tc>
        <w:tc>
          <w:tcPr>
            <w:tcW w:w="343" w:type="pct"/>
          </w:tcPr>
          <w:p w14:paraId="6919BF3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1BC9B17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Comprehension of science </w:t>
            </w:r>
          </w:p>
          <w:p w14:paraId="23A91DA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texts</w:t>
            </w:r>
          </w:p>
        </w:tc>
        <w:tc>
          <w:tcPr>
            <w:tcW w:w="549" w:type="pct"/>
          </w:tcPr>
          <w:p w14:paraId="29E4900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RECALL and concept map </w:t>
            </w:r>
          </w:p>
        </w:tc>
        <w:tc>
          <w:tcPr>
            <w:tcW w:w="378" w:type="pct"/>
          </w:tcPr>
          <w:p w14:paraId="4077158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Reversal design</w:t>
            </w:r>
          </w:p>
          <w:p w14:paraId="33815E2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A-B-A-B</w:t>
            </w:r>
          </w:p>
        </w:tc>
        <w:tc>
          <w:tcPr>
            <w:tcW w:w="262" w:type="pct"/>
          </w:tcPr>
          <w:p w14:paraId="0505683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96.7</w:t>
            </w:r>
          </w:p>
        </w:tc>
        <w:tc>
          <w:tcPr>
            <w:tcW w:w="366" w:type="pct"/>
          </w:tcPr>
          <w:p w14:paraId="3B7BD75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19017B9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68EE951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0.98;</w:t>
            </w:r>
          </w:p>
          <w:p w14:paraId="23DB43C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2DC4767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7099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trPr>
        <w:tc>
          <w:tcPr>
            <w:tcW w:w="384" w:type="pct"/>
          </w:tcPr>
          <w:p w14:paraId="6CB7B24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Yakubova et al. (2020)</w:t>
            </w:r>
          </w:p>
        </w:tc>
        <w:tc>
          <w:tcPr>
            <w:tcW w:w="385" w:type="pct"/>
          </w:tcPr>
          <w:p w14:paraId="5E40035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58CC486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12–13 years;</w:t>
            </w:r>
          </w:p>
          <w:p w14:paraId="3002EC5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7B328E2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w:t>
            </w:r>
          </w:p>
          <w:p w14:paraId="5D84CE0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4AE1BF0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2–3 times a week;</w:t>
            </w:r>
          </w:p>
          <w:p w14:paraId="516A8ED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 times</w:t>
            </w:r>
          </w:p>
        </w:tc>
        <w:tc>
          <w:tcPr>
            <w:tcW w:w="343" w:type="pct"/>
          </w:tcPr>
          <w:p w14:paraId="7FF6AE6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358CF57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Fraction computations</w:t>
            </w:r>
          </w:p>
        </w:tc>
        <w:tc>
          <w:tcPr>
            <w:tcW w:w="549" w:type="pct"/>
          </w:tcPr>
          <w:p w14:paraId="7BB1A67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VM with others</w:t>
            </w:r>
          </w:p>
          <w:p w14:paraId="694C84C3">
            <w:pPr>
              <w:widowControl w:val="0"/>
              <w:spacing w:after="0" w:line="240" w:lineRule="auto"/>
              <w:jc w:val="left"/>
              <w:rPr>
                <w:rFonts w:ascii="Times New Roman" w:hAnsi="Times New Roman" w:eastAsia="宋体" w:cs="Times New Roman"/>
                <w:kern w:val="0"/>
                <w:sz w:val="18"/>
                <w:szCs w:val="18"/>
                <w:lang w:eastAsia="zh-CN"/>
                <w14:ligatures w14:val="none"/>
              </w:rPr>
            </w:pPr>
          </w:p>
        </w:tc>
        <w:tc>
          <w:tcPr>
            <w:tcW w:w="378" w:type="pct"/>
          </w:tcPr>
          <w:p w14:paraId="378E232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62E761B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619D6FF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6FDC5A0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737774F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48CF3C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515529E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4B34643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0.5;</w:t>
            </w:r>
          </w:p>
          <w:p w14:paraId="33F59D2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664BD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384" w:type="pct"/>
          </w:tcPr>
          <w:p w14:paraId="4ECA6AD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Greene and Bethune (2021)</w:t>
            </w:r>
          </w:p>
        </w:tc>
        <w:tc>
          <w:tcPr>
            <w:tcW w:w="385" w:type="pct"/>
          </w:tcPr>
          <w:p w14:paraId="46708C3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66BF43D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7–10 years;</w:t>
            </w:r>
          </w:p>
          <w:p w14:paraId="529960B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6121659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 special education teacher</w:t>
            </w:r>
          </w:p>
        </w:tc>
        <w:tc>
          <w:tcPr>
            <w:tcW w:w="348" w:type="pct"/>
          </w:tcPr>
          <w:p w14:paraId="5943226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 times a week;</w:t>
            </w:r>
          </w:p>
          <w:p w14:paraId="7F8BAD5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30–35min;</w:t>
            </w:r>
          </w:p>
          <w:p w14:paraId="2C86FB3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84 times</w:t>
            </w:r>
          </w:p>
        </w:tc>
        <w:tc>
          <w:tcPr>
            <w:tcW w:w="343" w:type="pct"/>
          </w:tcPr>
          <w:p w14:paraId="515F4D0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501A272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content</w:t>
            </w:r>
          </w:p>
        </w:tc>
        <w:tc>
          <w:tcPr>
            <w:tcW w:w="549" w:type="pct"/>
          </w:tcPr>
          <w:p w14:paraId="165C224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Systematic instruction</w:t>
            </w:r>
          </w:p>
        </w:tc>
        <w:tc>
          <w:tcPr>
            <w:tcW w:w="378" w:type="pct"/>
          </w:tcPr>
          <w:p w14:paraId="679C29A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MB across behaviours</w:t>
            </w:r>
          </w:p>
          <w:p w14:paraId="6CF7C5E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7870635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98.6</w:t>
            </w:r>
          </w:p>
        </w:tc>
        <w:tc>
          <w:tcPr>
            <w:tcW w:w="366" w:type="pct"/>
          </w:tcPr>
          <w:p w14:paraId="0AA00FC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98ABD1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1A849C6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0.68;</w:t>
            </w:r>
          </w:p>
          <w:p w14:paraId="6C710A1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479CD2B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0.91</w:t>
            </w:r>
          </w:p>
        </w:tc>
      </w:tr>
      <w:tr w14:paraId="7CCBE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7" w:hRule="atLeast"/>
        </w:trPr>
        <w:tc>
          <w:tcPr>
            <w:tcW w:w="384" w:type="pct"/>
          </w:tcPr>
          <w:p w14:paraId="0642AE4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Cox and Root (2021)</w:t>
            </w:r>
          </w:p>
        </w:tc>
        <w:tc>
          <w:tcPr>
            <w:tcW w:w="385" w:type="pct"/>
          </w:tcPr>
          <w:p w14:paraId="4723F82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 M;</w:t>
            </w:r>
          </w:p>
          <w:p w14:paraId="49F4231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5–6 years;</w:t>
            </w:r>
          </w:p>
          <w:p w14:paraId="35F346A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50E9727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School common area; </w:t>
            </w:r>
          </w:p>
          <w:p w14:paraId="26D83EB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50EB521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EB830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 min;</w:t>
            </w:r>
          </w:p>
          <w:p w14:paraId="2B2DDA1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48 times</w:t>
            </w:r>
          </w:p>
        </w:tc>
        <w:tc>
          <w:tcPr>
            <w:tcW w:w="343" w:type="pct"/>
          </w:tcPr>
          <w:p w14:paraId="1914834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42FD8D0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Proportional word problems solving </w:t>
            </w:r>
          </w:p>
        </w:tc>
        <w:tc>
          <w:tcPr>
            <w:tcW w:w="549" w:type="pct"/>
          </w:tcPr>
          <w:p w14:paraId="1418ACB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MSBI</w:t>
            </w:r>
          </w:p>
        </w:tc>
        <w:tc>
          <w:tcPr>
            <w:tcW w:w="378" w:type="pct"/>
          </w:tcPr>
          <w:p w14:paraId="11A6105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2ACEA8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552746E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5ED905A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96.5</w:t>
            </w:r>
          </w:p>
        </w:tc>
        <w:tc>
          <w:tcPr>
            <w:tcW w:w="366" w:type="pct"/>
          </w:tcPr>
          <w:p w14:paraId="46B9E44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64775C1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5215F36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0.98;</w:t>
            </w:r>
          </w:p>
          <w:p w14:paraId="2F2827C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0.74;</w:t>
            </w:r>
          </w:p>
          <w:p w14:paraId="328A402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0.77</w:t>
            </w:r>
          </w:p>
        </w:tc>
      </w:tr>
      <w:tr w14:paraId="3808C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84" w:type="pct"/>
          </w:tcPr>
          <w:p w14:paraId="35CE16E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Wright et al. (2021)</w:t>
            </w:r>
          </w:p>
        </w:tc>
        <w:tc>
          <w:tcPr>
            <w:tcW w:w="385" w:type="pct"/>
          </w:tcPr>
          <w:p w14:paraId="3E50B6D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39832EA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11–14 years;</w:t>
            </w:r>
          </w:p>
          <w:p w14:paraId="78A24AC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051BD3B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 special education teacher</w:t>
            </w:r>
          </w:p>
        </w:tc>
        <w:tc>
          <w:tcPr>
            <w:tcW w:w="348" w:type="pct"/>
          </w:tcPr>
          <w:p w14:paraId="1796E7E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3–5 times a week;</w:t>
            </w:r>
          </w:p>
          <w:p w14:paraId="134A840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10–15 min;</w:t>
            </w:r>
          </w:p>
          <w:p w14:paraId="2CB69EA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44 times</w:t>
            </w:r>
          </w:p>
        </w:tc>
        <w:tc>
          <w:tcPr>
            <w:tcW w:w="343" w:type="pct"/>
          </w:tcPr>
          <w:p w14:paraId="74F0944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Technology</w:t>
            </w:r>
          </w:p>
        </w:tc>
        <w:tc>
          <w:tcPr>
            <w:tcW w:w="549" w:type="pct"/>
          </w:tcPr>
          <w:p w14:paraId="4C744E9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Coding skills</w:t>
            </w:r>
          </w:p>
        </w:tc>
        <w:tc>
          <w:tcPr>
            <w:tcW w:w="549" w:type="pct"/>
          </w:tcPr>
          <w:p w14:paraId="24F6D92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VP</w:t>
            </w:r>
          </w:p>
        </w:tc>
        <w:tc>
          <w:tcPr>
            <w:tcW w:w="378" w:type="pct"/>
          </w:tcPr>
          <w:p w14:paraId="2CF4B9A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MP across Skills</w:t>
            </w:r>
          </w:p>
          <w:p w14:paraId="43822BE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73DA412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97.5</w:t>
            </w:r>
          </w:p>
        </w:tc>
        <w:tc>
          <w:tcPr>
            <w:tcW w:w="366" w:type="pct"/>
          </w:tcPr>
          <w:p w14:paraId="1701B2D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7375EF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6243EB2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62A1D9F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0.66;</w:t>
            </w:r>
          </w:p>
          <w:p w14:paraId="7633B08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0.95</w:t>
            </w:r>
          </w:p>
        </w:tc>
      </w:tr>
      <w:tr w14:paraId="63F88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84" w:type="pct"/>
          </w:tcPr>
          <w:p w14:paraId="42C2608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Chen et al. (2022)</w:t>
            </w:r>
          </w:p>
        </w:tc>
        <w:tc>
          <w:tcPr>
            <w:tcW w:w="385" w:type="pct"/>
          </w:tcPr>
          <w:p w14:paraId="35FE32D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73F188D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11–13 years;</w:t>
            </w:r>
          </w:p>
          <w:p w14:paraId="141ABFE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6140ABB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w:t>
            </w:r>
          </w:p>
          <w:p w14:paraId="0907E75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0F43C5D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1–2 times a week;</w:t>
            </w:r>
          </w:p>
          <w:p w14:paraId="360A520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 times</w:t>
            </w:r>
          </w:p>
        </w:tc>
        <w:tc>
          <w:tcPr>
            <w:tcW w:w="343" w:type="pct"/>
          </w:tcPr>
          <w:p w14:paraId="44FAA15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5E0CD15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Fraction computation problems</w:t>
            </w:r>
          </w:p>
        </w:tc>
        <w:tc>
          <w:tcPr>
            <w:tcW w:w="549" w:type="pct"/>
          </w:tcPr>
          <w:p w14:paraId="2CC8A43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VM with others</w:t>
            </w:r>
          </w:p>
        </w:tc>
        <w:tc>
          <w:tcPr>
            <w:tcW w:w="378" w:type="pct"/>
          </w:tcPr>
          <w:p w14:paraId="284FC99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17F64F6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5F50BAD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371CD28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67C63C2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3AFE37E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45B25D7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66B7CCC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343803D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tc>
      </w:tr>
      <w:tr w14:paraId="18B3E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384" w:type="pct"/>
          </w:tcPr>
          <w:p w14:paraId="50F7746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Ley Davis et al. (2022)</w:t>
            </w:r>
          </w:p>
        </w:tc>
        <w:tc>
          <w:tcPr>
            <w:tcW w:w="385" w:type="pct"/>
          </w:tcPr>
          <w:p w14:paraId="403A65D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2 F;</w:t>
            </w:r>
          </w:p>
          <w:p w14:paraId="1B62E18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12–14 years;</w:t>
            </w:r>
          </w:p>
          <w:p w14:paraId="3B7380E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 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 xml:space="preserve"> ID</w:t>
            </w:r>
          </w:p>
        </w:tc>
        <w:tc>
          <w:tcPr>
            <w:tcW w:w="522" w:type="pct"/>
          </w:tcPr>
          <w:p w14:paraId="59256EA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0C1371E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w:t>
            </w:r>
          </w:p>
        </w:tc>
        <w:tc>
          <w:tcPr>
            <w:tcW w:w="348" w:type="pct"/>
          </w:tcPr>
          <w:p w14:paraId="6105BEA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3470D42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19 times</w:t>
            </w:r>
          </w:p>
        </w:tc>
        <w:tc>
          <w:tcPr>
            <w:tcW w:w="343" w:type="pct"/>
          </w:tcPr>
          <w:p w14:paraId="6788C0A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0454902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 word problems</w:t>
            </w:r>
          </w:p>
        </w:tc>
        <w:tc>
          <w:tcPr>
            <w:tcW w:w="549" w:type="pct"/>
          </w:tcPr>
          <w:p w14:paraId="3B2A0F5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Peer-delivered MSBI</w:t>
            </w:r>
          </w:p>
        </w:tc>
        <w:tc>
          <w:tcPr>
            <w:tcW w:w="378" w:type="pct"/>
          </w:tcPr>
          <w:p w14:paraId="579A5B4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57ACD69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1CB114E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507AD42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1329C2E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4426A62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19C113A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1F1B3C8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0.66;</w:t>
            </w:r>
          </w:p>
          <w:p w14:paraId="72ED67C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48185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384" w:type="pct"/>
          </w:tcPr>
          <w:p w14:paraId="47C2892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Kiyak and Toper (2022)</w:t>
            </w:r>
          </w:p>
        </w:tc>
        <w:tc>
          <w:tcPr>
            <w:tcW w:w="385" w:type="pct"/>
          </w:tcPr>
          <w:p w14:paraId="0D14A81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6C8124B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13–14 years;</w:t>
            </w:r>
          </w:p>
          <w:p w14:paraId="316965D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-no ID</w:t>
            </w:r>
          </w:p>
        </w:tc>
        <w:tc>
          <w:tcPr>
            <w:tcW w:w="522" w:type="pct"/>
          </w:tcPr>
          <w:p w14:paraId="3374537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Home or</w:t>
            </w:r>
          </w:p>
          <w:p w14:paraId="10B2500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Zoom;</w:t>
            </w:r>
          </w:p>
          <w:p w14:paraId="23B4C99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parents</w:t>
            </w:r>
          </w:p>
        </w:tc>
        <w:tc>
          <w:tcPr>
            <w:tcW w:w="348" w:type="pct"/>
          </w:tcPr>
          <w:p w14:paraId="69A5EC9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Once a week;</w:t>
            </w:r>
          </w:p>
          <w:p w14:paraId="1D72FF3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hours;</w:t>
            </w:r>
          </w:p>
          <w:p w14:paraId="5FB5424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40 times</w:t>
            </w:r>
          </w:p>
        </w:tc>
        <w:tc>
          <w:tcPr>
            <w:tcW w:w="343" w:type="pct"/>
          </w:tcPr>
          <w:p w14:paraId="47BBCC0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w:t>
            </w:r>
          </w:p>
        </w:tc>
        <w:tc>
          <w:tcPr>
            <w:tcW w:w="549" w:type="pct"/>
          </w:tcPr>
          <w:p w14:paraId="0A8FBBA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Science content</w:t>
            </w:r>
          </w:p>
        </w:tc>
        <w:tc>
          <w:tcPr>
            <w:tcW w:w="549" w:type="pct"/>
          </w:tcPr>
          <w:p w14:paraId="471FDB7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w:t>
            </w:r>
          </w:p>
        </w:tc>
        <w:tc>
          <w:tcPr>
            <w:tcW w:w="378" w:type="pct"/>
          </w:tcPr>
          <w:p w14:paraId="2C32B16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2FCD9CF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7E0B2E3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Pr>
          <w:p w14:paraId="0DF9755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Pr>
          <w:p w14:paraId="361821D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56D7F42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35BE3FF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0.9;</w:t>
            </w:r>
          </w:p>
          <w:p w14:paraId="5EA9426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1E65F29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2775A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384" w:type="pct"/>
          </w:tcPr>
          <w:p w14:paraId="69DBFDD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Liu et al. (2023)</w:t>
            </w:r>
          </w:p>
        </w:tc>
        <w:tc>
          <w:tcPr>
            <w:tcW w:w="385" w:type="pct"/>
          </w:tcPr>
          <w:p w14:paraId="37A6365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3 M;</w:t>
            </w:r>
          </w:p>
          <w:p w14:paraId="7E80610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6–8 years;</w:t>
            </w:r>
          </w:p>
          <w:p w14:paraId="1E17422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ID</w:t>
            </w:r>
          </w:p>
        </w:tc>
        <w:tc>
          <w:tcPr>
            <w:tcW w:w="522" w:type="pct"/>
          </w:tcPr>
          <w:p w14:paraId="7D52A3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classroom;</w:t>
            </w:r>
          </w:p>
          <w:p w14:paraId="664E6F9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researchers</w:t>
            </w:r>
          </w:p>
        </w:tc>
        <w:tc>
          <w:tcPr>
            <w:tcW w:w="348" w:type="pct"/>
          </w:tcPr>
          <w:p w14:paraId="6A1D13C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2–3 times a week;</w:t>
            </w:r>
          </w:p>
          <w:p w14:paraId="788CC48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20–30 min;</w:t>
            </w:r>
          </w:p>
          <w:p w14:paraId="4B5B9BCC">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63 times</w:t>
            </w:r>
          </w:p>
        </w:tc>
        <w:tc>
          <w:tcPr>
            <w:tcW w:w="343" w:type="pct"/>
          </w:tcPr>
          <w:p w14:paraId="1474C298">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Pr>
          <w:p w14:paraId="5E5A00C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Measurement </w:t>
            </w:r>
          </w:p>
          <w:p w14:paraId="3DDBED8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concepts</w:t>
            </w:r>
          </w:p>
        </w:tc>
        <w:tc>
          <w:tcPr>
            <w:tcW w:w="549" w:type="pct"/>
          </w:tcPr>
          <w:p w14:paraId="3933AF07">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Explicit instruction with VM</w:t>
            </w:r>
          </w:p>
        </w:tc>
        <w:tc>
          <w:tcPr>
            <w:tcW w:w="378" w:type="pct"/>
          </w:tcPr>
          <w:p w14:paraId="0ECE83B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23A0246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skills A-B</w:t>
            </w:r>
          </w:p>
        </w:tc>
        <w:tc>
          <w:tcPr>
            <w:tcW w:w="262" w:type="pct"/>
          </w:tcPr>
          <w:p w14:paraId="51A249B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93</w:t>
            </w:r>
          </w:p>
        </w:tc>
        <w:tc>
          <w:tcPr>
            <w:tcW w:w="366" w:type="pct"/>
          </w:tcPr>
          <w:p w14:paraId="59F3667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Pr>
          <w:p w14:paraId="69AFEEA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Pr>
          <w:p w14:paraId="1D625DD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61B6182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0.6;</w:t>
            </w:r>
          </w:p>
          <w:p w14:paraId="21C897D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tc>
      </w:tr>
      <w:tr w14:paraId="2236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84" w:type="pct"/>
            <w:tcBorders>
              <w:bottom w:val="single" w:color="auto" w:sz="4" w:space="0"/>
            </w:tcBorders>
          </w:tcPr>
          <w:p w14:paraId="68340322">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Wu (2023)</w:t>
            </w:r>
          </w:p>
        </w:tc>
        <w:tc>
          <w:tcPr>
            <w:tcW w:w="385" w:type="pct"/>
            <w:tcBorders>
              <w:bottom w:val="single" w:color="auto" w:sz="4" w:space="0"/>
            </w:tcBorders>
          </w:tcPr>
          <w:p w14:paraId="2E6914E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 M, 1 F;</w:t>
            </w:r>
          </w:p>
          <w:p w14:paraId="1052DA4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10–11 years;</w:t>
            </w:r>
          </w:p>
          <w:p w14:paraId="558D784A">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ID, ASD</w:t>
            </w:r>
            <w:r>
              <w:rPr>
                <w:rFonts w:hint="eastAsia" w:ascii="Times New Roman" w:hAnsi="Times New Roman" w:eastAsia="宋体" w:cs="Times New Roman"/>
                <w:kern w:val="0"/>
                <w:sz w:val="18"/>
                <w:szCs w:val="18"/>
                <w:lang w:eastAsia="zh-CN"/>
                <w14:ligatures w14:val="none"/>
              </w:rPr>
              <w:t>-</w:t>
            </w:r>
            <w:r>
              <w:rPr>
                <w:rFonts w:ascii="Times New Roman" w:hAnsi="Times New Roman" w:eastAsia="宋体" w:cs="Times New Roman"/>
                <w:kern w:val="0"/>
                <w:sz w:val="18"/>
                <w:szCs w:val="18"/>
                <w:lang w:eastAsia="zh-CN"/>
                <w14:ligatures w14:val="none"/>
              </w:rPr>
              <w:t xml:space="preserve"> ID</w:t>
            </w:r>
          </w:p>
        </w:tc>
        <w:tc>
          <w:tcPr>
            <w:tcW w:w="522" w:type="pct"/>
            <w:tcBorders>
              <w:bottom w:val="single" w:color="auto" w:sz="4" w:space="0"/>
            </w:tcBorders>
          </w:tcPr>
          <w:p w14:paraId="2F4C9131">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Resource classroom;</w:t>
            </w:r>
          </w:p>
          <w:p w14:paraId="276AC4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special education teacher</w:t>
            </w:r>
          </w:p>
        </w:tc>
        <w:tc>
          <w:tcPr>
            <w:tcW w:w="348" w:type="pct"/>
            <w:tcBorders>
              <w:bottom w:val="single" w:color="auto" w:sz="4" w:space="0"/>
            </w:tcBorders>
          </w:tcPr>
          <w:p w14:paraId="45F838C6">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Once a week;</w:t>
            </w:r>
          </w:p>
          <w:p w14:paraId="5EA6D62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40 min;</w:t>
            </w:r>
          </w:p>
          <w:p w14:paraId="41716D6E">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21times</w:t>
            </w:r>
          </w:p>
        </w:tc>
        <w:tc>
          <w:tcPr>
            <w:tcW w:w="343" w:type="pct"/>
            <w:tcBorders>
              <w:bottom w:val="single" w:color="auto" w:sz="4" w:space="0"/>
            </w:tcBorders>
          </w:tcPr>
          <w:p w14:paraId="377FECB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Math</w:t>
            </w:r>
          </w:p>
        </w:tc>
        <w:tc>
          <w:tcPr>
            <w:tcW w:w="549" w:type="pct"/>
            <w:tcBorders>
              <w:bottom w:val="single" w:color="auto" w:sz="4" w:space="0"/>
            </w:tcBorders>
          </w:tcPr>
          <w:p w14:paraId="41A883C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Math word </w:t>
            </w:r>
          </w:p>
          <w:p w14:paraId="78D3CFE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problems</w:t>
            </w:r>
          </w:p>
        </w:tc>
        <w:tc>
          <w:tcPr>
            <w:tcW w:w="549" w:type="pct"/>
            <w:tcBorders>
              <w:bottom w:val="single" w:color="auto" w:sz="4" w:space="0"/>
            </w:tcBorders>
          </w:tcPr>
          <w:p w14:paraId="70DB47E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VM and AR</w:t>
            </w:r>
          </w:p>
        </w:tc>
        <w:tc>
          <w:tcPr>
            <w:tcW w:w="378" w:type="pct"/>
            <w:tcBorders>
              <w:bottom w:val="single" w:color="auto" w:sz="4" w:space="0"/>
            </w:tcBorders>
          </w:tcPr>
          <w:p w14:paraId="276330B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 xml:space="preserve">MP across </w:t>
            </w:r>
          </w:p>
          <w:p w14:paraId="2351437D">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participants</w:t>
            </w:r>
          </w:p>
          <w:p w14:paraId="7F96C5CF">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A-B</w:t>
            </w:r>
          </w:p>
        </w:tc>
        <w:tc>
          <w:tcPr>
            <w:tcW w:w="262" w:type="pct"/>
            <w:tcBorders>
              <w:bottom w:val="single" w:color="auto" w:sz="4" w:space="0"/>
            </w:tcBorders>
          </w:tcPr>
          <w:p w14:paraId="562F8744">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100</w:t>
            </w:r>
          </w:p>
        </w:tc>
        <w:tc>
          <w:tcPr>
            <w:tcW w:w="366" w:type="pct"/>
            <w:tcBorders>
              <w:bottom w:val="single" w:color="auto" w:sz="4" w:space="0"/>
            </w:tcBorders>
          </w:tcPr>
          <w:p w14:paraId="78651949">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335" w:type="pct"/>
            <w:tcBorders>
              <w:bottom w:val="single" w:color="auto" w:sz="4" w:space="0"/>
            </w:tcBorders>
          </w:tcPr>
          <w:p w14:paraId="598800B3">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H</w:t>
            </w:r>
          </w:p>
        </w:tc>
        <w:tc>
          <w:tcPr>
            <w:tcW w:w="579" w:type="pct"/>
            <w:tcBorders>
              <w:bottom w:val="single" w:color="auto" w:sz="4" w:space="0"/>
            </w:tcBorders>
          </w:tcPr>
          <w:p w14:paraId="518FC48B">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1;</w:t>
            </w:r>
          </w:p>
          <w:p w14:paraId="1373E975">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NR;</w:t>
            </w:r>
          </w:p>
          <w:p w14:paraId="60CFE2A0">
            <w:pPr>
              <w:widowControl w:val="0"/>
              <w:spacing w:after="0" w:line="240" w:lineRule="auto"/>
              <w:jc w:val="left"/>
              <w:rPr>
                <w:rFonts w:ascii="Times New Roman" w:hAnsi="Times New Roman" w:eastAsia="宋体" w:cs="Times New Roman"/>
                <w:kern w:val="0"/>
                <w:sz w:val="18"/>
                <w:szCs w:val="18"/>
                <w:lang w:eastAsia="zh-CN"/>
                <w14:ligatures w14:val="none"/>
              </w:rPr>
            </w:pPr>
            <w:r>
              <w:rPr>
                <w:rFonts w:ascii="Times New Roman" w:hAnsi="Times New Roman" w:eastAsia="宋体" w:cs="Times New Roman"/>
                <w:kern w:val="0"/>
                <w:sz w:val="18"/>
                <w:szCs w:val="18"/>
                <w:lang w:eastAsia="zh-CN"/>
                <w14:ligatures w14:val="none"/>
              </w:rPr>
              <w:t>0.81</w:t>
            </w:r>
          </w:p>
        </w:tc>
      </w:tr>
    </w:tbl>
    <w:p w14:paraId="72EF56B2">
      <w:pPr>
        <w:spacing w:after="0" w:line="480" w:lineRule="auto"/>
        <w:rPr>
          <w:rStyle w:val="31"/>
          <w:rFonts w:ascii="Times New Roman" w:hAnsi="Times New Roman" w:cs="Times New Roman"/>
          <w:sz w:val="18"/>
          <w:szCs w:val="18"/>
          <w:lang w:eastAsia="zh-CN"/>
        </w:rPr>
      </w:pPr>
      <w:r>
        <w:rPr>
          <w:rFonts w:ascii="Times New Roman" w:hAnsi="Times New Roman" w:eastAsia="AdvOT7fb33346 . I" w:cs="Times New Roman"/>
          <w:i/>
          <w:iCs/>
          <w:color w:val="000000"/>
          <w:sz w:val="18"/>
          <w:szCs w:val="18"/>
          <w:lang w:eastAsia="zh-CN" w:bidi="ar"/>
        </w:rPr>
        <w:t>Note.</w:t>
      </w:r>
      <w:r>
        <w:rPr>
          <w:rFonts w:ascii="Times New Roman" w:hAnsi="Times New Roman" w:eastAsia="AdvOT7fb33346 . I" w:cs="Times New Roman"/>
          <w:color w:val="000000"/>
          <w:sz w:val="18"/>
          <w:szCs w:val="18"/>
          <w:lang w:eastAsia="zh-CN" w:bidi="ar"/>
        </w:rPr>
        <w:t xml:space="preserve"> </w:t>
      </w:r>
      <w:r>
        <w:rPr>
          <w:rFonts w:ascii="Times New Roman" w:hAnsi="Times New Roman" w:eastAsia="AdvOT596495f2" w:cs="Times New Roman"/>
          <w:color w:val="000000"/>
          <w:sz w:val="18"/>
          <w:szCs w:val="18"/>
          <w:lang w:eastAsia="zh-CN" w:bidi="ar"/>
        </w:rPr>
        <w:t>MB = multiple baselines</w:t>
      </w:r>
      <w:r>
        <w:rPr>
          <w:rFonts w:ascii="Times New Roman" w:hAnsi="Times New Roman" w:eastAsia="AdvOT596495f2" w:cs="Times New Roman"/>
          <w:color w:val="000000"/>
          <w:sz w:val="18"/>
          <w:szCs w:val="18"/>
          <w:lang w:eastAsia="zh-CN"/>
        </w:rPr>
        <w:t>,</w:t>
      </w:r>
      <w:r>
        <w:rPr>
          <w:rFonts w:ascii="Times New Roman" w:hAnsi="Times New Roman" w:eastAsia="AdvOT596495f2" w:cs="Times New Roman"/>
          <w:color w:val="000000"/>
          <w:sz w:val="18"/>
          <w:szCs w:val="18"/>
          <w:lang w:eastAsia="zh-CN" w:bidi="ar"/>
        </w:rPr>
        <w:t xml:space="preserve"> MP = multiple probes</w:t>
      </w:r>
      <w:r>
        <w:rPr>
          <w:rFonts w:ascii="Times New Roman" w:hAnsi="Times New Roman" w:eastAsia="AdvOT596495f2" w:cs="Times New Roman"/>
          <w:color w:val="000000"/>
          <w:sz w:val="18"/>
          <w:szCs w:val="18"/>
          <w:lang w:eastAsia="zh-CN"/>
        </w:rPr>
        <w:t>,</w:t>
      </w:r>
      <w:r>
        <w:rPr>
          <w:rFonts w:ascii="Times New Roman" w:hAnsi="Times New Roman" w:eastAsia="AdvOT596495f2" w:cs="Times New Roman"/>
          <w:color w:val="000000"/>
          <w:sz w:val="18"/>
          <w:szCs w:val="18"/>
          <w:lang w:eastAsia="zh-CN" w:bidi="ar"/>
        </w:rPr>
        <w:t xml:space="preserve"> F = female</w:t>
      </w:r>
      <w:r>
        <w:rPr>
          <w:rFonts w:ascii="Times New Roman" w:hAnsi="Times New Roman" w:eastAsia="AdvOT596495f2" w:cs="Times New Roman"/>
          <w:color w:val="000000"/>
          <w:sz w:val="18"/>
          <w:szCs w:val="18"/>
          <w:lang w:eastAsia="zh-CN"/>
        </w:rPr>
        <w:t>,</w:t>
      </w:r>
      <w:r>
        <w:rPr>
          <w:rFonts w:ascii="Times New Roman" w:hAnsi="Times New Roman" w:eastAsia="AdvOT596495f2" w:cs="Times New Roman"/>
          <w:color w:val="000000"/>
          <w:sz w:val="18"/>
          <w:szCs w:val="18"/>
          <w:lang w:eastAsia="zh-CN" w:bidi="ar"/>
        </w:rPr>
        <w:t xml:space="preserve"> M = male, ID = intellectual disability</w:t>
      </w:r>
      <w:r>
        <w:rPr>
          <w:rFonts w:ascii="Times New Roman" w:hAnsi="Times New Roman" w:eastAsia="AdvOT596495f2" w:cs="Times New Roman"/>
          <w:color w:val="000000"/>
          <w:sz w:val="18"/>
          <w:szCs w:val="18"/>
          <w:lang w:eastAsia="zh-CN"/>
        </w:rPr>
        <w:t>,</w:t>
      </w:r>
      <w:r>
        <w:rPr>
          <w:rFonts w:ascii="Times New Roman" w:hAnsi="Times New Roman" w:eastAsia="AdvOT596495f2" w:cs="Times New Roman"/>
          <w:color w:val="000000"/>
          <w:sz w:val="18"/>
          <w:szCs w:val="18"/>
          <w:lang w:eastAsia="zh-CN" w:bidi="ar"/>
        </w:rPr>
        <w:t xml:space="preserve"> ASD = autism spectrum disorder, ASD</w:t>
      </w:r>
      <w:r>
        <w:rPr>
          <w:rFonts w:hint="eastAsia" w:ascii="Times New Roman" w:hAnsi="Times New Roman" w:eastAsia="AdvOT596495f2" w:cs="Times New Roman"/>
          <w:color w:val="000000"/>
          <w:sz w:val="18"/>
          <w:szCs w:val="18"/>
          <w:lang w:eastAsia="zh-CN" w:bidi="ar"/>
        </w:rPr>
        <w:t>-</w:t>
      </w:r>
      <w:r>
        <w:rPr>
          <w:rFonts w:ascii="Times New Roman" w:hAnsi="Times New Roman" w:eastAsia="AdvOT596495f2" w:cs="Times New Roman"/>
          <w:color w:val="000000"/>
          <w:sz w:val="18"/>
          <w:szCs w:val="18"/>
          <w:lang w:eastAsia="zh-CN" w:bidi="ar"/>
        </w:rPr>
        <w:t xml:space="preserve">ID = ASD </w:t>
      </w:r>
      <w:r>
        <w:rPr>
          <w:rFonts w:hint="eastAsia" w:ascii="Times New Roman" w:hAnsi="Times New Roman" w:eastAsia="AdvOT596495f2" w:cs="Times New Roman"/>
          <w:color w:val="000000"/>
          <w:sz w:val="18"/>
          <w:szCs w:val="18"/>
          <w:lang w:eastAsia="zh-CN" w:bidi="ar"/>
        </w:rPr>
        <w:t>comorbid with ID</w:t>
      </w:r>
      <w:r>
        <w:rPr>
          <w:rFonts w:ascii="Times New Roman" w:hAnsi="Times New Roman" w:eastAsia="AdvOT596495f2" w:cs="Times New Roman"/>
          <w:color w:val="000000"/>
          <w:sz w:val="18"/>
          <w:szCs w:val="18"/>
          <w:lang w:eastAsia="zh-CN"/>
        </w:rPr>
        <w:t xml:space="preserve">, </w:t>
      </w:r>
      <w:r>
        <w:rPr>
          <w:rFonts w:hint="eastAsia" w:ascii="Times New Roman" w:hAnsi="Times New Roman" w:eastAsia="AdvOT596495f2" w:cs="Times New Roman"/>
          <w:color w:val="000000"/>
          <w:sz w:val="18"/>
          <w:szCs w:val="18"/>
          <w:lang w:eastAsia="zh-CN"/>
        </w:rPr>
        <w:t>ASD</w:t>
      </w:r>
      <w:r>
        <w:rPr>
          <w:rFonts w:hint="eastAsia" w:ascii="Times New Roman" w:hAnsi="Times New Roman" w:eastAsia="宋体" w:cs="Times New Roman"/>
          <w:sz w:val="18"/>
          <w:szCs w:val="18"/>
          <w:lang w:eastAsia="zh-CN"/>
        </w:rPr>
        <w:t xml:space="preserve">-no ID </w:t>
      </w:r>
      <w:r>
        <w:rPr>
          <w:rFonts w:ascii="Times New Roman" w:hAnsi="Times New Roman" w:eastAsia="AdvOT596495f2" w:cs="Times New Roman"/>
          <w:color w:val="000000"/>
          <w:sz w:val="18"/>
          <w:szCs w:val="18"/>
          <w:lang w:eastAsia="zh-CN"/>
        </w:rPr>
        <w:t>=</w:t>
      </w:r>
      <w:r>
        <w:rPr>
          <w:rFonts w:hint="eastAsia" w:ascii="Times New Roman" w:hAnsi="Times New Roman" w:eastAsia="AdvOT596495f2" w:cs="Times New Roman"/>
          <w:color w:val="000000"/>
          <w:sz w:val="18"/>
          <w:szCs w:val="18"/>
          <w:lang w:eastAsia="zh-CN"/>
        </w:rPr>
        <w:t xml:space="preserve">ASD </w:t>
      </w:r>
      <w:r>
        <w:rPr>
          <w:rFonts w:hint="eastAsia" w:ascii="Times New Roman" w:hAnsi="Times New Roman" w:eastAsia="AdvOT596495f2" w:cs="Times New Roman"/>
          <w:color w:val="000000"/>
          <w:sz w:val="18"/>
          <w:szCs w:val="18"/>
          <w:lang w:eastAsia="zh-CN" w:bidi="ar"/>
        </w:rPr>
        <w:t xml:space="preserve">comorbid </w:t>
      </w:r>
      <w:r>
        <w:rPr>
          <w:rFonts w:hint="eastAsia" w:ascii="Times New Roman" w:hAnsi="Times New Roman" w:eastAsia="AdvOT596495f2" w:cs="Times New Roman"/>
          <w:color w:val="000000"/>
          <w:sz w:val="18"/>
          <w:szCs w:val="18"/>
          <w:lang w:eastAsia="zh-CN"/>
        </w:rPr>
        <w:t xml:space="preserve">without ID, </w:t>
      </w:r>
      <w:r>
        <w:rPr>
          <w:rFonts w:ascii="Times New Roman" w:hAnsi="Times New Roman" w:eastAsia="AdvOT596495f2" w:cs="Times New Roman"/>
          <w:color w:val="000000"/>
          <w:sz w:val="18"/>
          <w:szCs w:val="18"/>
          <w:lang w:eastAsia="zh-CN"/>
        </w:rPr>
        <w:t>H = h</w:t>
      </w:r>
      <w:r>
        <w:rPr>
          <w:rFonts w:ascii="Times New Roman" w:hAnsi="Times New Roman" w:eastAsia="AdvOT596495f2" w:cs="Times New Roman"/>
          <w:color w:val="000000"/>
          <w:sz w:val="18"/>
          <w:szCs w:val="18"/>
          <w:lang w:eastAsia="zh-CN" w:bidi="ar"/>
        </w:rPr>
        <w:t>igh</w:t>
      </w:r>
      <w:r>
        <w:rPr>
          <w:rFonts w:ascii="Times New Roman" w:hAnsi="Times New Roman" w:eastAsia="AdvOT596495f2" w:cs="Times New Roman"/>
          <w:color w:val="000000"/>
          <w:sz w:val="18"/>
          <w:szCs w:val="18"/>
          <w:lang w:eastAsia="zh-CN"/>
        </w:rPr>
        <w:t>,</w:t>
      </w:r>
      <w:r>
        <w:rPr>
          <w:rFonts w:ascii="Times New Roman" w:hAnsi="Times New Roman" w:eastAsia="AdvOT596495f2" w:cs="Times New Roman"/>
          <w:color w:val="000000"/>
          <w:sz w:val="18"/>
          <w:szCs w:val="18"/>
          <w:lang w:eastAsia="zh-CN" w:bidi="ar"/>
        </w:rPr>
        <w:t xml:space="preserve"> </w:t>
      </w:r>
      <w:r>
        <w:rPr>
          <w:rFonts w:ascii="Times New Roman" w:hAnsi="Times New Roman" w:eastAsia="AdvOT7fb33346 . I" w:cs="Times New Roman"/>
          <w:color w:val="000000"/>
          <w:sz w:val="18"/>
          <w:szCs w:val="18"/>
          <w:lang w:eastAsia="zh-CN" w:bidi="ar"/>
        </w:rPr>
        <w:t>NR</w:t>
      </w:r>
      <w:r>
        <w:rPr>
          <w:rFonts w:ascii="Times New Roman" w:hAnsi="Times New Roman" w:eastAsia="AdvOT596495f2" w:cs="Times New Roman"/>
          <w:color w:val="000000"/>
          <w:sz w:val="18"/>
          <w:szCs w:val="18"/>
          <w:lang w:eastAsia="zh-CN" w:bidi="ar"/>
        </w:rPr>
        <w:t xml:space="preserve"> = not reported, </w:t>
      </w:r>
      <w:r>
        <w:rPr>
          <w:rStyle w:val="31"/>
          <w:rFonts w:ascii="Times New Roman" w:hAnsi="Times New Roman" w:cs="Times New Roman"/>
          <w:sz w:val="18"/>
          <w:szCs w:val="18"/>
          <w:lang w:eastAsia="zh-CN"/>
        </w:rPr>
        <w:t>CAI =  computer-assisted instruction, CTD = constant time delay, SP = simultaneous prompting, VP = video prompting, MSBI = modified schema-based instruction</w:t>
      </w:r>
      <w:r>
        <w:rPr>
          <w:rStyle w:val="31"/>
          <w:rFonts w:hint="eastAsia" w:ascii="Times New Roman" w:hAnsi="Times New Roman" w:cs="Times New Roman"/>
          <w:sz w:val="18"/>
          <w:szCs w:val="18"/>
          <w:lang w:eastAsia="zh-CN"/>
        </w:rPr>
        <w:t xml:space="preserve">, </w:t>
      </w:r>
      <w:r>
        <w:rPr>
          <w:rStyle w:val="31"/>
          <w:rFonts w:ascii="Times New Roman" w:hAnsi="Times New Roman" w:cs="Times New Roman"/>
          <w:sz w:val="18"/>
          <w:szCs w:val="18"/>
          <w:lang w:eastAsia="zh-CN"/>
        </w:rPr>
        <w:t>SBI = schema-based instruction, VM</w:t>
      </w:r>
      <w:r>
        <w:rPr>
          <w:rStyle w:val="31"/>
          <w:rFonts w:hint="eastAsia" w:ascii="Times New Roman" w:hAnsi="Times New Roman" w:cs="Times New Roman"/>
          <w:sz w:val="18"/>
          <w:szCs w:val="18"/>
          <w:lang w:eastAsia="zh-CN"/>
        </w:rPr>
        <w:t xml:space="preserve"> = </w:t>
      </w:r>
      <w:r>
        <w:rPr>
          <w:rStyle w:val="31"/>
          <w:rFonts w:ascii="Times New Roman" w:hAnsi="Times New Roman" w:cs="Times New Roman"/>
          <w:sz w:val="18"/>
          <w:szCs w:val="18"/>
          <w:lang w:eastAsia="zh-CN"/>
        </w:rPr>
        <w:t>video modelling</w:t>
      </w:r>
      <w:r>
        <w:rPr>
          <w:rStyle w:val="31"/>
          <w:rFonts w:hint="eastAsia" w:ascii="Times New Roman" w:hAnsi="Times New Roman" w:cs="Times New Roman"/>
          <w:sz w:val="18"/>
          <w:szCs w:val="18"/>
          <w:lang w:eastAsia="zh-CN"/>
        </w:rPr>
        <w:t xml:space="preserve">, </w:t>
      </w:r>
      <w:r>
        <w:rPr>
          <w:rStyle w:val="31"/>
          <w:rFonts w:ascii="Times New Roman" w:hAnsi="Times New Roman" w:cs="Times New Roman"/>
          <w:sz w:val="18"/>
          <w:szCs w:val="18"/>
          <w:lang w:eastAsia="zh-CN"/>
        </w:rPr>
        <w:t>VSM = video self-modelling, VA = virtual-abstract instructional sequence</w:t>
      </w:r>
      <w:r>
        <w:rPr>
          <w:rStyle w:val="31"/>
          <w:rFonts w:hint="eastAsia" w:ascii="Times New Roman" w:hAnsi="Times New Roman" w:cs="Times New Roman"/>
          <w:sz w:val="18"/>
          <w:szCs w:val="18"/>
          <w:lang w:eastAsia="zh-CN"/>
        </w:rPr>
        <w:t>, LD = learning disability, AR = Augmented Reality.</w:t>
      </w:r>
    </w:p>
    <w:p w14:paraId="4864829D">
      <w:pPr>
        <w:spacing w:after="0" w:line="480" w:lineRule="auto"/>
        <w:rPr>
          <w:rStyle w:val="31"/>
          <w:rFonts w:ascii="Times New Roman" w:hAnsi="Times New Roman" w:cs="Times New Roman"/>
          <w:sz w:val="18"/>
          <w:szCs w:val="18"/>
          <w:lang w:eastAsia="zh-CN"/>
        </w:rPr>
      </w:pPr>
    </w:p>
    <w:p w14:paraId="1C80B306">
      <w:pPr>
        <w:spacing w:after="0" w:line="480" w:lineRule="auto"/>
        <w:rPr>
          <w:rFonts w:ascii="Times New Roman" w:hAnsi="Times New Roman" w:cs="Times New Roman"/>
          <w:sz w:val="20"/>
          <w:szCs w:val="20"/>
          <w:lang w:val="en-GB"/>
        </w:rPr>
      </w:pPr>
    </w:p>
    <w:p w14:paraId="18107A5C">
      <w:pPr>
        <w:spacing w:after="0" w:line="480" w:lineRule="auto"/>
        <w:rPr>
          <w:rFonts w:ascii="Times New Roman" w:hAnsi="Times New Roman" w:cs="Times New Roman"/>
          <w:sz w:val="20"/>
          <w:szCs w:val="20"/>
          <w:lang w:val="en-GB"/>
        </w:rPr>
      </w:pPr>
    </w:p>
    <w:p w14:paraId="02A0B5FF">
      <w:pPr>
        <w:spacing w:after="0" w:line="480" w:lineRule="auto"/>
        <w:rPr>
          <w:rFonts w:ascii="Times New Roman" w:hAnsi="Times New Roman" w:cs="Times New Roman"/>
          <w:sz w:val="20"/>
          <w:szCs w:val="20"/>
          <w:lang w:val="en-GB"/>
        </w:rPr>
      </w:pPr>
    </w:p>
    <w:p w14:paraId="1B9E0ECA">
      <w:pPr>
        <w:spacing w:after="0" w:line="480" w:lineRule="auto"/>
        <w:rPr>
          <w:rFonts w:ascii="Times New Roman" w:hAnsi="Times New Roman" w:cs="Times New Roman"/>
          <w:sz w:val="20"/>
          <w:szCs w:val="20"/>
          <w:lang w:val="en-GB"/>
        </w:rPr>
      </w:pPr>
    </w:p>
    <w:p w14:paraId="425A8BA2">
      <w:pPr>
        <w:spacing w:after="0" w:line="480" w:lineRule="auto"/>
        <w:rPr>
          <w:rFonts w:ascii="Times New Roman" w:hAnsi="Times New Roman" w:cs="Times New Roman"/>
          <w:sz w:val="20"/>
          <w:szCs w:val="20"/>
          <w:lang w:val="en-GB"/>
        </w:rPr>
      </w:pPr>
    </w:p>
    <w:p w14:paraId="2EB3A042">
      <w:pPr>
        <w:spacing w:after="0" w:line="480" w:lineRule="auto"/>
        <w:rPr>
          <w:rFonts w:ascii="Times New Roman" w:hAnsi="Times New Roman" w:cs="Times New Roman"/>
          <w:sz w:val="20"/>
          <w:szCs w:val="20"/>
          <w:lang w:val="en-GB"/>
        </w:rPr>
      </w:pPr>
    </w:p>
    <w:p w14:paraId="3CB25961">
      <w:pPr>
        <w:spacing w:after="0" w:line="480" w:lineRule="auto"/>
        <w:rPr>
          <w:rFonts w:ascii="Times New Roman" w:hAnsi="Times New Roman" w:cs="Times New Roman"/>
          <w:sz w:val="20"/>
          <w:szCs w:val="20"/>
          <w:lang w:val="en-GB"/>
        </w:rPr>
      </w:pPr>
    </w:p>
    <w:p w14:paraId="781B9263">
      <w:pPr>
        <w:spacing w:after="0" w:line="480" w:lineRule="auto"/>
        <w:rPr>
          <w:rFonts w:ascii="Times New Roman" w:hAnsi="Times New Roman" w:cs="Times New Roman"/>
          <w:sz w:val="20"/>
          <w:szCs w:val="20"/>
          <w:lang w:val="en-GB"/>
        </w:rPr>
      </w:pPr>
    </w:p>
    <w:p w14:paraId="158D696B">
      <w:pPr>
        <w:spacing w:after="0" w:line="480" w:lineRule="auto"/>
        <w:rPr>
          <w:rFonts w:ascii="Times New Roman" w:hAnsi="Times New Roman" w:cs="Times New Roman"/>
          <w:sz w:val="20"/>
          <w:szCs w:val="20"/>
          <w:lang w:val="en-GB"/>
        </w:rPr>
      </w:pPr>
    </w:p>
    <w:p w14:paraId="12D381F1">
      <w:pPr>
        <w:spacing w:after="0" w:line="480" w:lineRule="auto"/>
        <w:rPr>
          <w:rFonts w:ascii="Times New Roman" w:hAnsi="Times New Roman" w:cs="Times New Roman"/>
          <w:sz w:val="20"/>
          <w:szCs w:val="20"/>
          <w:lang w:val="en-GB"/>
        </w:rPr>
      </w:pPr>
    </w:p>
    <w:p w14:paraId="3D4CF01A">
      <w:pPr>
        <w:spacing w:after="0" w:line="480" w:lineRule="auto"/>
        <w:rPr>
          <w:rFonts w:ascii="Times New Roman" w:hAnsi="Times New Roman" w:cs="Times New Roman"/>
          <w:sz w:val="20"/>
          <w:szCs w:val="20"/>
          <w:lang w:val="en-GB"/>
        </w:rPr>
      </w:pPr>
    </w:p>
    <w:p w14:paraId="78CCDDC3">
      <w:pPr>
        <w:spacing w:after="0" w:line="480" w:lineRule="auto"/>
        <w:rPr>
          <w:rFonts w:ascii="Times New Roman" w:hAnsi="Times New Roman" w:cs="Times New Roman"/>
          <w:sz w:val="20"/>
          <w:szCs w:val="20"/>
          <w:lang w:val="en-GB"/>
        </w:rPr>
      </w:pPr>
    </w:p>
    <w:p w14:paraId="6251254E">
      <w:pPr>
        <w:spacing w:after="0" w:line="480" w:lineRule="auto"/>
        <w:rPr>
          <w:rFonts w:ascii="Times New Roman" w:hAnsi="Times New Roman" w:cs="Times New Roman"/>
          <w:sz w:val="20"/>
          <w:szCs w:val="20"/>
          <w:lang w:val="en-GB"/>
        </w:rPr>
      </w:pPr>
    </w:p>
    <w:p w14:paraId="0D5C5B74">
      <w:pPr>
        <w:spacing w:after="0" w:line="480" w:lineRule="auto"/>
        <w:rPr>
          <w:rFonts w:ascii="Times New Roman" w:hAnsi="Times New Roman" w:cs="Times New Roman"/>
          <w:sz w:val="20"/>
          <w:szCs w:val="20"/>
          <w:lang w:val="en-GB"/>
        </w:rPr>
      </w:pPr>
    </w:p>
    <w:p w14:paraId="3EA3C4F4">
      <w:pPr>
        <w:spacing w:after="0" w:line="240" w:lineRule="auto"/>
        <w:rPr>
          <w:rFonts w:asciiTheme="majorBidi" w:hAnsiTheme="majorBidi" w:cstheme="majorBidi"/>
          <w:sz w:val="18"/>
          <w:szCs w:val="18"/>
          <w:lang w:eastAsia="zh-CN"/>
        </w:rPr>
      </w:pPr>
      <w:r>
        <w:rPr>
          <w:rFonts w:asciiTheme="majorBidi" w:hAnsiTheme="majorBidi" w:cstheme="majorBidi"/>
          <w:b/>
          <w:bCs/>
          <w:sz w:val="18"/>
          <w:szCs w:val="18"/>
          <w:lang w:eastAsia="zh-CN"/>
        </w:rPr>
        <w:t>Supplementary Table S2</w:t>
      </w:r>
      <w:r>
        <w:rPr>
          <w:rFonts w:asciiTheme="majorBidi" w:hAnsiTheme="majorBidi" w:cstheme="majorBidi"/>
          <w:sz w:val="18"/>
          <w:szCs w:val="18"/>
          <w:lang w:eastAsia="zh-CN"/>
        </w:rPr>
        <w:t>. Risk of bias for included studies</w:t>
      </w:r>
    </w:p>
    <w:tbl>
      <w:tblPr>
        <w:tblStyle w:val="2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47"/>
        <w:gridCol w:w="1490"/>
        <w:gridCol w:w="1256"/>
        <w:gridCol w:w="1590"/>
        <w:gridCol w:w="1299"/>
        <w:gridCol w:w="1221"/>
        <w:gridCol w:w="1231"/>
        <w:gridCol w:w="1281"/>
        <w:gridCol w:w="1212"/>
        <w:gridCol w:w="1787"/>
      </w:tblGrid>
      <w:tr w14:paraId="66A5E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1040" w:type="pct"/>
            <w:vMerge w:val="restart"/>
            <w:tcBorders>
              <w:top w:val="single" w:color="auto" w:sz="4" w:space="0"/>
              <w:bottom w:val="single" w:color="auto" w:sz="4" w:space="0"/>
            </w:tcBorders>
          </w:tcPr>
          <w:p w14:paraId="2BC790B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Study</w:t>
            </w:r>
          </w:p>
        </w:tc>
        <w:tc>
          <w:tcPr>
            <w:tcW w:w="879" w:type="pct"/>
            <w:gridSpan w:val="2"/>
            <w:tcBorders>
              <w:top w:val="single" w:color="auto" w:sz="4" w:space="0"/>
              <w:bottom w:val="single" w:color="auto" w:sz="4" w:space="0"/>
            </w:tcBorders>
          </w:tcPr>
          <w:p w14:paraId="2206BE27">
            <w:pPr>
              <w:widowControl w:val="0"/>
              <w:spacing w:after="0" w:line="240" w:lineRule="auto"/>
              <w:jc w:val="center"/>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Selection bias</w:t>
            </w:r>
          </w:p>
        </w:tc>
        <w:tc>
          <w:tcPr>
            <w:tcW w:w="925" w:type="pct"/>
            <w:gridSpan w:val="2"/>
            <w:tcBorders>
              <w:top w:val="single" w:color="auto" w:sz="4" w:space="0"/>
              <w:bottom w:val="single" w:color="auto" w:sz="4" w:space="0"/>
            </w:tcBorders>
          </w:tcPr>
          <w:p w14:paraId="77B9AE90">
            <w:pPr>
              <w:widowControl w:val="0"/>
              <w:spacing w:after="0" w:line="240" w:lineRule="auto"/>
              <w:jc w:val="center"/>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Performance bias</w:t>
            </w:r>
          </w:p>
        </w:tc>
        <w:tc>
          <w:tcPr>
            <w:tcW w:w="1583" w:type="pct"/>
            <w:gridSpan w:val="4"/>
            <w:tcBorders>
              <w:top w:val="single" w:color="auto" w:sz="4" w:space="0"/>
              <w:bottom w:val="single" w:color="auto" w:sz="4" w:space="0"/>
            </w:tcBorders>
          </w:tcPr>
          <w:p w14:paraId="296AC6B2">
            <w:pPr>
              <w:widowControl w:val="0"/>
              <w:spacing w:after="0" w:line="240" w:lineRule="auto"/>
              <w:jc w:val="center"/>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Detection bias</w:t>
            </w:r>
          </w:p>
        </w:tc>
        <w:tc>
          <w:tcPr>
            <w:tcW w:w="572" w:type="pct"/>
            <w:vMerge w:val="restart"/>
            <w:tcBorders>
              <w:top w:val="single" w:color="auto" w:sz="4" w:space="0"/>
              <w:bottom w:val="single" w:color="auto" w:sz="4" w:space="0"/>
            </w:tcBorders>
          </w:tcPr>
          <w:p w14:paraId="0055623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Other bias sources</w:t>
            </w:r>
          </w:p>
        </w:tc>
      </w:tr>
      <w:tr w14:paraId="56785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1040" w:type="pct"/>
            <w:vMerge w:val="continue"/>
            <w:tcBorders>
              <w:top w:val="single" w:color="auto" w:sz="4" w:space="0"/>
              <w:bottom w:val="single" w:color="auto" w:sz="4" w:space="0"/>
            </w:tcBorders>
          </w:tcPr>
          <w:p w14:paraId="061255D8">
            <w:pPr>
              <w:widowControl w:val="0"/>
              <w:spacing w:after="0" w:line="240" w:lineRule="auto"/>
              <w:jc w:val="left"/>
              <w:rPr>
                <w:rFonts w:eastAsia="宋体" w:asciiTheme="majorBidi" w:hAnsiTheme="majorBidi" w:cstheme="majorBidi"/>
                <w:kern w:val="0"/>
                <w:sz w:val="18"/>
                <w:szCs w:val="20"/>
                <w14:ligatures w14:val="none"/>
              </w:rPr>
            </w:pPr>
          </w:p>
        </w:tc>
        <w:tc>
          <w:tcPr>
            <w:tcW w:w="477" w:type="pct"/>
            <w:tcBorders>
              <w:top w:val="single" w:color="auto" w:sz="4" w:space="0"/>
              <w:bottom w:val="single" w:color="auto" w:sz="4" w:space="0"/>
            </w:tcBorders>
          </w:tcPr>
          <w:p w14:paraId="0873E70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Sequence</w:t>
            </w:r>
          </w:p>
          <w:p w14:paraId="6172F42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generation</w:t>
            </w:r>
          </w:p>
        </w:tc>
        <w:tc>
          <w:tcPr>
            <w:tcW w:w="402" w:type="pct"/>
            <w:tcBorders>
              <w:top w:val="single" w:color="auto" w:sz="4" w:space="0"/>
              <w:bottom w:val="single" w:color="auto" w:sz="4" w:space="0"/>
            </w:tcBorders>
          </w:tcPr>
          <w:p w14:paraId="120D324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Participant</w:t>
            </w:r>
          </w:p>
          <w:p w14:paraId="1F4E3A1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selection</w:t>
            </w:r>
          </w:p>
        </w:tc>
        <w:tc>
          <w:tcPr>
            <w:tcW w:w="509" w:type="pct"/>
            <w:tcBorders>
              <w:top w:val="single" w:color="auto" w:sz="4" w:space="0"/>
              <w:bottom w:val="single" w:color="auto" w:sz="4" w:space="0"/>
            </w:tcBorders>
          </w:tcPr>
          <w:p w14:paraId="1717409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Blinding participants</w:t>
            </w:r>
          </w:p>
          <w:p w14:paraId="721608E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and personnel</w:t>
            </w:r>
          </w:p>
        </w:tc>
        <w:tc>
          <w:tcPr>
            <w:tcW w:w="416" w:type="pct"/>
            <w:tcBorders>
              <w:top w:val="single" w:color="auto" w:sz="4" w:space="0"/>
              <w:bottom w:val="single" w:color="auto" w:sz="4" w:space="0"/>
            </w:tcBorders>
          </w:tcPr>
          <w:p w14:paraId="5261095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Procedural</w:t>
            </w:r>
          </w:p>
          <w:p w14:paraId="6FAF62A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fidelity</w:t>
            </w:r>
          </w:p>
        </w:tc>
        <w:tc>
          <w:tcPr>
            <w:tcW w:w="391" w:type="pct"/>
            <w:tcBorders>
              <w:top w:val="single" w:color="auto" w:sz="4" w:space="0"/>
              <w:bottom w:val="single" w:color="auto" w:sz="4" w:space="0"/>
            </w:tcBorders>
          </w:tcPr>
          <w:p w14:paraId="3667C48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Blinding outcome</w:t>
            </w:r>
          </w:p>
          <w:p w14:paraId="45EA792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assessors</w:t>
            </w:r>
          </w:p>
        </w:tc>
        <w:tc>
          <w:tcPr>
            <w:tcW w:w="394" w:type="pct"/>
            <w:tcBorders>
              <w:top w:val="single" w:color="auto" w:sz="4" w:space="0"/>
              <w:bottom w:val="single" w:color="auto" w:sz="4" w:space="0"/>
            </w:tcBorders>
          </w:tcPr>
          <w:p w14:paraId="4F37BE4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Selective outcome</w:t>
            </w:r>
          </w:p>
          <w:p w14:paraId="288B076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reporting</w:t>
            </w:r>
          </w:p>
        </w:tc>
        <w:tc>
          <w:tcPr>
            <w:tcW w:w="410" w:type="pct"/>
            <w:tcBorders>
              <w:top w:val="single" w:color="auto" w:sz="4" w:space="0"/>
              <w:bottom w:val="single" w:color="auto" w:sz="4" w:space="0"/>
            </w:tcBorders>
          </w:tcPr>
          <w:p w14:paraId="78A7C5F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Dependent variable</w:t>
            </w:r>
          </w:p>
          <w:p w14:paraId="5761B25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reliability</w:t>
            </w:r>
          </w:p>
        </w:tc>
        <w:tc>
          <w:tcPr>
            <w:tcW w:w="388" w:type="pct"/>
            <w:tcBorders>
              <w:top w:val="single" w:color="auto" w:sz="4" w:space="0"/>
              <w:bottom w:val="single" w:color="auto" w:sz="4" w:space="0"/>
            </w:tcBorders>
          </w:tcPr>
          <w:p w14:paraId="5A03EDA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Data</w:t>
            </w:r>
          </w:p>
          <w:p w14:paraId="63C0FA0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sampling</w:t>
            </w:r>
          </w:p>
        </w:tc>
        <w:tc>
          <w:tcPr>
            <w:tcW w:w="572" w:type="pct"/>
            <w:vMerge w:val="continue"/>
            <w:tcBorders>
              <w:top w:val="single" w:color="auto" w:sz="4" w:space="0"/>
              <w:bottom w:val="single" w:color="auto" w:sz="4" w:space="0"/>
            </w:tcBorders>
          </w:tcPr>
          <w:p w14:paraId="7D44E0FD">
            <w:pPr>
              <w:widowControl w:val="0"/>
              <w:spacing w:after="0" w:line="240" w:lineRule="auto"/>
              <w:jc w:val="left"/>
              <w:rPr>
                <w:rFonts w:eastAsia="宋体" w:asciiTheme="majorBidi" w:hAnsiTheme="majorBidi" w:cstheme="majorBidi"/>
                <w:kern w:val="0"/>
                <w:sz w:val="18"/>
                <w:szCs w:val="20"/>
                <w14:ligatures w14:val="none"/>
              </w:rPr>
            </w:pPr>
          </w:p>
        </w:tc>
      </w:tr>
      <w:tr w14:paraId="27BD9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Borders>
              <w:top w:val="single" w:color="auto" w:sz="4" w:space="0"/>
            </w:tcBorders>
          </w:tcPr>
          <w:p w14:paraId="611BDC8F">
            <w:pPr>
              <w:widowControl w:val="0"/>
              <w:spacing w:after="0" w:line="240" w:lineRule="auto"/>
              <w:jc w:val="left"/>
              <w:rPr>
                <w:rFonts w:eastAsia="宋体" w:asciiTheme="majorBidi" w:hAnsiTheme="majorBidi" w:cstheme="majorBidi"/>
                <w:kern w:val="0"/>
                <w:sz w:val="20"/>
                <w:szCs w:val="20"/>
                <w14:ligatures w14:val="none"/>
              </w:rPr>
            </w:pPr>
            <w:r>
              <w:rPr>
                <w:rFonts w:eastAsia="宋体" w:asciiTheme="majorBidi" w:hAnsiTheme="majorBidi" w:cstheme="majorBidi"/>
                <w:kern w:val="0"/>
                <w:sz w:val="18"/>
                <w:szCs w:val="20"/>
                <w14:ligatures w14:val="none"/>
              </w:rPr>
              <w:t>Courtade (2010)</w:t>
            </w:r>
          </w:p>
        </w:tc>
        <w:tc>
          <w:tcPr>
            <w:tcW w:w="477" w:type="pct"/>
            <w:tcBorders>
              <w:top w:val="single" w:color="auto" w:sz="4" w:space="0"/>
            </w:tcBorders>
          </w:tcPr>
          <w:p w14:paraId="04E9336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Borders>
              <w:top w:val="single" w:color="auto" w:sz="4" w:space="0"/>
            </w:tcBorders>
          </w:tcPr>
          <w:p w14:paraId="01663EB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Borders>
              <w:top w:val="single" w:color="auto" w:sz="4" w:space="0"/>
            </w:tcBorders>
          </w:tcPr>
          <w:p w14:paraId="4A80470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Borders>
              <w:top w:val="single" w:color="auto" w:sz="4" w:space="0"/>
            </w:tcBorders>
          </w:tcPr>
          <w:p w14:paraId="36317D8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Borders>
              <w:top w:val="single" w:color="auto" w:sz="4" w:space="0"/>
            </w:tcBorders>
          </w:tcPr>
          <w:p w14:paraId="23A9B33C">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Borders>
              <w:top w:val="single" w:color="auto" w:sz="4" w:space="0"/>
            </w:tcBorders>
          </w:tcPr>
          <w:p w14:paraId="404DBCB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Borders>
              <w:top w:val="single" w:color="auto" w:sz="4" w:space="0"/>
            </w:tcBorders>
          </w:tcPr>
          <w:p w14:paraId="014CBF7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Borders>
              <w:top w:val="single" w:color="auto" w:sz="4" w:space="0"/>
            </w:tcBorders>
          </w:tcPr>
          <w:p w14:paraId="785A516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Borders>
              <w:top w:val="single" w:color="auto" w:sz="4" w:space="0"/>
            </w:tcBorders>
          </w:tcPr>
          <w:p w14:paraId="3BF100E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202E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2F85ED3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Cihak (2010)</w:t>
            </w:r>
          </w:p>
        </w:tc>
        <w:tc>
          <w:tcPr>
            <w:tcW w:w="477" w:type="pct"/>
          </w:tcPr>
          <w:p w14:paraId="3FEB4D3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02" w:type="pct"/>
          </w:tcPr>
          <w:p w14:paraId="40FF4F0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1D8814B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088F816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04642CDB">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219784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7627B71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6CA71CB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6206210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5EED6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401F522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Rockwell et al. (2011)</w:t>
            </w:r>
          </w:p>
        </w:tc>
        <w:tc>
          <w:tcPr>
            <w:tcW w:w="477" w:type="pct"/>
          </w:tcPr>
          <w:p w14:paraId="0C9F89F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5F7BD25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2C41541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61447D5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391" w:type="pct"/>
          </w:tcPr>
          <w:p w14:paraId="1B89D4F7">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1BBD77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6E45612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76AD9B4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7D2A683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7F0E4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53D16C8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Jimenez et al. (2012)</w:t>
            </w:r>
          </w:p>
        </w:tc>
        <w:tc>
          <w:tcPr>
            <w:tcW w:w="477" w:type="pct"/>
          </w:tcPr>
          <w:p w14:paraId="243D44D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5D85F49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77054FE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21D7EF5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7406D2DF">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44D49A2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2B2B1F7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3063DD4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022C784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28E0E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62CB727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Carnahan and Williamson (2013)</w:t>
            </w:r>
          </w:p>
        </w:tc>
        <w:tc>
          <w:tcPr>
            <w:tcW w:w="477" w:type="pct"/>
          </w:tcPr>
          <w:p w14:paraId="31F20FA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02" w:type="pct"/>
          </w:tcPr>
          <w:p w14:paraId="2E50234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53666D4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1B7B1AC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5CBE2F69">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072DAC0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10" w:type="pct"/>
          </w:tcPr>
          <w:p w14:paraId="7E2E77E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57BB3C4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450340F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0FDD5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56F0013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Jimenez et al. (2013)</w:t>
            </w:r>
          </w:p>
        </w:tc>
        <w:tc>
          <w:tcPr>
            <w:tcW w:w="477" w:type="pct"/>
          </w:tcPr>
          <w:p w14:paraId="506CAF9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74992EA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339FFE6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1BF0B7A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7CC32908">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660A192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10" w:type="pct"/>
          </w:tcPr>
          <w:p w14:paraId="2C73FA1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784ED13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572" w:type="pct"/>
          </w:tcPr>
          <w:p w14:paraId="02BC60E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r>
      <w:tr w14:paraId="4E967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39AC36D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Smith et al. (2013)</w:t>
            </w:r>
          </w:p>
        </w:tc>
        <w:tc>
          <w:tcPr>
            <w:tcW w:w="477" w:type="pct"/>
          </w:tcPr>
          <w:p w14:paraId="1EC168F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7CE3C94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509" w:type="pct"/>
          </w:tcPr>
          <w:p w14:paraId="49AD9FE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24DD401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56F1330F">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7E40ABD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10" w:type="pct"/>
          </w:tcPr>
          <w:p w14:paraId="120CB4A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C7ABC2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5B906C4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04025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7EB6F11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Burton et al. (2013)</w:t>
            </w:r>
          </w:p>
        </w:tc>
        <w:tc>
          <w:tcPr>
            <w:tcW w:w="477" w:type="pct"/>
          </w:tcPr>
          <w:p w14:paraId="4B4C674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02" w:type="pct"/>
          </w:tcPr>
          <w:p w14:paraId="4D222FB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338D1FB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4805F3E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276B2257">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54111E4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2FC345E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715CE2D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13782A7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4D46B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69C0D67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Knight et al. (2013)</w:t>
            </w:r>
          </w:p>
        </w:tc>
        <w:tc>
          <w:tcPr>
            <w:tcW w:w="477" w:type="pct"/>
          </w:tcPr>
          <w:p w14:paraId="25F0682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12D765C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6C672D3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4D3EBF9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7B481230">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6EEA69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5C7998B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3FE5791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6163D09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573BF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2CA659D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Schaefer Whitby (2013)</w:t>
            </w:r>
          </w:p>
        </w:tc>
        <w:tc>
          <w:tcPr>
            <w:tcW w:w="477" w:type="pct"/>
          </w:tcPr>
          <w:p w14:paraId="04D235A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0F61DEC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38AC433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439BADC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4665D354">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4B690DE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1847A00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ED2F41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4DEB4ED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55F7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33527A0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Jimenez et al. (2014)</w:t>
            </w:r>
          </w:p>
        </w:tc>
        <w:tc>
          <w:tcPr>
            <w:tcW w:w="477" w:type="pct"/>
          </w:tcPr>
          <w:p w14:paraId="7E20ACA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468D108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2CC1224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084CDFF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0838452C">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71C25EE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48C0C84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26CFE9F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1150707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3CB2F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10E1265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Weng and Bouck (2014)</w:t>
            </w:r>
          </w:p>
        </w:tc>
        <w:tc>
          <w:tcPr>
            <w:tcW w:w="477" w:type="pct"/>
          </w:tcPr>
          <w:p w14:paraId="28898C3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02" w:type="pct"/>
          </w:tcPr>
          <w:p w14:paraId="3FD5BA7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055EDA1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22E292E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692A983C">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221F1A5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1E42BF6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1B5513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23F9AEC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23016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3882998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 xml:space="preserve">Knight et al. (2015) </w:t>
            </w:r>
          </w:p>
        </w:tc>
        <w:tc>
          <w:tcPr>
            <w:tcW w:w="477" w:type="pct"/>
          </w:tcPr>
          <w:p w14:paraId="0548CD8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5502573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55D8AD4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747C3D8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391" w:type="pct"/>
          </w:tcPr>
          <w:p w14:paraId="5D5161D9">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6239AC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6EF568B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57BECC3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4DADE39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2CEAD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0708AA4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Miller </w:t>
            </w:r>
            <w:r>
              <w:rPr>
                <w:rFonts w:eastAsia="宋体" w:asciiTheme="majorBidi" w:hAnsiTheme="majorBidi" w:cstheme="majorBidi"/>
                <w:kern w:val="0"/>
                <w:sz w:val="18"/>
                <w:szCs w:val="18"/>
                <w:lang w:eastAsia="zh-CN"/>
                <w14:ligatures w14:val="none"/>
              </w:rPr>
              <w:t>et al.</w:t>
            </w:r>
            <w:r>
              <w:rPr>
                <w:rFonts w:eastAsia="宋体" w:asciiTheme="majorBidi" w:hAnsiTheme="majorBidi" w:cstheme="majorBidi"/>
                <w:kern w:val="0"/>
                <w:sz w:val="18"/>
                <w:szCs w:val="20"/>
                <w14:ligatures w14:val="none"/>
              </w:rPr>
              <w:t xml:space="preserve"> (2015)</w:t>
            </w:r>
          </w:p>
        </w:tc>
        <w:tc>
          <w:tcPr>
            <w:tcW w:w="477" w:type="pct"/>
          </w:tcPr>
          <w:p w14:paraId="72784A6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0BCAC2C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7CA0490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2C1D81F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03105321">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2451BD6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10" w:type="pct"/>
          </w:tcPr>
          <w:p w14:paraId="6EDBFCE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881E44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572" w:type="pct"/>
          </w:tcPr>
          <w:p w14:paraId="7A1FB18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1C12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499FB34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Heinrich et al. (2016)</w:t>
            </w:r>
          </w:p>
        </w:tc>
        <w:tc>
          <w:tcPr>
            <w:tcW w:w="477" w:type="pct"/>
          </w:tcPr>
          <w:p w14:paraId="0EAD270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23BFCE0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1050A8A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0162158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2AE00115">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6E9648D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167526A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27589BE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0D62A2F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1FAD7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1E7681D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Yakubova et al. (2016)</w:t>
            </w:r>
          </w:p>
        </w:tc>
        <w:tc>
          <w:tcPr>
            <w:tcW w:w="477" w:type="pct"/>
          </w:tcPr>
          <w:p w14:paraId="4360715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02" w:type="pct"/>
          </w:tcPr>
          <w:p w14:paraId="65E82A8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509" w:type="pct"/>
          </w:tcPr>
          <w:p w14:paraId="16B58CA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4DE1172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4F419652">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2230A44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3F1A0AA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6516CB7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368822D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5C8E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5D7CF8C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Carnahan et al. (2016)</w:t>
            </w:r>
          </w:p>
        </w:tc>
        <w:tc>
          <w:tcPr>
            <w:tcW w:w="477" w:type="pct"/>
          </w:tcPr>
          <w:p w14:paraId="1E60E66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0672C2E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7BACAD9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2A8CCCE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769E9429">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3CA6D09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669D400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39AEC44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00ABDEC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2EFDC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646EA6B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Kellems et al. (2016)</w:t>
            </w:r>
          </w:p>
        </w:tc>
        <w:tc>
          <w:tcPr>
            <w:tcW w:w="477" w:type="pct"/>
          </w:tcPr>
          <w:p w14:paraId="03FFB4A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03C1EDD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509" w:type="pct"/>
          </w:tcPr>
          <w:p w14:paraId="41CD368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78B1BD7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55BDA78A">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67D12CF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5EB7567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3A7D502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572" w:type="pct"/>
          </w:tcPr>
          <w:p w14:paraId="7477B23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r>
      <w:tr w14:paraId="112FF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59C0191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Kasap et al. (2017)</w:t>
            </w:r>
          </w:p>
        </w:tc>
        <w:tc>
          <w:tcPr>
            <w:tcW w:w="477" w:type="pct"/>
          </w:tcPr>
          <w:p w14:paraId="398F261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43B492E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01736B6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43EC019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391" w:type="pct"/>
          </w:tcPr>
          <w:p w14:paraId="50060062">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1497E9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4B89B87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7D76E97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55E6C56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47681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7944290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Collins et al. (2017)</w:t>
            </w:r>
          </w:p>
        </w:tc>
        <w:tc>
          <w:tcPr>
            <w:tcW w:w="477" w:type="pct"/>
          </w:tcPr>
          <w:p w14:paraId="46E7D7C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474DB11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0A901B0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556A64B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6DA693A6">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2A7B38F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10" w:type="pct"/>
          </w:tcPr>
          <w:p w14:paraId="5445711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70F4D0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710AD3B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23AFE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7F7EC40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Root et al. (2017)</w:t>
            </w:r>
          </w:p>
        </w:tc>
        <w:tc>
          <w:tcPr>
            <w:tcW w:w="477" w:type="pct"/>
          </w:tcPr>
          <w:p w14:paraId="3D3308A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69DEB21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1F62557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1A75E33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379B84A9">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643D17A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16C0DD0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7FEBFEF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1BA1A7D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3D54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2E02558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Bouck et al. (2017)</w:t>
            </w:r>
          </w:p>
        </w:tc>
        <w:tc>
          <w:tcPr>
            <w:tcW w:w="477" w:type="pct"/>
          </w:tcPr>
          <w:p w14:paraId="2A97F35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225EF52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2FF0650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3460F21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06355FAA">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48A3AC6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4A1A261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68331F8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0C4E926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0BAE7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6ABAD85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Saunders et al. (2018)</w:t>
            </w:r>
          </w:p>
        </w:tc>
        <w:tc>
          <w:tcPr>
            <w:tcW w:w="477" w:type="pct"/>
          </w:tcPr>
          <w:p w14:paraId="1D09B63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18A0B34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6809727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4D7945B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4074CC22">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5BC80CD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10" w:type="pct"/>
          </w:tcPr>
          <w:p w14:paraId="24A181C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62FD6C5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2F3126E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47329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1040" w:type="pct"/>
          </w:tcPr>
          <w:p w14:paraId="3F1A600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Taylor (2018)</w:t>
            </w:r>
          </w:p>
        </w:tc>
        <w:tc>
          <w:tcPr>
            <w:tcW w:w="477" w:type="pct"/>
          </w:tcPr>
          <w:p w14:paraId="71E3B83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48204DC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1A55E10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6BA6B9C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7632319A">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7EA5DC3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3BFD891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880F4E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563EEDB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339EA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7BA934E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McKissick et al. (2018)</w:t>
            </w:r>
          </w:p>
        </w:tc>
        <w:tc>
          <w:tcPr>
            <w:tcW w:w="477" w:type="pct"/>
          </w:tcPr>
          <w:p w14:paraId="2560750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0076CDB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68BF7B9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14F6197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403BD0F5">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51CC21F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1F3FEE3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72A202D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4C5352D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2E244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6845C87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Root et al. (2018)</w:t>
            </w:r>
          </w:p>
        </w:tc>
        <w:tc>
          <w:tcPr>
            <w:tcW w:w="477" w:type="pct"/>
          </w:tcPr>
          <w:p w14:paraId="5827698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7B08F92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224BFA9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57D9DC4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5BE3A28C">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46DFB52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10" w:type="pct"/>
          </w:tcPr>
          <w:p w14:paraId="0F350F9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1A3710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76336E8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4DA37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41C0AA4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Root et al. (2019)</w:t>
            </w:r>
          </w:p>
        </w:tc>
        <w:tc>
          <w:tcPr>
            <w:tcW w:w="477" w:type="pct"/>
          </w:tcPr>
          <w:p w14:paraId="1751A0F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3198F38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53C36D0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0B3B012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71A84447">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5F50557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10" w:type="pct"/>
          </w:tcPr>
          <w:p w14:paraId="27EAE7C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79CAB6A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70CEEE9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5CFE6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12BD849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Orihuela et al. (2019)</w:t>
            </w:r>
          </w:p>
        </w:tc>
        <w:tc>
          <w:tcPr>
            <w:tcW w:w="477" w:type="pct"/>
          </w:tcPr>
          <w:p w14:paraId="0B93D79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41C1993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3B1E932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1F008C1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730B6CC0">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858018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033E802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FC79DF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78046E0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51E48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27CAB23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Knight et al. (2019)</w:t>
            </w:r>
          </w:p>
        </w:tc>
        <w:tc>
          <w:tcPr>
            <w:tcW w:w="477" w:type="pct"/>
          </w:tcPr>
          <w:p w14:paraId="2623175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02" w:type="pct"/>
          </w:tcPr>
          <w:p w14:paraId="2B43ED2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67EEBF7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4D35576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12671CAE">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8C4084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337DF65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261299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6484B36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3B62A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47A83E0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Cox and Root (2020)</w:t>
            </w:r>
          </w:p>
        </w:tc>
        <w:tc>
          <w:tcPr>
            <w:tcW w:w="477" w:type="pct"/>
          </w:tcPr>
          <w:p w14:paraId="1C5F603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11FAEC2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6241992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099CA3D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59454312">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512AE19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751CD50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6E24C3A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1372EFB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37D83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52ACB5D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Jackson and Hanline (2020)</w:t>
            </w:r>
          </w:p>
        </w:tc>
        <w:tc>
          <w:tcPr>
            <w:tcW w:w="477" w:type="pct"/>
          </w:tcPr>
          <w:p w14:paraId="46C7C31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7894B4C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7BE82B8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14DBCAC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4EFE957F">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7BA103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580DCB9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2448ABD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12F40E6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4FE91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7D6090E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Yakubova et al. (2020)</w:t>
            </w:r>
          </w:p>
        </w:tc>
        <w:tc>
          <w:tcPr>
            <w:tcW w:w="477" w:type="pct"/>
          </w:tcPr>
          <w:p w14:paraId="7CA34DF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02" w:type="pct"/>
          </w:tcPr>
          <w:p w14:paraId="1FF4217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73B435A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637C4C8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329165E9">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0EFF675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772BA02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5FAC29E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6AD030B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587B2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3CEB63A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Greene and Bethune (2021)</w:t>
            </w:r>
          </w:p>
        </w:tc>
        <w:tc>
          <w:tcPr>
            <w:tcW w:w="477" w:type="pct"/>
          </w:tcPr>
          <w:p w14:paraId="2D5A23E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76203DE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4DF3400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07EC0B1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0572FE5A">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2794799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060A81B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5C1ED86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266053C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375F3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08DDB17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Cox and Root (2021)</w:t>
            </w:r>
          </w:p>
        </w:tc>
        <w:tc>
          <w:tcPr>
            <w:tcW w:w="477" w:type="pct"/>
          </w:tcPr>
          <w:p w14:paraId="3BECD9A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0866857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601B80C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1A28E60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2E0D852B">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57BA884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2A0BEF5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26E93EF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5D20335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46DA8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5AC5286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Wright et al. (2021)</w:t>
            </w:r>
          </w:p>
        </w:tc>
        <w:tc>
          <w:tcPr>
            <w:tcW w:w="477" w:type="pct"/>
          </w:tcPr>
          <w:p w14:paraId="58AC463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640EB8C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23D3430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7ABEEE68">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09CCF296">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1683201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3F71C8C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B3122C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7710495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7D3D7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48077F9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Chen et al. (2022)</w:t>
            </w:r>
          </w:p>
        </w:tc>
        <w:tc>
          <w:tcPr>
            <w:tcW w:w="477" w:type="pct"/>
          </w:tcPr>
          <w:p w14:paraId="62B5D00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73FA0A5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5A6B59C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635F637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5D785720">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6CB3409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33C2A6A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4D7FD91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3CB8165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39122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3B548CF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Ley Davis et al. (2022)</w:t>
            </w:r>
          </w:p>
        </w:tc>
        <w:tc>
          <w:tcPr>
            <w:tcW w:w="477" w:type="pct"/>
          </w:tcPr>
          <w:p w14:paraId="35B1842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76288A0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0C4382D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15000FCF">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3E6B4287">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33E4161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502FB95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51E6CBD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1E26297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27D37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0860CB4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Kiyak and Toper (2022)</w:t>
            </w:r>
          </w:p>
        </w:tc>
        <w:tc>
          <w:tcPr>
            <w:tcW w:w="477" w:type="pct"/>
          </w:tcPr>
          <w:p w14:paraId="04622B2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402" w:type="pct"/>
          </w:tcPr>
          <w:p w14:paraId="451DFC90">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c>
          <w:tcPr>
            <w:tcW w:w="509" w:type="pct"/>
          </w:tcPr>
          <w:p w14:paraId="2A6EFD2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7EF276A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36BF4C1F">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63D81E8C">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7518C02A">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51910D42">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44B67C8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U</w:t>
            </w:r>
          </w:p>
        </w:tc>
      </w:tr>
      <w:tr w14:paraId="3CA23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Pr>
          <w:p w14:paraId="76A693A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Liu et al. (2023)</w:t>
            </w:r>
          </w:p>
        </w:tc>
        <w:tc>
          <w:tcPr>
            <w:tcW w:w="477" w:type="pct"/>
          </w:tcPr>
          <w:p w14:paraId="6F7BA51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Pr>
          <w:p w14:paraId="7579565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Pr>
          <w:p w14:paraId="4AF34D7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Pr>
          <w:p w14:paraId="72EF5E5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Pr>
          <w:p w14:paraId="64030B77">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Pr>
          <w:p w14:paraId="63DBC8B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Pr>
          <w:p w14:paraId="01B10C2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Pr>
          <w:p w14:paraId="002CC416">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Pr>
          <w:p w14:paraId="506B3A23">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r w14:paraId="1A4EC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40" w:type="pct"/>
            <w:tcBorders>
              <w:bottom w:val="single" w:color="auto" w:sz="4" w:space="0"/>
            </w:tcBorders>
          </w:tcPr>
          <w:p w14:paraId="3774A009">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Wu (2023)</w:t>
            </w:r>
          </w:p>
        </w:tc>
        <w:tc>
          <w:tcPr>
            <w:tcW w:w="477" w:type="pct"/>
            <w:tcBorders>
              <w:bottom w:val="single" w:color="auto" w:sz="4" w:space="0"/>
            </w:tcBorders>
          </w:tcPr>
          <w:p w14:paraId="102C59B5">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02" w:type="pct"/>
            <w:tcBorders>
              <w:bottom w:val="single" w:color="auto" w:sz="4" w:space="0"/>
            </w:tcBorders>
          </w:tcPr>
          <w:p w14:paraId="107A1F77">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09" w:type="pct"/>
            <w:tcBorders>
              <w:bottom w:val="single" w:color="auto" w:sz="4" w:space="0"/>
            </w:tcBorders>
          </w:tcPr>
          <w:p w14:paraId="3815E03D">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H</w:t>
            </w:r>
          </w:p>
        </w:tc>
        <w:tc>
          <w:tcPr>
            <w:tcW w:w="416" w:type="pct"/>
            <w:tcBorders>
              <w:bottom w:val="single" w:color="auto" w:sz="4" w:space="0"/>
            </w:tcBorders>
          </w:tcPr>
          <w:p w14:paraId="3A484CFE">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91" w:type="pct"/>
            <w:tcBorders>
              <w:bottom w:val="single" w:color="auto" w:sz="4" w:space="0"/>
            </w:tcBorders>
          </w:tcPr>
          <w:p w14:paraId="02BE7508">
            <w:pPr>
              <w:widowControl w:val="0"/>
              <w:spacing w:after="0" w:line="240" w:lineRule="auto"/>
              <w:jc w:val="left"/>
              <w:rPr>
                <w:rFonts w:eastAsia="宋体" w:asciiTheme="majorBidi" w:hAnsiTheme="majorBidi" w:cstheme="majorBidi"/>
                <w:kern w:val="2"/>
                <w:sz w:val="18"/>
                <w:szCs w:val="20"/>
                <w14:ligatures w14:val="none"/>
              </w:rPr>
            </w:pPr>
            <w:r>
              <w:rPr>
                <w:rFonts w:eastAsia="宋体" w:asciiTheme="majorBidi" w:hAnsiTheme="majorBidi" w:cstheme="majorBidi"/>
                <w:kern w:val="0"/>
                <w:sz w:val="18"/>
                <w:szCs w:val="20"/>
                <w14:ligatures w14:val="none"/>
              </w:rPr>
              <w:t>H</w:t>
            </w:r>
          </w:p>
        </w:tc>
        <w:tc>
          <w:tcPr>
            <w:tcW w:w="394" w:type="pct"/>
            <w:tcBorders>
              <w:bottom w:val="single" w:color="auto" w:sz="4" w:space="0"/>
            </w:tcBorders>
          </w:tcPr>
          <w:p w14:paraId="5F9C75B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410" w:type="pct"/>
            <w:tcBorders>
              <w:bottom w:val="single" w:color="auto" w:sz="4" w:space="0"/>
            </w:tcBorders>
          </w:tcPr>
          <w:p w14:paraId="105BF394">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388" w:type="pct"/>
            <w:tcBorders>
              <w:bottom w:val="single" w:color="auto" w:sz="4" w:space="0"/>
            </w:tcBorders>
          </w:tcPr>
          <w:p w14:paraId="329C2AF1">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c>
          <w:tcPr>
            <w:tcW w:w="572" w:type="pct"/>
            <w:tcBorders>
              <w:bottom w:val="single" w:color="auto" w:sz="4" w:space="0"/>
            </w:tcBorders>
          </w:tcPr>
          <w:p w14:paraId="2C281F8B">
            <w:pPr>
              <w:widowControl w:val="0"/>
              <w:spacing w:after="0" w:line="240" w:lineRule="auto"/>
              <w:jc w:val="left"/>
              <w:rPr>
                <w:rFonts w:eastAsia="宋体" w:asciiTheme="majorBidi" w:hAnsiTheme="majorBidi" w:cstheme="majorBidi"/>
                <w:kern w:val="0"/>
                <w:sz w:val="18"/>
                <w:szCs w:val="20"/>
                <w14:ligatures w14:val="none"/>
              </w:rPr>
            </w:pPr>
            <w:r>
              <w:rPr>
                <w:rFonts w:eastAsia="宋体" w:asciiTheme="majorBidi" w:hAnsiTheme="majorBidi" w:cstheme="majorBidi"/>
                <w:kern w:val="0"/>
                <w:sz w:val="18"/>
                <w:szCs w:val="20"/>
                <w14:ligatures w14:val="none"/>
              </w:rPr>
              <w:t>L</w:t>
            </w:r>
          </w:p>
        </w:tc>
      </w:tr>
    </w:tbl>
    <w:p w14:paraId="640B31C1">
      <w:pPr>
        <w:spacing w:after="0" w:line="480" w:lineRule="auto"/>
        <w:rPr>
          <w:rFonts w:ascii="Times New Roman" w:hAnsi="Times New Roman" w:cs="Times New Roman"/>
          <w:sz w:val="20"/>
          <w:szCs w:val="20"/>
          <w:lang w:val="en-GB"/>
        </w:rPr>
      </w:pPr>
      <w:r>
        <w:rPr>
          <w:rFonts w:eastAsia="AdvOT596495f2" w:asciiTheme="majorBidi" w:hAnsiTheme="majorBidi" w:cstheme="majorBidi"/>
          <w:i/>
          <w:iCs/>
          <w:color w:val="000000"/>
          <w:sz w:val="18"/>
          <w:szCs w:val="18"/>
          <w:lang w:eastAsia="zh-CN" w:bidi="ar"/>
        </w:rPr>
        <w:t>Note.</w:t>
      </w:r>
      <w:r>
        <w:rPr>
          <w:rFonts w:eastAsia="AdvOT596495f2" w:asciiTheme="majorBidi" w:hAnsiTheme="majorBidi" w:cstheme="majorBidi"/>
          <w:color w:val="000000"/>
          <w:sz w:val="18"/>
          <w:szCs w:val="18"/>
          <w:lang w:eastAsia="zh-CN" w:bidi="ar"/>
        </w:rPr>
        <w:t xml:space="preserve"> H = high risk of bias, U = unclear risk of bias, L = low risk of bias.</w:t>
      </w:r>
    </w:p>
    <w:p w14:paraId="472EA622">
      <w:pPr>
        <w:spacing w:after="0" w:line="480" w:lineRule="auto"/>
        <w:rPr>
          <w:rFonts w:ascii="Times New Roman" w:hAnsi="Times New Roman" w:cs="Times New Roman"/>
          <w:sz w:val="24"/>
          <w:szCs w:val="24"/>
        </w:rPr>
      </w:pPr>
    </w:p>
    <w:p w14:paraId="321166B9">
      <w:pPr>
        <w:spacing w:after="0" w:line="480" w:lineRule="auto"/>
        <w:rPr>
          <w:rFonts w:ascii="Times New Roman" w:hAnsi="Times New Roman" w:cs="Times New Roman"/>
          <w:sz w:val="24"/>
          <w:szCs w:val="24"/>
        </w:rPr>
      </w:pPr>
    </w:p>
    <w:p w14:paraId="3D59179D">
      <w:pPr>
        <w:spacing w:after="0" w:line="480" w:lineRule="auto"/>
        <w:rPr>
          <w:rFonts w:ascii="Times New Roman" w:hAnsi="Times New Roman" w:cs="Times New Roman"/>
          <w:sz w:val="24"/>
          <w:szCs w:val="24"/>
        </w:rPr>
      </w:pPr>
    </w:p>
    <w:p w14:paraId="794C0B05">
      <w:pPr>
        <w:spacing w:after="0" w:line="480" w:lineRule="auto"/>
        <w:rPr>
          <w:rFonts w:ascii="Times New Roman" w:hAnsi="Times New Roman" w:cs="Times New Roman"/>
          <w:sz w:val="24"/>
          <w:szCs w:val="24"/>
        </w:rPr>
      </w:pPr>
    </w:p>
    <w:p w14:paraId="55323BC7">
      <w:pPr>
        <w:spacing w:after="0" w:line="480" w:lineRule="auto"/>
        <w:rPr>
          <w:rFonts w:ascii="Times New Roman" w:hAnsi="Times New Roman" w:cs="Times New Roman"/>
          <w:sz w:val="24"/>
          <w:szCs w:val="24"/>
        </w:rPr>
      </w:pPr>
    </w:p>
    <w:p w14:paraId="664785CE">
      <w:pPr>
        <w:spacing w:after="0" w:line="480" w:lineRule="auto"/>
        <w:rPr>
          <w:rFonts w:ascii="Times New Roman" w:hAnsi="Times New Roman" w:cs="Times New Roman"/>
          <w:sz w:val="24"/>
          <w:szCs w:val="24"/>
        </w:rPr>
      </w:pPr>
    </w:p>
    <w:p w14:paraId="234807EB">
      <w:pPr>
        <w:spacing w:after="0" w:line="480" w:lineRule="auto"/>
        <w:rPr>
          <w:rFonts w:ascii="Times New Roman" w:hAnsi="Times New Roman" w:cs="Times New Roman"/>
          <w:sz w:val="24"/>
          <w:szCs w:val="24"/>
        </w:rPr>
      </w:pPr>
    </w:p>
    <w:p w14:paraId="1E78EF6E">
      <w:pPr>
        <w:spacing w:after="0" w:line="480" w:lineRule="auto"/>
        <w:rPr>
          <w:rFonts w:ascii="Times New Roman" w:hAnsi="Times New Roman" w:cs="Times New Roman"/>
          <w:sz w:val="24"/>
          <w:szCs w:val="24"/>
        </w:rPr>
      </w:pPr>
    </w:p>
    <w:p w14:paraId="3799CC18">
      <w:pPr>
        <w:spacing w:after="0" w:line="480" w:lineRule="auto"/>
        <w:rPr>
          <w:rFonts w:ascii="Times New Roman" w:hAnsi="Times New Roman" w:cs="Times New Roman"/>
          <w:sz w:val="24"/>
          <w:szCs w:val="24"/>
        </w:rPr>
      </w:pPr>
    </w:p>
    <w:p w14:paraId="588C3E84">
      <w:pPr>
        <w:spacing w:after="0" w:line="480" w:lineRule="auto"/>
        <w:rPr>
          <w:rFonts w:ascii="Times New Roman" w:hAnsi="Times New Roman" w:cs="Times New Roman"/>
          <w:sz w:val="24"/>
          <w:szCs w:val="24"/>
        </w:rPr>
      </w:pPr>
    </w:p>
    <w:p w14:paraId="3DE0806C">
      <w:pPr>
        <w:spacing w:after="0" w:line="480" w:lineRule="auto"/>
        <w:rPr>
          <w:rFonts w:hint="default" w:ascii="Times New Roman" w:hAnsi="Times New Roman" w:cs="Times New Roman"/>
          <w:b/>
          <w:bCs/>
          <w:sz w:val="20"/>
          <w:szCs w:val="20"/>
          <w:lang w:val="en-US" w:eastAsia="zh-CN"/>
        </w:rPr>
      </w:pPr>
      <w:r>
        <w:rPr>
          <w:rFonts w:ascii="Times New Roman" w:hAnsi="Times New Roman" w:cs="Times New Roman"/>
          <w:b/>
          <w:bCs/>
          <w:sz w:val="20"/>
          <w:szCs w:val="20"/>
          <w:lang w:val="en-GB" w:eastAsia="zh-CN"/>
        </w:rPr>
        <w:t>Reference</w:t>
      </w:r>
      <w:r>
        <w:rPr>
          <w:rFonts w:hint="eastAsia" w:ascii="Times New Roman" w:hAnsi="Times New Roman" w:cs="Times New Roman"/>
          <w:b/>
          <w:bCs/>
          <w:sz w:val="20"/>
          <w:szCs w:val="20"/>
          <w:lang w:val="en-US" w:eastAsia="zh-CN"/>
        </w:rPr>
        <w:t xml:space="preserve"> L</w:t>
      </w:r>
      <w:bookmarkStart w:id="1" w:name="_GoBack"/>
      <w:bookmarkEnd w:id="1"/>
      <w:r>
        <w:rPr>
          <w:rFonts w:hint="eastAsia" w:ascii="Times New Roman" w:hAnsi="Times New Roman" w:cs="Times New Roman"/>
          <w:b/>
          <w:bCs/>
          <w:sz w:val="20"/>
          <w:szCs w:val="20"/>
          <w:lang w:val="en-US" w:eastAsia="zh-CN"/>
        </w:rPr>
        <w:t>ist</w:t>
      </w:r>
    </w:p>
    <w:p w14:paraId="1FB58DD7">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Courtade GR, Browder DM, Spooner F, Dibiase W (2010) Training teachers to use an inquiry-based task analysis to teach science to students with moderate and severe disabilities. Educ Train Autism Dev Disabil 45(3):378–399</w:t>
      </w:r>
    </w:p>
    <w:p w14:paraId="4C71453E">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Cihak DF, Fletcher D, Boon RT (2010) Effects of the TOUCHMATH program compared to a number line strategy to teach addition facts to middle school students with moderate intellectual disabilities. Educ Train Autism Dev Disabil 45(3):449–445</w:t>
      </w:r>
    </w:p>
    <w:p w14:paraId="46F6AAED">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Rockwell SB, Griffin CC, Jones HA (2011) Schema-based strategy instruction in mathematics and the word problem-solving performance of a student with autism. Focus Autism Other Dev Disabil 26(2):87–95.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"https://doi.org/10.1177/1088357611405039"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https://doi.org/10.1177/1088357611405039</w:t>
      </w:r>
      <w:r>
        <w:rPr>
          <w:rFonts w:ascii="Times New Roman" w:hAnsi="Times New Roman" w:cs="Times New Roman"/>
          <w:sz w:val="20"/>
          <w:szCs w:val="20"/>
          <w:lang w:val="en-GB" w:eastAsia="zh-CN"/>
        </w:rPr>
        <w:fldChar w:fldCharType="end"/>
      </w:r>
    </w:p>
    <w:p w14:paraId="7D4DA728">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Jimenez BA, Browder DM, Spooner F, Dibiase W (2012) Inclusive inquiry science using peer-mediated embedded instruction for students with moderate intellectual disability. Except Child 78(3):301–317.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"https://doi.org/10.1177/001440291207800303"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https://doi.org/10.1177/001440291207800303</w:t>
      </w:r>
      <w:r>
        <w:rPr>
          <w:rFonts w:ascii="Times New Roman" w:hAnsi="Times New Roman" w:cs="Times New Roman"/>
          <w:sz w:val="20"/>
          <w:szCs w:val="20"/>
          <w:lang w:val="en-GB" w:eastAsia="zh-CN"/>
        </w:rPr>
        <w:fldChar w:fldCharType="end"/>
      </w:r>
    </w:p>
    <w:p w14:paraId="5C446947">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Carnahan CR, Williamson PS (2013) Does compare-contrast text structure help students with autism spectrum disorder comprehend science text? Except Child 79(3):347–363.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"https://doi.org/10.1177/001440291307900302"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https://doi.org/10.1177/001440291307900302</w:t>
      </w:r>
      <w:r>
        <w:rPr>
          <w:rFonts w:ascii="Times New Roman" w:hAnsi="Times New Roman" w:cs="Times New Roman"/>
          <w:sz w:val="20"/>
          <w:szCs w:val="20"/>
          <w:lang w:val="en-GB" w:eastAsia="zh-CN"/>
        </w:rPr>
        <w:fldChar w:fldCharType="end"/>
      </w:r>
    </w:p>
    <w:p w14:paraId="60E36A93">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Jimenez BA, Kemmery M (2013) Building the early numeracy skills of students with moderate intellectual disability. Educ Train Autism Dev Disabil 48(4):479–490</w:t>
      </w:r>
    </w:p>
    <w:p w14:paraId="6FC697EE">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Smith BR, Spooner F, Wood CL (2013) Using embedded computer-assisted explicit instruction to teach science to students with autism spectrum disorder. Res Autism Spectr Disord 7(3):433–443.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"https://doi.org/10.1016/j.rasd.2012.10.010"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https://doi.org/10.1016/j.rasd.2012.10.010</w:t>
      </w:r>
      <w:r>
        <w:rPr>
          <w:rFonts w:ascii="Times New Roman" w:hAnsi="Times New Roman" w:cs="Times New Roman"/>
          <w:sz w:val="20"/>
          <w:szCs w:val="20"/>
          <w:lang w:val="en-GB" w:eastAsia="zh-CN"/>
        </w:rPr>
        <w:fldChar w:fldCharType="end"/>
      </w:r>
    </w:p>
    <w:p w14:paraId="3CC33845">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Burton CE, Anderson DH, Prater MA, Dyches TT (2013) Video self-modelling on an iPad to teach functional math skills to adolescents with autism and intellectual disability. Focus Autism Other Dev Disabil 28(2):67–77</w:t>
      </w:r>
    </w:p>
    <w:p w14:paraId="64037FBE">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Knight VF, Spooner F, Browder DM, Smith BR, Wood CL (2013) Using systematic instruction and graphic organisers to teach science concepts to students with autism spectrum disorders and intellectual disability. Focus Autism Other Dev Disabil 28(2):115–126.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"https://doi.org/10.1177/1088357612475301"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https://doi.org/10.1177/1088357612475301</w:t>
      </w:r>
      <w:r>
        <w:rPr>
          <w:rFonts w:ascii="Times New Roman" w:hAnsi="Times New Roman" w:cs="Times New Roman"/>
          <w:sz w:val="20"/>
          <w:szCs w:val="20"/>
          <w:lang w:val="en-GB" w:eastAsia="zh-CN"/>
        </w:rPr>
        <w:fldChar w:fldCharType="end"/>
      </w:r>
    </w:p>
    <w:p w14:paraId="00F769FA">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Schaefer Whitby PJ (2013) The effects of Solve It! on the mathematical word problem-solving ability of adolescents with autism spectrum disorders. Focus Autism Other Dev Disabil 28(2):78–88.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"https://doi.org/10.1177/1088357612468764"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https://doi.org/10.1177/1088357612468764</w:t>
      </w:r>
      <w:r>
        <w:rPr>
          <w:rFonts w:ascii="Times New Roman" w:hAnsi="Times New Roman" w:cs="Times New Roman"/>
          <w:sz w:val="20"/>
          <w:szCs w:val="20"/>
          <w:lang w:val="en-GB" w:eastAsia="zh-CN"/>
        </w:rPr>
        <w:fldChar w:fldCharType="end"/>
      </w:r>
    </w:p>
    <w:p w14:paraId="00550B99">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Jimenez BA, Lo Y, Saunders AF (2014) The additive effects of scripted lessons plus guided notes on science quiz scores of students with intellectual disability and autism. J Spec Educ 47(4):231–244.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"https://doi.org/10.1177/0022466912437937"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https://doi.org/10.1177/0022466912437937</w:t>
      </w:r>
      <w:r>
        <w:rPr>
          <w:rFonts w:ascii="Times New Roman" w:hAnsi="Times New Roman" w:cs="Times New Roman"/>
          <w:sz w:val="20"/>
          <w:szCs w:val="20"/>
          <w:lang w:val="en-GB" w:eastAsia="zh-CN"/>
        </w:rPr>
        <w:fldChar w:fldCharType="end"/>
      </w:r>
    </w:p>
    <w:p w14:paraId="567B74FA">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Weng PL, Bouck EC (2014) Using video prompting via iPads to teach price comparison to adolescents with autism. Res Autism Spectr Disord 8(10):1405–1415.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"https://doi.org/10.1016/j.rasd.2014.06.014"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https://doi.org/10.1016/j.rasd.2014.06.014</w:t>
      </w:r>
      <w:r>
        <w:rPr>
          <w:rFonts w:ascii="Times New Roman" w:hAnsi="Times New Roman" w:cs="Times New Roman"/>
          <w:sz w:val="20"/>
          <w:szCs w:val="20"/>
          <w:lang w:val="en-GB" w:eastAsia="zh-CN"/>
        </w:rPr>
        <w:fldChar w:fldCharType="end"/>
      </w:r>
    </w:p>
    <w:p w14:paraId="5AF0565B">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Knight VF, Wood CL, Spooner F, Browder DM, O’Brien CP (2015) An exploratory study using science e-texts with students with autism spectrum disorder. Focus Autism Other Dev Disabil 30(2):86–99.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"https://doi.org/10.1177/1088357614559214"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https://doi.org/10.1177/1088357614559214</w:t>
      </w:r>
      <w:r>
        <w:rPr>
          <w:rFonts w:ascii="Times New Roman" w:hAnsi="Times New Roman" w:cs="Times New Roman"/>
          <w:sz w:val="20"/>
          <w:szCs w:val="20"/>
          <w:lang w:val="en-GB" w:eastAsia="zh-CN"/>
        </w:rPr>
        <w:fldChar w:fldCharType="end"/>
      </w:r>
    </w:p>
    <w:p w14:paraId="7CD6E33A">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Miller B (2015) Using science inquiry methods to promote self-determination and problem-solving skills for students with moderate intellectual disability. Dissertation, Purdue University.</w:t>
      </w:r>
      <w:r>
        <w:rPr>
          <w:rFonts w:ascii="Times New Roman" w:hAnsi="Times New Roman" w:cs="Times New Roman"/>
          <w:sz w:val="20"/>
          <w:szCs w:val="20"/>
          <w:lang w:val="en-GB" w:eastAsia="zh-CN"/>
        </w:rPr>
        <w:tab/>
      </w:r>
      <w:r>
        <w:rPr>
          <w:rFonts w:ascii="Times New Roman" w:hAnsi="Times New Roman" w:cs="Times New Roman"/>
          <w:sz w:val="20"/>
          <w:szCs w:val="20"/>
          <w:lang w:val="en-GB" w:eastAsia="zh-CN"/>
        </w:rPr>
        <w:t xml:space="preserve">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"https://www.proquest.com/openview/e4bd1461547c40a8358b5146f4d5e768/1?pq-origsite=gscholar&amp;cbl=18750"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https://www.proquest.com/openview/e4bd1461547c40a8358b5146f4d5e768/1?pq-origsite=gscholar&amp;cbl=18750</w:t>
      </w:r>
      <w:r>
        <w:rPr>
          <w:rFonts w:ascii="Times New Roman" w:hAnsi="Times New Roman" w:cs="Times New Roman"/>
          <w:sz w:val="20"/>
          <w:szCs w:val="20"/>
          <w:lang w:val="en-GB" w:eastAsia="zh-CN"/>
        </w:rPr>
        <w:fldChar w:fldCharType="end"/>
      </w:r>
    </w:p>
    <w:p w14:paraId="7B086F65">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Heinrich S, Collins BC, Knight V, Spriggs AD (2016) Embedded simultaneous prompting procedure to teach STEM content to high school students with moderate disabilities in an inclusive setting. Educ Train Autism Dev Disabil 51(1):41–54</w:t>
      </w:r>
    </w:p>
    <w:p w14:paraId="6871E815">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Yakubova G, Hughes EM, Shinaberry M (2016) Learning with technology: Video modeling with concrete–representational–abstract sequencing for students with autism spectrum disorder. J Autism Dev Disord 46(7):2349–2362.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"https://doi.org/10.1007/s10803-016-2768-7"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https://doi.org/10.1007/s10803-016-2768-7</w:t>
      </w:r>
      <w:r>
        <w:rPr>
          <w:rFonts w:ascii="Times New Roman" w:hAnsi="Times New Roman" w:cs="Times New Roman"/>
          <w:sz w:val="20"/>
          <w:szCs w:val="20"/>
          <w:lang w:val="en-GB" w:eastAsia="zh-CN"/>
        </w:rPr>
        <w:fldChar w:fldCharType="end"/>
      </w:r>
    </w:p>
    <w:p w14:paraId="1F341696">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Carnahan CR, Williamson P, Birri N, Swoboda C, Snyder KK (2016) Increasing comprehension of expository science text for students with autism spectrum disorder. Focus Autism Other Dev Disabil 31(3):208–220.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"https://doi.org/10.1177/1088357615610539"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https://doi.org/10.1177/1088357615610539</w:t>
      </w:r>
      <w:r>
        <w:rPr>
          <w:rFonts w:ascii="Times New Roman" w:hAnsi="Times New Roman" w:cs="Times New Roman"/>
          <w:sz w:val="20"/>
          <w:szCs w:val="20"/>
          <w:lang w:val="en-GB" w:eastAsia="zh-CN"/>
        </w:rPr>
        <w:fldChar w:fldCharType="end"/>
      </w:r>
    </w:p>
    <w:p w14:paraId="400670C1">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Kellems RO, Frandsen K, Hansen B, Gabrielsen T, Clarke B, Simons K, Clements K (2016) Teaching multi-step math skills to adults with disabilities via video prompting. Res Dev Disabil 58:31–44.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"https://doi.org/10.1016/j.ridd.2016.08.013"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https://doi.org/10.1016/j.ridd.2016.08.013</w:t>
      </w:r>
      <w:r>
        <w:rPr>
          <w:rFonts w:ascii="Times New Roman" w:hAnsi="Times New Roman" w:cs="Times New Roman"/>
          <w:sz w:val="20"/>
          <w:szCs w:val="20"/>
          <w:lang w:val="en-GB" w:eastAsia="zh-CN"/>
        </w:rPr>
        <w:fldChar w:fldCharType="end"/>
      </w:r>
    </w:p>
    <w:p w14:paraId="3D51A39E">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Kasap C, Ergenekon Y (2017) Effects of a schema approach for the achievement of the verbal mathematics problem-solving skills in individuals with autism spectrum disorders. Educ Sci Theory Pract.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"https://doi.org/10.12738/estp.2017.6.0660"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https://doi.org/10.12738/estp.2017.6.0660</w:t>
      </w:r>
      <w:r>
        <w:rPr>
          <w:rFonts w:ascii="Times New Roman" w:hAnsi="Times New Roman" w:cs="Times New Roman"/>
          <w:sz w:val="20"/>
          <w:szCs w:val="20"/>
          <w:lang w:val="en-GB" w:eastAsia="zh-CN"/>
        </w:rPr>
        <w:fldChar w:fldCharType="end"/>
      </w:r>
    </w:p>
    <w:p w14:paraId="23F9DC59">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Collins BC, Terrell M, Test DW (2017) Using a simultaneous prompting procedure to embed core content when teaching a potential employment skill. Career Dev Transit Except Individ 40(1):36–44.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"https://doi.org/10.1177/2165143416680347"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https://doi.org/10.1177/2165143416680347</w:t>
      </w:r>
      <w:r>
        <w:rPr>
          <w:rFonts w:ascii="Times New Roman" w:hAnsi="Times New Roman" w:cs="Times New Roman"/>
          <w:sz w:val="20"/>
          <w:szCs w:val="20"/>
          <w:lang w:val="en-GB" w:eastAsia="zh-CN"/>
        </w:rPr>
        <w:fldChar w:fldCharType="end"/>
      </w:r>
    </w:p>
    <w:p w14:paraId="2D827C39">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Root J, Saunders A, Spooner F, Brosh C (2017) Teaching personal finance mathematical problem-solving to individuals with moderate intellectual disability. Career Dev Transit Except Individ 40(1):5–14.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"https://doi.org/10.1177/2165143416681288"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https://doi.org/10.1177/2165143416681288</w:t>
      </w:r>
      <w:r>
        <w:rPr>
          <w:rFonts w:ascii="Times New Roman" w:hAnsi="Times New Roman" w:cs="Times New Roman"/>
          <w:sz w:val="20"/>
          <w:szCs w:val="20"/>
          <w:lang w:val="en-GB" w:eastAsia="zh-CN"/>
        </w:rPr>
        <w:fldChar w:fldCharType="end"/>
      </w:r>
    </w:p>
    <w:p w14:paraId="718D6730">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Bouck EC, Park J, Sprick J, Shurr J, Bassette L, Whorley A (2017) Using the virtual-abstract instructional sequence to teach addition of fractions. Res Dev Disabil 70:163–174.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"https://doi.org/10.1016/j.ridd.2017.09.002"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https://doi.org/10.1016/j.ridd.2017.09.002</w:t>
      </w:r>
      <w:r>
        <w:rPr>
          <w:rFonts w:ascii="Times New Roman" w:hAnsi="Times New Roman" w:cs="Times New Roman"/>
          <w:sz w:val="20"/>
          <w:szCs w:val="20"/>
          <w:lang w:val="en-GB" w:eastAsia="zh-CN"/>
        </w:rPr>
        <w:fldChar w:fldCharType="end"/>
      </w:r>
    </w:p>
    <w:p w14:paraId="741593C1">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Saunders AF, Spooner F, Ley Davis L (2018) Using video prompting to teach mathematical problem-solving of real-world video-simulation problems. Remed Spec Educ 39(1):53–64.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"https://doi.org/10.1177/0741932517717042"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https://doi.org/10.1177/0741932517717042</w:t>
      </w:r>
      <w:r>
        <w:rPr>
          <w:rFonts w:ascii="Times New Roman" w:hAnsi="Times New Roman" w:cs="Times New Roman"/>
          <w:sz w:val="20"/>
          <w:szCs w:val="20"/>
          <w:lang w:val="en-GB" w:eastAsia="zh-CN"/>
        </w:rPr>
        <w:fldChar w:fldCharType="end"/>
      </w:r>
    </w:p>
    <w:p w14:paraId="427F3DE4">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Taylor MS (2018) Computer programming with pre-k through first-grade students with intellectual disabilities. J Spec Educ 52(2):78–88.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"https://doi.org/10.1177/0022466918761120"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https://doi.org/10.1177/0022466918761120</w:t>
      </w:r>
      <w:r>
        <w:rPr>
          <w:rFonts w:ascii="Times New Roman" w:hAnsi="Times New Roman" w:cs="Times New Roman"/>
          <w:sz w:val="20"/>
          <w:szCs w:val="20"/>
          <w:lang w:val="en-GB" w:eastAsia="zh-CN"/>
        </w:rPr>
        <w:fldChar w:fldCharType="end"/>
      </w:r>
    </w:p>
    <w:p w14:paraId="242C1B5F">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McKissick BR, Davis LL, Spooner F, Fisher LB, Graves C (2018) Using computer-assisted instruction to teach science vocabulary to students with autism spectrum disorder and intellectual disability. Rural Special Educ Q 37(4):207–218</w:t>
      </w:r>
    </w:p>
    <w:p w14:paraId="20982807">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Root JR, Cox SK, Hammons N, Saunders AF, Gilley D (2018) Contextualising mathematics: Teaching problem-solving to secondary students with intellectual and developmental disabilities. Intellect Dev Disabil 56(6):442–457.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"https://doi.org/10.1352/1934-9556-56.6.442"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https://doi.org/10.1352/1934-9556-56.6.442</w:t>
      </w:r>
      <w:r>
        <w:rPr>
          <w:rFonts w:ascii="Times New Roman" w:hAnsi="Times New Roman" w:cs="Times New Roman"/>
          <w:sz w:val="20"/>
          <w:szCs w:val="20"/>
          <w:lang w:val="en-GB" w:eastAsia="zh-CN"/>
        </w:rPr>
        <w:fldChar w:fldCharType="end"/>
      </w:r>
    </w:p>
    <w:p w14:paraId="5677BD6B">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Root JR, Cox SK, Gonzalez S (2019) Using modified schema-based instruction with technology-based supports to teach data analysis. Res Pract Persons Severe Disabil 44(1):53–68.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"https://doi.org/10.1177/1540796919833915"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https://doi.org/10.1177/1540796919833915</w:t>
      </w:r>
      <w:r>
        <w:rPr>
          <w:rFonts w:ascii="Times New Roman" w:hAnsi="Times New Roman" w:cs="Times New Roman"/>
          <w:sz w:val="20"/>
          <w:szCs w:val="20"/>
          <w:lang w:val="en-GB" w:eastAsia="zh-CN"/>
        </w:rPr>
        <w:fldChar w:fldCharType="end"/>
      </w:r>
    </w:p>
    <w:p w14:paraId="638182B8">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Orihuela SM, Collins BC, Spriggs AD, Kleinert H (2019) An instructional package for teaching geometric shapes to elementary students with moderate intellectual disability. J Behav Educ 28(2):169–186.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"https://doi.org/10.1007/s10864-018-09314-5"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https://doi.org/10.1007/s10864-018-09314-5</w:t>
      </w:r>
      <w:r>
        <w:rPr>
          <w:rFonts w:ascii="Times New Roman" w:hAnsi="Times New Roman" w:cs="Times New Roman"/>
          <w:sz w:val="20"/>
          <w:szCs w:val="20"/>
          <w:lang w:val="en-GB" w:eastAsia="zh-CN"/>
        </w:rPr>
        <w:fldChar w:fldCharType="end"/>
      </w:r>
    </w:p>
    <w:p w14:paraId="5B6CED0C">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Knight VF, Wright J, Wilson K, Hooper A (2019) Teaching digital, block-based coding of robots to high school students with autism spectrum disorder and challenging behaviour. J Autism Dev Disord 49(8):3113–3126.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"https://doi.org/10.1007/s10803-019-04033-w"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https://doi.org/10.1007/s10803-019-04033-w</w:t>
      </w:r>
      <w:r>
        <w:rPr>
          <w:rFonts w:ascii="Times New Roman" w:hAnsi="Times New Roman" w:cs="Times New Roman"/>
          <w:sz w:val="20"/>
          <w:szCs w:val="20"/>
          <w:lang w:val="en-GB" w:eastAsia="zh-CN"/>
        </w:rPr>
        <w:fldChar w:fldCharType="end"/>
      </w:r>
    </w:p>
    <w:p w14:paraId="5A01A0FE">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Cox SK, Root JR (2020) Modified schema-based instruction to develop flexible mathematics problem-solving strategies for students with autism spectrum disorder. Remed Spec Educ 41(3):139–151.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"https://doi.org/10.1177/0741932518792660"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https://doi.org/10.1177/0741932518792660</w:t>
      </w:r>
      <w:r>
        <w:rPr>
          <w:rFonts w:ascii="Times New Roman" w:hAnsi="Times New Roman" w:cs="Times New Roman"/>
          <w:sz w:val="20"/>
          <w:szCs w:val="20"/>
          <w:lang w:val="en-GB" w:eastAsia="zh-CN"/>
        </w:rPr>
        <w:fldChar w:fldCharType="end"/>
      </w:r>
    </w:p>
    <w:p w14:paraId="578BACE1">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Jackson EM, Hanline MF (2020) Using a concept map with RECALL to increase the comprehension of science texts for children with autism. Focus Autism Other Dev Disabil 35(2):90–100.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"https://doi.org/10.1177/1088357619889933"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https://doi.org/10.1177/1088357619889933</w:t>
      </w:r>
      <w:r>
        <w:rPr>
          <w:rFonts w:ascii="Times New Roman" w:hAnsi="Times New Roman" w:cs="Times New Roman"/>
          <w:sz w:val="20"/>
          <w:szCs w:val="20"/>
          <w:lang w:val="en-GB" w:eastAsia="zh-CN"/>
        </w:rPr>
        <w:fldChar w:fldCharType="end"/>
      </w:r>
    </w:p>
    <w:p w14:paraId="544CA72E">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Yakubova G, Hughes EM, Chen BB (2020) Teaching students with ASD to solve fraction computations using a video modelling instructional package. Res Dev Disabil 101:103637.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"https://doi.org/10.1016/j.ridd.2020.103637"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https://doi.org/10.1016/j.ridd.2020.103637</w:t>
      </w:r>
      <w:r>
        <w:rPr>
          <w:rFonts w:ascii="Times New Roman" w:hAnsi="Times New Roman" w:cs="Times New Roman"/>
          <w:sz w:val="20"/>
          <w:szCs w:val="20"/>
          <w:lang w:val="en-GB" w:eastAsia="zh-CN"/>
        </w:rPr>
        <w:fldChar w:fldCharType="end"/>
      </w:r>
    </w:p>
    <w:p w14:paraId="17EA1392">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Greene A, Bethune KS (2021) The effects of systematic instruction in a group format to teach science to students with autism and intellectual disability. J Behav Educ 30(1): 62–79.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"https://doi.org/10.1007/s10864-019-09353-6"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https://doi.org/10.1007/s10864-019-09353-6</w:t>
      </w:r>
      <w:r>
        <w:rPr>
          <w:rFonts w:ascii="Times New Roman" w:hAnsi="Times New Roman" w:cs="Times New Roman"/>
          <w:sz w:val="20"/>
          <w:szCs w:val="20"/>
          <w:lang w:val="en-GB" w:eastAsia="zh-CN"/>
        </w:rPr>
        <w:fldChar w:fldCharType="end"/>
      </w:r>
    </w:p>
    <w:p w14:paraId="3CB05107">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Cox SK, Root JR (2021) Development of mathematical practices through word problem–solving instruction for students with autism spectrum disorder. Except Child 87(3):326–343.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"https://doi.org/10.1177/0014402921990890"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https://doi.org/10.1177/0014402921990890</w:t>
      </w:r>
      <w:r>
        <w:rPr>
          <w:rFonts w:ascii="Times New Roman" w:hAnsi="Times New Roman" w:cs="Times New Roman"/>
          <w:sz w:val="20"/>
          <w:szCs w:val="20"/>
          <w:lang w:val="en-GB" w:eastAsia="zh-CN"/>
        </w:rPr>
        <w:fldChar w:fldCharType="end"/>
      </w:r>
    </w:p>
    <w:p w14:paraId="40236D09">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Wright JC, Knight VF, Barton EE, Edwards-Bowyer M (2021) Video prompting to teach robotics and coding to middle school students with autism spectrum disorder. J Spec Educ Technol 36(4):187–201.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"https://doi.org/10.1177/0162643419890249"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https://doi.org/10.1177/0162643419890249</w:t>
      </w:r>
      <w:r>
        <w:rPr>
          <w:rFonts w:ascii="Times New Roman" w:hAnsi="Times New Roman" w:cs="Times New Roman"/>
          <w:sz w:val="20"/>
          <w:szCs w:val="20"/>
          <w:lang w:val="en-GB" w:eastAsia="zh-CN"/>
        </w:rPr>
        <w:fldChar w:fldCharType="end"/>
      </w:r>
    </w:p>
    <w:p w14:paraId="6A1071AE">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Chen BB, Yakubova G, Hughes EM (2022) Mathematics support strategies for teaching students with ASD to solve fraction computation problems: An exploratory A-B design study. Prev Sch Fail 66(2):99–108.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"https://doi.org/10.1080/1045988X.2022.2037493"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https://doi.org/10.1080/1045988X.2022.2037493</w:t>
      </w:r>
      <w:r>
        <w:rPr>
          <w:rFonts w:ascii="Times New Roman" w:hAnsi="Times New Roman" w:cs="Times New Roman"/>
          <w:sz w:val="20"/>
          <w:szCs w:val="20"/>
          <w:lang w:val="en-GB" w:eastAsia="zh-CN"/>
        </w:rPr>
        <w:fldChar w:fldCharType="end"/>
      </w:r>
    </w:p>
    <w:p w14:paraId="5BD693D8">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Ley Davis L, Spooner F, Saunders A (2022) Efficacy of peer-delivered mathematical problem-solving instruction to students with extensive support needs. Except Child 89(1):101–118.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"https://doi.org/10.1177/00144029221098764"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https://doi.org/10.1177/00144029221098764</w:t>
      </w:r>
      <w:r>
        <w:rPr>
          <w:rFonts w:ascii="Times New Roman" w:hAnsi="Times New Roman" w:cs="Times New Roman"/>
          <w:sz w:val="20"/>
          <w:szCs w:val="20"/>
          <w:lang w:val="en-GB" w:eastAsia="zh-CN"/>
        </w:rPr>
        <w:fldChar w:fldCharType="end"/>
      </w:r>
    </w:p>
    <w:p w14:paraId="7AA57B21">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Kiyak UE, Toper O (2022) Teaching science facts to students with autism spectrum disorders via Telehealth. J Behav Educ 32:605–615.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"https://doi.org/10.1007/s10864-022-09497-y"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https://doi.org/10.1007/s10864-022-09497-y</w:t>
      </w:r>
      <w:r>
        <w:rPr>
          <w:rFonts w:ascii="Times New Roman" w:hAnsi="Times New Roman" w:cs="Times New Roman"/>
          <w:sz w:val="20"/>
          <w:szCs w:val="20"/>
          <w:lang w:val="en-GB" w:eastAsia="zh-CN"/>
        </w:rPr>
        <w:fldChar w:fldCharType="end"/>
      </w:r>
    </w:p>
    <w:p w14:paraId="36397524">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Liu D, Lory C, Lei Q, Cai W, Mao Y, Yang X (2023) Using explicit instruction and virtual manipulatives to teach measurement concepts for students with autism spectrum disorder. J Special Educ 002246692311715.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"https://doi.org/10.1177/00224669231171558"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https://doi.org/10.1177/00224669231171558</w:t>
      </w:r>
      <w:r>
        <w:rPr>
          <w:rFonts w:ascii="Times New Roman" w:hAnsi="Times New Roman" w:cs="Times New Roman"/>
          <w:sz w:val="20"/>
          <w:szCs w:val="20"/>
          <w:lang w:val="en-GB" w:eastAsia="zh-CN"/>
        </w:rPr>
        <w:fldChar w:fldCharType="end"/>
      </w:r>
    </w:p>
    <w:p w14:paraId="22705394">
      <w:pPr>
        <w:spacing w:after="0" w:line="480" w:lineRule="auto"/>
        <w:ind w:left="400" w:hanging="400" w:hangingChars="200"/>
        <w:rPr>
          <w:rFonts w:ascii="Times New Roman" w:hAnsi="Times New Roman" w:cs="Times New Roman"/>
          <w:sz w:val="20"/>
          <w:szCs w:val="20"/>
          <w:lang w:val="en-GB" w:eastAsia="zh-CN"/>
        </w:rPr>
      </w:pPr>
      <w:r>
        <w:rPr>
          <w:rFonts w:ascii="Times New Roman" w:hAnsi="Times New Roman" w:cs="Times New Roman"/>
          <w:sz w:val="20"/>
          <w:szCs w:val="20"/>
          <w:lang w:val="en-GB" w:eastAsia="zh-CN"/>
        </w:rPr>
        <w:t xml:space="preserve">Wu CL (2023) Using video modeling with augmented reality to teach students with developmental disabilities to solve mathematical word problems. J Dev Phys Disabil 35(3):487–507. </w:t>
      </w:r>
      <w:r>
        <w:rPr>
          <w:rFonts w:ascii="Times New Roman" w:hAnsi="Times New Roman" w:cs="Times New Roman"/>
          <w:sz w:val="20"/>
          <w:szCs w:val="20"/>
          <w:lang w:val="en-GB" w:eastAsia="zh-CN"/>
        </w:rPr>
        <w:fldChar w:fldCharType="begin"/>
      </w:r>
      <w:r>
        <w:rPr>
          <w:rFonts w:ascii="Times New Roman" w:hAnsi="Times New Roman" w:cs="Times New Roman"/>
          <w:sz w:val="20"/>
          <w:szCs w:val="20"/>
          <w:lang w:val="en-GB" w:eastAsia="zh-CN"/>
        </w:rPr>
        <w:instrText xml:space="preserve"> HYPERLINK "https://doi.org/10.1007/s10882-022-09862-9" </w:instrText>
      </w:r>
      <w:r>
        <w:rPr>
          <w:rFonts w:ascii="Times New Roman" w:hAnsi="Times New Roman" w:cs="Times New Roman"/>
          <w:sz w:val="20"/>
          <w:szCs w:val="20"/>
          <w:lang w:val="en-GB" w:eastAsia="zh-CN"/>
        </w:rPr>
        <w:fldChar w:fldCharType="separate"/>
      </w:r>
      <w:r>
        <w:rPr>
          <w:rStyle w:val="30"/>
          <w:rFonts w:ascii="Times New Roman" w:hAnsi="Times New Roman" w:cs="Times New Roman"/>
          <w:sz w:val="20"/>
          <w:szCs w:val="20"/>
          <w:lang w:val="en-GB" w:eastAsia="zh-CN"/>
        </w:rPr>
        <w:t>https://doi.org/10.1007/s10882-022-09862-9</w:t>
      </w:r>
      <w:r>
        <w:rPr>
          <w:rFonts w:ascii="Times New Roman" w:hAnsi="Times New Roman" w:cs="Times New Roman"/>
          <w:sz w:val="20"/>
          <w:szCs w:val="20"/>
          <w:lang w:val="en-GB" w:eastAsia="zh-CN"/>
        </w:rPr>
        <w:fldChar w:fldCharType="end"/>
      </w:r>
    </w:p>
    <w:p w14:paraId="49850A6C">
      <w:pPr>
        <w:spacing w:after="0" w:line="480" w:lineRule="auto"/>
        <w:rPr>
          <w:rFonts w:ascii="Times New Roman" w:hAnsi="Times New Roman" w:cs="Times New Roman"/>
          <w:sz w:val="24"/>
          <w:szCs w:val="24"/>
        </w:rPr>
      </w:pPr>
    </w:p>
    <w:sectPr>
      <w:pgSz w:w="16838" w:h="11906" w:orient="landscape"/>
      <w:pgMar w:top="720" w:right="720" w:bottom="720" w:left="72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宋体"/>
    <w:panose1 w:val="00000000000000000000"/>
    <w:charset w:val="86"/>
    <w:family w:val="swiss"/>
    <w:pitch w:val="default"/>
    <w:sig w:usb0="00000000" w:usb1="00000000" w:usb2="00000000" w:usb3="00000000" w:csb0="0000019F" w:csb1="00000000"/>
  </w:font>
  <w:font w:name="Aptos Display">
    <w:altName w:val="Segoe Print"/>
    <w:panose1 w:val="00000000000000000000"/>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MS Gothic">
    <w:panose1 w:val="020B0609070205080204"/>
    <w:charset w:val="80"/>
    <w:family w:val="modern"/>
    <w:pitch w:val="default"/>
    <w:sig w:usb0="E00002FF" w:usb1="6AC7FDFB" w:usb2="08000012" w:usb3="00000000" w:csb0="4002009F" w:csb1="DFD70000"/>
  </w:font>
  <w:font w:name="AdvOT7fb33346 . I">
    <w:altName w:val="Segoe Print"/>
    <w:panose1 w:val="00000000000000000000"/>
    <w:charset w:val="00"/>
    <w:family w:val="auto"/>
    <w:pitch w:val="default"/>
    <w:sig w:usb0="00000000" w:usb1="00000000" w:usb2="00000000" w:usb3="00000000" w:csb0="00000000" w:csb1="00000000"/>
  </w:font>
  <w:font w:name="AdvOT596495f2">
    <w:altName w:val="Segoe Print"/>
    <w:panose1 w:val="00000000000000000000"/>
    <w:charset w:val="00"/>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A11"/>
    <w:rsid w:val="001E3A0F"/>
    <w:rsid w:val="002A4BBD"/>
    <w:rsid w:val="00671F75"/>
    <w:rsid w:val="00701A11"/>
    <w:rsid w:val="007A3566"/>
    <w:rsid w:val="008514FC"/>
    <w:rsid w:val="00A82530"/>
    <w:rsid w:val="00D2658B"/>
    <w:rsid w:val="00DF4D4D"/>
    <w:rsid w:val="00E0080A"/>
    <w:rsid w:val="00E712AF"/>
    <w:rsid w:val="00FD1D39"/>
    <w:rsid w:val="05C27312"/>
    <w:rsid w:val="193838E8"/>
    <w:rsid w:val="1A295A30"/>
    <w:rsid w:val="1ED938C9"/>
    <w:rsid w:val="2E7E5EE9"/>
    <w:rsid w:val="365A2343"/>
    <w:rsid w:val="365A34BC"/>
    <w:rsid w:val="37270EEB"/>
    <w:rsid w:val="3D0D04E0"/>
    <w:rsid w:val="41E34432"/>
    <w:rsid w:val="4C1F4131"/>
    <w:rsid w:val="4E196921"/>
    <w:rsid w:val="7C076B14"/>
    <w:rsid w:val="7FD51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9" w:semiHidden="0" w:name="heading 2"/>
    <w:lsdException w:qFormat="1"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qFormat="1" w:uiPriority="0" w:semiHidden="0" w:name="line number"/>
    <w:lsdException w:qFormat="1" w:uiPriority="99"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33"/>
    <w:qFormat/>
    <w:uiPriority w:val="0"/>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34"/>
    <w:unhideWhenUsed/>
    <w:qFormat/>
    <w:uiPriority w:val="9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35"/>
    <w:unhideWhenUsed/>
    <w:qFormat/>
    <w:uiPriority w:val="9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36"/>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37"/>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38"/>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9"/>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0"/>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1"/>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25">
    <w:name w:val="Default Paragraph Font"/>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2"/>
    <w:unhideWhenUsed/>
    <w:qFormat/>
    <w:uiPriority w:val="0"/>
    <w:pPr>
      <w:spacing w:line="240" w:lineRule="auto"/>
    </w:pPr>
    <w:rPr>
      <w:kern w:val="0"/>
      <w:sz w:val="20"/>
      <w:szCs w:val="20"/>
      <w:lang w:val="en-GB"/>
      <w14:ligatures w14:val="none"/>
    </w:rPr>
  </w:style>
  <w:style w:type="paragraph" w:styleId="12">
    <w:name w:val="Body Text"/>
    <w:basedOn w:val="1"/>
    <w:link w:val="53"/>
    <w:autoRedefine/>
    <w:semiHidden/>
    <w:unhideWhenUsed/>
    <w:qFormat/>
    <w:uiPriority w:val="99"/>
    <w:pPr>
      <w:spacing w:before="120" w:after="120"/>
      <w:contextualSpacing/>
    </w:pPr>
    <w:rPr>
      <w:rFonts w:ascii="Times New Roman" w:hAnsi="Times New Roman"/>
      <w:kern w:val="0"/>
      <w:sz w:val="24"/>
      <w:lang w:val="en-AU"/>
      <w14:ligatures w14:val="none"/>
    </w:rPr>
  </w:style>
  <w:style w:type="paragraph" w:styleId="13">
    <w:name w:val="endnote text"/>
    <w:basedOn w:val="1"/>
    <w:link w:val="54"/>
    <w:autoRedefine/>
    <w:qFormat/>
    <w:uiPriority w:val="0"/>
    <w:pPr>
      <w:snapToGrid w:val="0"/>
    </w:pPr>
    <w:rPr>
      <w:kern w:val="0"/>
      <w:lang w:val="en-AU"/>
      <w14:ligatures w14:val="none"/>
    </w:rPr>
  </w:style>
  <w:style w:type="paragraph" w:styleId="14">
    <w:name w:val="Balloon Text"/>
    <w:basedOn w:val="1"/>
    <w:link w:val="55"/>
    <w:semiHidden/>
    <w:unhideWhenUsed/>
    <w:qFormat/>
    <w:uiPriority w:val="99"/>
    <w:pPr>
      <w:spacing w:after="0" w:line="240" w:lineRule="auto"/>
    </w:pPr>
    <w:rPr>
      <w:rFonts w:ascii="Segoe UI" w:hAnsi="Segoe UI" w:cs="Segoe UI"/>
      <w:kern w:val="0"/>
      <w:sz w:val="18"/>
      <w:szCs w:val="18"/>
      <w:lang w:val="en-GB"/>
      <w14:ligatures w14:val="none"/>
    </w:rPr>
  </w:style>
  <w:style w:type="paragraph" w:styleId="15">
    <w:name w:val="footer"/>
    <w:basedOn w:val="1"/>
    <w:link w:val="56"/>
    <w:autoRedefine/>
    <w:qFormat/>
    <w:uiPriority w:val="99"/>
    <w:pPr>
      <w:tabs>
        <w:tab w:val="center" w:pos="4153"/>
        <w:tab w:val="right" w:pos="8306"/>
      </w:tabs>
      <w:snapToGrid w:val="0"/>
      <w:spacing w:line="240" w:lineRule="auto"/>
    </w:pPr>
    <w:rPr>
      <w:kern w:val="0"/>
      <w:sz w:val="18"/>
      <w:szCs w:val="18"/>
      <w:lang w:val="en-AU"/>
      <w14:ligatures w14:val="none"/>
    </w:rPr>
  </w:style>
  <w:style w:type="paragraph" w:styleId="16">
    <w:name w:val="header"/>
    <w:basedOn w:val="1"/>
    <w:link w:val="57"/>
    <w:autoRedefine/>
    <w:qFormat/>
    <w:uiPriority w:val="0"/>
    <w:pPr>
      <w:tabs>
        <w:tab w:val="center" w:pos="4153"/>
        <w:tab w:val="right" w:pos="8306"/>
      </w:tabs>
      <w:snapToGrid w:val="0"/>
      <w:spacing w:line="240" w:lineRule="auto"/>
      <w:jc w:val="center"/>
    </w:pPr>
    <w:rPr>
      <w:kern w:val="0"/>
      <w:sz w:val="18"/>
      <w:szCs w:val="18"/>
      <w:lang w:val="en-AU"/>
      <w14:ligatures w14:val="none"/>
    </w:rPr>
  </w:style>
  <w:style w:type="paragraph" w:styleId="17">
    <w:name w:val="Subtitle"/>
    <w:basedOn w:val="1"/>
    <w:next w:val="1"/>
    <w:link w:val="4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footnote text"/>
    <w:basedOn w:val="1"/>
    <w:link w:val="58"/>
    <w:autoRedefine/>
    <w:qFormat/>
    <w:uiPriority w:val="0"/>
    <w:pPr>
      <w:snapToGrid w:val="0"/>
    </w:pPr>
    <w:rPr>
      <w:kern w:val="0"/>
      <w:sz w:val="18"/>
      <w:lang w:val="en-AU"/>
      <w14:ligatures w14:val="none"/>
    </w:rPr>
  </w:style>
  <w:style w:type="paragraph" w:styleId="19">
    <w:name w:val="Normal (Web)"/>
    <w:basedOn w:val="1"/>
    <w:autoRedefine/>
    <w:qFormat/>
    <w:uiPriority w:val="0"/>
    <w:pPr>
      <w:spacing w:beforeAutospacing="1" w:after="0" w:afterAutospacing="1"/>
    </w:pPr>
    <w:rPr>
      <w:rFonts w:cs="Times New Roman"/>
      <w:kern w:val="0"/>
      <w:sz w:val="24"/>
      <w:lang w:val="en-GB" w:eastAsia="zh-CN" w:bidi="he-IL"/>
      <w14:ligatures w14:val="none"/>
    </w:rPr>
  </w:style>
  <w:style w:type="paragraph" w:styleId="20">
    <w:name w:val="Title"/>
    <w:basedOn w:val="1"/>
    <w:next w:val="1"/>
    <w:link w:val="42"/>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1">
    <w:name w:val="annotation subject"/>
    <w:basedOn w:val="11"/>
    <w:next w:val="11"/>
    <w:link w:val="59"/>
    <w:unhideWhenUsed/>
    <w:qFormat/>
    <w:uiPriority w:val="0"/>
    <w:rPr>
      <w:b/>
      <w:bCs/>
    </w:rPr>
  </w:style>
  <w:style w:type="paragraph" w:styleId="22">
    <w:name w:val="Body Text First Indent"/>
    <w:basedOn w:val="12"/>
    <w:link w:val="60"/>
    <w:autoRedefine/>
    <w:semiHidden/>
    <w:unhideWhenUsed/>
    <w:qFormat/>
    <w:uiPriority w:val="99"/>
    <w:pPr>
      <w:spacing w:after="0"/>
      <w:ind w:firstLine="200" w:firstLineChars="200"/>
    </w:pPr>
  </w:style>
  <w:style w:type="table" w:styleId="24">
    <w:name w:val="Table Grid"/>
    <w:basedOn w:val="23"/>
    <w:autoRedefine/>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endnote reference"/>
    <w:basedOn w:val="25"/>
    <w:autoRedefine/>
    <w:qFormat/>
    <w:uiPriority w:val="0"/>
    <w:rPr>
      <w:vertAlign w:val="superscript"/>
    </w:rPr>
  </w:style>
  <w:style w:type="character" w:styleId="27">
    <w:name w:val="page number"/>
    <w:basedOn w:val="25"/>
    <w:semiHidden/>
    <w:unhideWhenUsed/>
    <w:qFormat/>
    <w:uiPriority w:val="99"/>
    <w:rPr>
      <w:rFonts w:ascii="Times New Roman" w:hAnsi="Times New Roman"/>
      <w:sz w:val="24"/>
    </w:rPr>
  </w:style>
  <w:style w:type="character" w:styleId="28">
    <w:name w:val="FollowedHyperlink"/>
    <w:basedOn w:val="25"/>
    <w:autoRedefine/>
    <w:qFormat/>
    <w:uiPriority w:val="0"/>
    <w:rPr>
      <w:color w:val="800080"/>
      <w:u w:val="single"/>
    </w:rPr>
  </w:style>
  <w:style w:type="character" w:styleId="29">
    <w:name w:val="line number"/>
    <w:basedOn w:val="25"/>
    <w:unhideWhenUsed/>
    <w:qFormat/>
    <w:uiPriority w:val="0"/>
    <w:rPr>
      <w:rFonts w:ascii="Times New Roman" w:hAnsi="Times New Roman"/>
      <w:sz w:val="24"/>
    </w:rPr>
  </w:style>
  <w:style w:type="character" w:styleId="30">
    <w:name w:val="Hyperlink"/>
    <w:basedOn w:val="25"/>
    <w:unhideWhenUsed/>
    <w:qFormat/>
    <w:uiPriority w:val="0"/>
    <w:rPr>
      <w:color w:val="467886" w:themeColor="hyperlink"/>
      <w:u w:val="single"/>
      <w14:textFill>
        <w14:solidFill>
          <w14:schemeClr w14:val="hlink"/>
        </w14:solidFill>
      </w14:textFill>
    </w:rPr>
  </w:style>
  <w:style w:type="character" w:styleId="31">
    <w:name w:val="annotation reference"/>
    <w:basedOn w:val="25"/>
    <w:unhideWhenUsed/>
    <w:qFormat/>
    <w:uiPriority w:val="0"/>
    <w:rPr>
      <w:sz w:val="16"/>
      <w:szCs w:val="16"/>
    </w:rPr>
  </w:style>
  <w:style w:type="character" w:styleId="32">
    <w:name w:val="footnote reference"/>
    <w:basedOn w:val="25"/>
    <w:autoRedefine/>
    <w:qFormat/>
    <w:uiPriority w:val="0"/>
    <w:rPr>
      <w:vertAlign w:val="superscript"/>
    </w:rPr>
  </w:style>
  <w:style w:type="character" w:customStyle="1" w:styleId="33">
    <w:name w:val="Heading 1 Char"/>
    <w:basedOn w:val="25"/>
    <w:link w:val="2"/>
    <w:qFormat/>
    <w:uiPriority w:val="0"/>
    <w:rPr>
      <w:rFonts w:asciiTheme="majorHAnsi" w:hAnsiTheme="majorHAnsi" w:eastAsiaTheme="majorEastAsia" w:cstheme="majorBidi"/>
      <w:color w:val="104862" w:themeColor="accent1" w:themeShade="BF"/>
      <w:sz w:val="40"/>
      <w:szCs w:val="40"/>
    </w:rPr>
  </w:style>
  <w:style w:type="character" w:customStyle="1" w:styleId="34">
    <w:name w:val="Heading 2 Char"/>
    <w:basedOn w:val="25"/>
    <w:link w:val="3"/>
    <w:qFormat/>
    <w:uiPriority w:val="99"/>
    <w:rPr>
      <w:rFonts w:asciiTheme="majorHAnsi" w:hAnsiTheme="majorHAnsi" w:eastAsiaTheme="majorEastAsia" w:cstheme="majorBidi"/>
      <w:color w:val="104862" w:themeColor="accent1" w:themeShade="BF"/>
      <w:sz w:val="32"/>
      <w:szCs w:val="32"/>
    </w:rPr>
  </w:style>
  <w:style w:type="character" w:customStyle="1" w:styleId="35">
    <w:name w:val="Heading 3 Char"/>
    <w:basedOn w:val="25"/>
    <w:link w:val="4"/>
    <w:qFormat/>
    <w:uiPriority w:val="99"/>
    <w:rPr>
      <w:rFonts w:eastAsiaTheme="majorEastAsia" w:cstheme="majorBidi"/>
      <w:color w:val="104862" w:themeColor="accent1" w:themeShade="BF"/>
      <w:sz w:val="28"/>
      <w:szCs w:val="28"/>
    </w:rPr>
  </w:style>
  <w:style w:type="character" w:customStyle="1" w:styleId="36">
    <w:name w:val="Heading 4 Char"/>
    <w:basedOn w:val="25"/>
    <w:link w:val="5"/>
    <w:semiHidden/>
    <w:qFormat/>
    <w:uiPriority w:val="9"/>
    <w:rPr>
      <w:rFonts w:eastAsiaTheme="majorEastAsia" w:cstheme="majorBidi"/>
      <w:i/>
      <w:iCs/>
      <w:color w:val="104862" w:themeColor="accent1" w:themeShade="BF"/>
    </w:rPr>
  </w:style>
  <w:style w:type="character" w:customStyle="1" w:styleId="37">
    <w:name w:val="Heading 5 Char"/>
    <w:basedOn w:val="25"/>
    <w:link w:val="6"/>
    <w:semiHidden/>
    <w:qFormat/>
    <w:uiPriority w:val="9"/>
    <w:rPr>
      <w:rFonts w:eastAsiaTheme="majorEastAsia" w:cstheme="majorBidi"/>
      <w:color w:val="104862" w:themeColor="accent1" w:themeShade="BF"/>
    </w:rPr>
  </w:style>
  <w:style w:type="character" w:customStyle="1" w:styleId="38">
    <w:name w:val="Heading 6 Char"/>
    <w:basedOn w:val="25"/>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9">
    <w:name w:val="Heading 7 Char"/>
    <w:basedOn w:val="25"/>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0">
    <w:name w:val="Heading 8 Char"/>
    <w:basedOn w:val="25"/>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41">
    <w:name w:val="Heading 9 Char"/>
    <w:basedOn w:val="25"/>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42">
    <w:name w:val="Title Char"/>
    <w:basedOn w:val="25"/>
    <w:link w:val="20"/>
    <w:qFormat/>
    <w:uiPriority w:val="10"/>
    <w:rPr>
      <w:rFonts w:asciiTheme="majorHAnsi" w:hAnsiTheme="majorHAnsi" w:eastAsiaTheme="majorEastAsia" w:cstheme="majorBidi"/>
      <w:spacing w:val="-10"/>
      <w:kern w:val="28"/>
      <w:sz w:val="56"/>
      <w:szCs w:val="56"/>
    </w:rPr>
  </w:style>
  <w:style w:type="character" w:customStyle="1" w:styleId="43">
    <w:name w:val="Subtitle Char"/>
    <w:basedOn w:val="25"/>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4">
    <w:name w:val="Quote"/>
    <w:basedOn w:val="1"/>
    <w:next w:val="1"/>
    <w:link w:val="4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5">
    <w:name w:val="Quote Char"/>
    <w:basedOn w:val="25"/>
    <w:link w:val="44"/>
    <w:qFormat/>
    <w:uiPriority w:val="29"/>
    <w:rPr>
      <w:i/>
      <w:iCs/>
      <w:color w:val="404040" w:themeColor="text1" w:themeTint="BF"/>
      <w14:textFill>
        <w14:solidFill>
          <w14:schemeClr w14:val="tx1">
            <w14:lumMod w14:val="75000"/>
            <w14:lumOff w14:val="25000"/>
          </w14:schemeClr>
        </w14:solidFill>
      </w14:textFill>
    </w:rPr>
  </w:style>
  <w:style w:type="paragraph" w:styleId="46">
    <w:name w:val="List Paragraph"/>
    <w:basedOn w:val="1"/>
    <w:qFormat/>
    <w:uiPriority w:val="34"/>
    <w:pPr>
      <w:ind w:left="720"/>
      <w:contextualSpacing/>
    </w:pPr>
  </w:style>
  <w:style w:type="character" w:customStyle="1" w:styleId="47">
    <w:name w:val="Intense Emphasis"/>
    <w:basedOn w:val="25"/>
    <w:qFormat/>
    <w:uiPriority w:val="21"/>
    <w:rPr>
      <w:i/>
      <w:iCs/>
      <w:color w:val="104862" w:themeColor="accent1" w:themeShade="BF"/>
    </w:rPr>
  </w:style>
  <w:style w:type="paragraph" w:styleId="48">
    <w:name w:val="Intense Quote"/>
    <w:basedOn w:val="1"/>
    <w:next w:val="1"/>
    <w:link w:val="4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9">
    <w:name w:val="Intense Quote Char"/>
    <w:basedOn w:val="25"/>
    <w:link w:val="48"/>
    <w:qFormat/>
    <w:uiPriority w:val="30"/>
    <w:rPr>
      <w:i/>
      <w:iCs/>
      <w:color w:val="104862" w:themeColor="accent1" w:themeShade="BF"/>
    </w:rPr>
  </w:style>
  <w:style w:type="character" w:customStyle="1" w:styleId="50">
    <w:name w:val="Intense Reference"/>
    <w:basedOn w:val="25"/>
    <w:qFormat/>
    <w:uiPriority w:val="32"/>
    <w:rPr>
      <w:b/>
      <w:bCs/>
      <w:smallCaps/>
      <w:color w:val="104862" w:themeColor="accent1" w:themeShade="BF"/>
      <w:spacing w:val="5"/>
    </w:rPr>
  </w:style>
  <w:style w:type="character" w:customStyle="1" w:styleId="51">
    <w:name w:val="Unresolved Mention"/>
    <w:basedOn w:val="25"/>
    <w:semiHidden/>
    <w:unhideWhenUsed/>
    <w:qFormat/>
    <w:uiPriority w:val="99"/>
    <w:rPr>
      <w:color w:val="605E5C"/>
      <w:shd w:val="clear" w:color="auto" w:fill="E1DFDD"/>
    </w:rPr>
  </w:style>
  <w:style w:type="character" w:customStyle="1" w:styleId="52">
    <w:name w:val="Comment Text Char"/>
    <w:basedOn w:val="25"/>
    <w:link w:val="11"/>
    <w:qFormat/>
    <w:uiPriority w:val="0"/>
    <w:rPr>
      <w:kern w:val="0"/>
      <w:sz w:val="20"/>
      <w:szCs w:val="20"/>
      <w:lang w:val="en-GB"/>
      <w14:ligatures w14:val="none"/>
    </w:rPr>
  </w:style>
  <w:style w:type="character" w:customStyle="1" w:styleId="53">
    <w:name w:val="Body Text Char"/>
    <w:basedOn w:val="25"/>
    <w:link w:val="12"/>
    <w:semiHidden/>
    <w:qFormat/>
    <w:uiPriority w:val="99"/>
    <w:rPr>
      <w:rFonts w:ascii="Times New Roman" w:hAnsi="Times New Roman"/>
      <w:kern w:val="0"/>
      <w:sz w:val="24"/>
      <w:lang w:val="en-AU"/>
      <w14:ligatures w14:val="none"/>
    </w:rPr>
  </w:style>
  <w:style w:type="character" w:customStyle="1" w:styleId="54">
    <w:name w:val="Endnote Text Char"/>
    <w:basedOn w:val="25"/>
    <w:link w:val="13"/>
    <w:qFormat/>
    <w:uiPriority w:val="0"/>
    <w:rPr>
      <w:kern w:val="0"/>
      <w:lang w:val="en-AU"/>
      <w14:ligatures w14:val="none"/>
    </w:rPr>
  </w:style>
  <w:style w:type="character" w:customStyle="1" w:styleId="55">
    <w:name w:val="Balloon Text Char"/>
    <w:basedOn w:val="25"/>
    <w:link w:val="14"/>
    <w:semiHidden/>
    <w:qFormat/>
    <w:uiPriority w:val="99"/>
    <w:rPr>
      <w:rFonts w:ascii="Segoe UI" w:hAnsi="Segoe UI" w:cs="Segoe UI"/>
      <w:kern w:val="0"/>
      <w:sz w:val="18"/>
      <w:szCs w:val="18"/>
      <w:lang w:val="en-GB"/>
      <w14:ligatures w14:val="none"/>
    </w:rPr>
  </w:style>
  <w:style w:type="character" w:customStyle="1" w:styleId="56">
    <w:name w:val="Footer Char"/>
    <w:basedOn w:val="25"/>
    <w:link w:val="15"/>
    <w:qFormat/>
    <w:uiPriority w:val="99"/>
    <w:rPr>
      <w:kern w:val="0"/>
      <w:sz w:val="18"/>
      <w:szCs w:val="18"/>
      <w:lang w:val="en-AU"/>
      <w14:ligatures w14:val="none"/>
    </w:rPr>
  </w:style>
  <w:style w:type="character" w:customStyle="1" w:styleId="57">
    <w:name w:val="Header Char"/>
    <w:basedOn w:val="25"/>
    <w:link w:val="16"/>
    <w:qFormat/>
    <w:uiPriority w:val="0"/>
    <w:rPr>
      <w:kern w:val="0"/>
      <w:sz w:val="18"/>
      <w:szCs w:val="18"/>
      <w:lang w:val="en-AU"/>
      <w14:ligatures w14:val="none"/>
    </w:rPr>
  </w:style>
  <w:style w:type="character" w:customStyle="1" w:styleId="58">
    <w:name w:val="Footnote Text Char"/>
    <w:basedOn w:val="25"/>
    <w:link w:val="18"/>
    <w:qFormat/>
    <w:uiPriority w:val="0"/>
    <w:rPr>
      <w:kern w:val="0"/>
      <w:sz w:val="18"/>
      <w:lang w:val="en-AU"/>
      <w14:ligatures w14:val="none"/>
    </w:rPr>
  </w:style>
  <w:style w:type="character" w:customStyle="1" w:styleId="59">
    <w:name w:val="Comment Subject Char"/>
    <w:basedOn w:val="52"/>
    <w:link w:val="21"/>
    <w:qFormat/>
    <w:uiPriority w:val="0"/>
    <w:rPr>
      <w:b/>
      <w:bCs/>
      <w:kern w:val="0"/>
      <w:sz w:val="20"/>
      <w:szCs w:val="20"/>
      <w:lang w:val="en-GB"/>
      <w14:ligatures w14:val="none"/>
    </w:rPr>
  </w:style>
  <w:style w:type="character" w:customStyle="1" w:styleId="60">
    <w:name w:val="Body Text First Indent Char"/>
    <w:basedOn w:val="53"/>
    <w:link w:val="22"/>
    <w:semiHidden/>
    <w:qFormat/>
    <w:uiPriority w:val="99"/>
    <w:rPr>
      <w:rFonts w:ascii="Times New Roman" w:hAnsi="Times New Roman"/>
      <w:kern w:val="0"/>
      <w:sz w:val="24"/>
      <w:lang w:val="en-AU"/>
      <w14:ligatures w14:val="none"/>
    </w:rPr>
  </w:style>
  <w:style w:type="paragraph" w:customStyle="1" w:styleId="61">
    <w:name w:val="Revision1"/>
    <w:hidden/>
    <w:semiHidden/>
    <w:qFormat/>
    <w:uiPriority w:val="99"/>
    <w:pPr>
      <w:spacing w:after="0" w:line="240" w:lineRule="auto"/>
    </w:pPr>
    <w:rPr>
      <w:rFonts w:asciiTheme="minorHAnsi" w:hAnsiTheme="minorHAnsi" w:eastAsiaTheme="minorHAnsi" w:cstheme="minorBidi"/>
      <w:kern w:val="0"/>
      <w:sz w:val="22"/>
      <w:szCs w:val="22"/>
      <w:lang w:val="en-US" w:eastAsia="en-US" w:bidi="ar-SA"/>
      <w14:ligatures w14:val="none"/>
    </w:rPr>
  </w:style>
  <w:style w:type="paragraph" w:customStyle="1" w:styleId="62">
    <w:name w:val="书目1"/>
    <w:basedOn w:val="1"/>
    <w:autoRedefine/>
    <w:qFormat/>
    <w:uiPriority w:val="0"/>
    <w:pPr>
      <w:spacing w:line="240" w:lineRule="auto"/>
      <w:ind w:left="720" w:hanging="720"/>
    </w:pPr>
    <w:rPr>
      <w:kern w:val="0"/>
      <w:lang w:val="en-AU"/>
      <w14:ligatures w14:val="none"/>
    </w:rPr>
  </w:style>
  <w:style w:type="paragraph" w:customStyle="1" w:styleId="63">
    <w:name w:val="Revision1_0"/>
    <w:autoRedefine/>
    <w:hidden/>
    <w:unhideWhenUsed/>
    <w:qFormat/>
    <w:uiPriority w:val="99"/>
    <w:pPr>
      <w:spacing w:after="0" w:line="240" w:lineRule="auto"/>
    </w:pPr>
    <w:rPr>
      <w:rFonts w:asciiTheme="minorHAnsi" w:hAnsiTheme="minorHAnsi" w:eastAsiaTheme="minorHAnsi" w:cstheme="minorBidi"/>
      <w:kern w:val="0"/>
      <w:sz w:val="22"/>
      <w:szCs w:val="22"/>
      <w:lang w:val="en-AU" w:eastAsia="en-US" w:bidi="ar-SA"/>
      <w14:ligatures w14:val="none"/>
    </w:rPr>
  </w:style>
  <w:style w:type="paragraph" w:customStyle="1" w:styleId="64">
    <w:name w:val="Bibliography1"/>
    <w:basedOn w:val="1"/>
    <w:autoRedefine/>
    <w:qFormat/>
    <w:uiPriority w:val="0"/>
    <w:pPr>
      <w:spacing w:line="480" w:lineRule="auto"/>
      <w:ind w:left="720" w:hanging="720"/>
    </w:pPr>
    <w:rPr>
      <w:kern w:val="0"/>
      <w:lang w:val="en-AU"/>
      <w14:ligatures w14:val="none"/>
    </w:rPr>
  </w:style>
  <w:style w:type="paragraph" w:customStyle="1" w:styleId="65">
    <w:name w:val="书目2"/>
    <w:basedOn w:val="1"/>
    <w:autoRedefine/>
    <w:qFormat/>
    <w:uiPriority w:val="0"/>
    <w:pPr>
      <w:spacing w:line="240" w:lineRule="auto"/>
      <w:ind w:left="720" w:hanging="720"/>
    </w:pPr>
    <w:rPr>
      <w:kern w:val="0"/>
      <w:lang w:val="en-AU"/>
      <w14:ligatures w14:val="none"/>
    </w:rPr>
  </w:style>
  <w:style w:type="paragraph" w:customStyle="1" w:styleId="66">
    <w:name w:val="CM1"/>
    <w:basedOn w:val="67"/>
    <w:next w:val="67"/>
    <w:qFormat/>
    <w:uiPriority w:val="0"/>
    <w:rPr>
      <w:rFonts w:cs="Times New Roman"/>
      <w:color w:val="auto"/>
    </w:rPr>
  </w:style>
  <w:style w:type="paragraph" w:customStyle="1" w:styleId="67">
    <w:name w:val="Default"/>
    <w:qFormat/>
    <w:uiPriority w:val="0"/>
    <w:pPr>
      <w:widowControl w:val="0"/>
      <w:autoSpaceDE w:val="0"/>
      <w:autoSpaceDN w:val="0"/>
      <w:adjustRightInd w:val="0"/>
      <w:spacing w:after="0" w:line="240" w:lineRule="auto"/>
    </w:pPr>
    <w:rPr>
      <w:rFonts w:ascii="Calibri" w:hAnsi="Calibri" w:eastAsia="Times New Roman" w:cs="Calibri"/>
      <w:color w:val="000000"/>
      <w:kern w:val="0"/>
      <w:sz w:val="24"/>
      <w:szCs w:val="24"/>
      <w:lang w:val="en-CA" w:eastAsia="en-CA" w:bidi="ar-SA"/>
      <w14:ligatures w14:val="none"/>
    </w:rPr>
  </w:style>
  <w:style w:type="paragraph" w:customStyle="1" w:styleId="68">
    <w:name w:val="Revision2"/>
    <w:hidden/>
    <w:unhideWhenUsed/>
    <w:qFormat/>
    <w:uiPriority w:val="99"/>
    <w:pPr>
      <w:spacing w:after="0" w:line="240" w:lineRule="auto"/>
    </w:pPr>
    <w:rPr>
      <w:rFonts w:asciiTheme="minorHAnsi" w:hAnsiTheme="minorHAnsi" w:eastAsiaTheme="minorHAnsi" w:cstheme="minorBidi"/>
      <w:kern w:val="0"/>
      <w:sz w:val="22"/>
      <w:szCs w:val="22"/>
      <w:lang w:val="en-US" w:eastAsia="en-US" w:bidi="ar-SA"/>
      <w14:ligatures w14:val="none"/>
    </w:rPr>
  </w:style>
  <w:style w:type="paragraph" w:customStyle="1" w:styleId="69">
    <w:name w:val="Revision3"/>
    <w:hidden/>
    <w:unhideWhenUsed/>
    <w:qFormat/>
    <w:uiPriority w:val="99"/>
    <w:pPr>
      <w:spacing w:after="0" w:line="240" w:lineRule="auto"/>
    </w:pPr>
    <w:rPr>
      <w:rFonts w:asciiTheme="minorHAnsi" w:hAnsiTheme="minorHAnsi" w:eastAsiaTheme="minorHAnsi" w:cstheme="minorBidi"/>
      <w:kern w:val="0"/>
      <w:sz w:val="22"/>
      <w:szCs w:val="22"/>
      <w:lang w:val="en-US" w:eastAsia="en-US" w:bidi="ar-SA"/>
      <w14:ligatures w14:val="none"/>
    </w:rPr>
  </w:style>
  <w:style w:type="paragraph" w:customStyle="1" w:styleId="70">
    <w:name w:val="Revision4"/>
    <w:hidden/>
    <w:unhideWhenUsed/>
    <w:qFormat/>
    <w:uiPriority w:val="99"/>
    <w:pPr>
      <w:spacing w:after="0" w:line="240" w:lineRule="auto"/>
    </w:pPr>
    <w:rPr>
      <w:rFonts w:asciiTheme="minorHAnsi" w:hAnsiTheme="minorHAnsi" w:eastAsiaTheme="minorHAnsi" w:cstheme="minorBidi"/>
      <w:kern w:val="0"/>
      <w:sz w:val="22"/>
      <w:szCs w:val="22"/>
      <w:lang w:val="en-US" w:eastAsia="en-US" w:bidi="ar-SA"/>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399</Words>
  <Characters>2345</Characters>
  <Lines>201</Lines>
  <Paragraphs>76</Paragraphs>
  <TotalTime>35</TotalTime>
  <ScaleCrop>false</ScaleCrop>
  <LinksUpToDate>false</LinksUpToDate>
  <CharactersWithSpaces>2606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2025-05-30T10:25:00Z</dcterms:created>
  <dc:creator>Author</dc:creator>
  <cp:lastModifiedBy>達 慌慌</cp:lastModifiedBy>
  <dcterms:modified xsi:type="dcterms:W3CDTF">2025-06-26T06:17:07Z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eyJoZGlkIjoiZjY0ZDk4ZDgyMjRiY2VjYzZjZWZjYWFlYjhmMWRmOGMiLCJ1c2VySWQiOiIyMDE1NTUyMzcifQ==</vt:lpwstr>
  </property>
  <property fmtid="{D5CDD505-2E9C-101B-9397-08002B2CF9AE}" pid="3" name="KSOProductBuildVer">
    <vt:lpwstr>2052-12.1.0.21541</vt:lpwstr>
  </property>
  <property fmtid="{D5CDD505-2E9C-101B-9397-08002B2CF9AE}" pid="4" name="ICV">
    <vt:lpwstr>50F7C7B258B24D22A0F9F8F656DB0067_13</vt:lpwstr>
  </property>
</Properties>
</file>