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B6C" w:rsidRPr="00002C58" w:rsidRDefault="00EF0B6C" w:rsidP="00EF0B6C">
      <w:pPr>
        <w:pStyle w:val="Title"/>
        <w:jc w:val="both"/>
        <w:rPr>
          <w:b w:val="0"/>
          <w:bCs w:val="0"/>
          <w:sz w:val="24"/>
          <w:szCs w:val="24"/>
        </w:rPr>
      </w:pPr>
      <w:proofErr w:type="spellStart"/>
      <w:r w:rsidRPr="00002C58">
        <w:rPr>
          <w:sz w:val="24"/>
          <w:szCs w:val="24"/>
        </w:rPr>
        <w:t>Revolutionising</w:t>
      </w:r>
      <w:proofErr w:type="spellEnd"/>
      <w:r w:rsidRPr="00002C58">
        <w:rPr>
          <w:spacing w:val="-7"/>
          <w:sz w:val="24"/>
          <w:szCs w:val="24"/>
        </w:rPr>
        <w:t xml:space="preserve"> </w:t>
      </w:r>
      <w:r w:rsidRPr="00002C58">
        <w:rPr>
          <w:sz w:val="24"/>
          <w:szCs w:val="24"/>
        </w:rPr>
        <w:t>English</w:t>
      </w:r>
      <w:r w:rsidRPr="00002C58">
        <w:rPr>
          <w:spacing w:val="-8"/>
          <w:sz w:val="24"/>
          <w:szCs w:val="24"/>
        </w:rPr>
        <w:t xml:space="preserve"> </w:t>
      </w:r>
      <w:r w:rsidRPr="00002C58">
        <w:rPr>
          <w:sz w:val="24"/>
          <w:szCs w:val="24"/>
        </w:rPr>
        <w:t>language</w:t>
      </w:r>
      <w:r w:rsidRPr="00002C58">
        <w:rPr>
          <w:spacing w:val="-8"/>
          <w:sz w:val="24"/>
          <w:szCs w:val="24"/>
        </w:rPr>
        <w:t xml:space="preserve"> </w:t>
      </w:r>
      <w:proofErr w:type="spellStart"/>
      <w:proofErr w:type="gramStart"/>
      <w:r w:rsidRPr="00002C58">
        <w:rPr>
          <w:sz w:val="24"/>
          <w:szCs w:val="24"/>
        </w:rPr>
        <w:t>education:empowering</w:t>
      </w:r>
      <w:proofErr w:type="spellEnd"/>
      <w:proofErr w:type="gramEnd"/>
      <w:r w:rsidRPr="00002C58">
        <w:rPr>
          <w:spacing w:val="-7"/>
          <w:sz w:val="24"/>
          <w:szCs w:val="24"/>
        </w:rPr>
        <w:t xml:space="preserve"> </w:t>
      </w:r>
      <w:r w:rsidRPr="00002C58">
        <w:rPr>
          <w:sz w:val="24"/>
          <w:szCs w:val="24"/>
        </w:rPr>
        <w:t>teachers</w:t>
      </w:r>
      <w:r w:rsidRPr="00002C58">
        <w:rPr>
          <w:spacing w:val="-7"/>
          <w:sz w:val="24"/>
          <w:szCs w:val="24"/>
        </w:rPr>
        <w:t xml:space="preserve"> </w:t>
      </w:r>
      <w:r w:rsidRPr="00002C58">
        <w:rPr>
          <w:sz w:val="24"/>
          <w:szCs w:val="24"/>
        </w:rPr>
        <w:t>with BERT-LSTM-driven pedagogical tools</w:t>
      </w:r>
    </w:p>
    <w:p w:rsidR="00EF0B6C" w:rsidRPr="00002C58" w:rsidRDefault="00EF0B6C" w:rsidP="00EF0B6C">
      <w:pPr>
        <w:jc w:val="both"/>
        <w:rPr>
          <w:color w:val="000000"/>
          <w:sz w:val="20"/>
          <w:szCs w:val="20"/>
          <w:lang w:eastAsia="en-IN"/>
        </w:rPr>
      </w:pPr>
      <w:r w:rsidRPr="00002C58">
        <w:rPr>
          <w:sz w:val="20"/>
          <w:szCs w:val="20"/>
        </w:rPr>
        <w:t xml:space="preserve">Sheik Hameed </w:t>
      </w:r>
      <w:proofErr w:type="spellStart"/>
      <w:r w:rsidRPr="00002C58">
        <w:rPr>
          <w:sz w:val="20"/>
          <w:szCs w:val="20"/>
        </w:rPr>
        <w:t>Nagoor</w:t>
      </w:r>
      <w:proofErr w:type="spellEnd"/>
      <w:r w:rsidRPr="00002C58">
        <w:rPr>
          <w:sz w:val="20"/>
          <w:szCs w:val="20"/>
        </w:rPr>
        <w:t xml:space="preserve"> Gani</w:t>
      </w:r>
      <w:r w:rsidRPr="00002C58">
        <w:rPr>
          <w:sz w:val="20"/>
          <w:szCs w:val="20"/>
          <w:vertAlign w:val="superscript"/>
        </w:rPr>
        <w:t>1</w:t>
      </w:r>
      <w:r w:rsidRPr="00002C58">
        <w:rPr>
          <w:sz w:val="20"/>
          <w:szCs w:val="20"/>
        </w:rPr>
        <w:t xml:space="preserve">, </w:t>
      </w:r>
      <w:proofErr w:type="spellStart"/>
      <w:r w:rsidRPr="00002C58">
        <w:rPr>
          <w:color w:val="000000"/>
          <w:sz w:val="20"/>
          <w:szCs w:val="20"/>
          <w:lang w:eastAsia="en-IN"/>
        </w:rPr>
        <w:t>Vijayakumar</w:t>
      </w:r>
      <w:proofErr w:type="spellEnd"/>
      <w:r w:rsidRPr="00002C58">
        <w:rPr>
          <w:color w:val="000000"/>
          <w:sz w:val="20"/>
          <w:szCs w:val="20"/>
          <w:lang w:eastAsia="en-IN"/>
        </w:rPr>
        <w:t xml:space="preserve"> Selvaraj</w:t>
      </w:r>
      <w:r w:rsidRPr="00002C58">
        <w:rPr>
          <w:color w:val="000000"/>
          <w:sz w:val="20"/>
          <w:szCs w:val="20"/>
          <w:vertAlign w:val="superscript"/>
          <w:lang w:eastAsia="en-IN"/>
        </w:rPr>
        <w:t>1</w:t>
      </w:r>
      <w:r w:rsidRPr="00002C58">
        <w:rPr>
          <w:color w:val="000000"/>
          <w:sz w:val="20"/>
          <w:szCs w:val="20"/>
          <w:lang w:eastAsia="en-IN"/>
        </w:rPr>
        <w:t xml:space="preserve">, </w:t>
      </w:r>
      <w:proofErr w:type="spellStart"/>
      <w:r w:rsidRPr="00002C58">
        <w:rPr>
          <w:color w:val="000000"/>
          <w:sz w:val="20"/>
          <w:szCs w:val="20"/>
          <w:lang w:eastAsia="en-IN"/>
        </w:rPr>
        <w:t>Sahidul</w:t>
      </w:r>
      <w:proofErr w:type="spellEnd"/>
      <w:r w:rsidRPr="00002C58">
        <w:rPr>
          <w:color w:val="000000"/>
          <w:sz w:val="20"/>
          <w:szCs w:val="20"/>
          <w:lang w:eastAsia="en-IN"/>
        </w:rPr>
        <w:t xml:space="preserve"> Islam Md</w:t>
      </w:r>
      <w:r w:rsidRPr="00002C58">
        <w:rPr>
          <w:color w:val="000000"/>
          <w:sz w:val="20"/>
          <w:szCs w:val="20"/>
          <w:vertAlign w:val="superscript"/>
          <w:lang w:eastAsia="en-IN"/>
        </w:rPr>
        <w:t>1</w:t>
      </w:r>
      <w:r w:rsidRPr="00002C58">
        <w:rPr>
          <w:color w:val="000000"/>
          <w:sz w:val="20"/>
          <w:szCs w:val="20"/>
          <w:lang w:eastAsia="en-IN"/>
        </w:rPr>
        <w:t xml:space="preserve">, </w:t>
      </w:r>
      <w:proofErr w:type="spellStart"/>
      <w:r w:rsidRPr="00002C58">
        <w:rPr>
          <w:color w:val="000000"/>
          <w:sz w:val="20"/>
          <w:szCs w:val="20"/>
          <w:lang w:eastAsia="en-IN"/>
        </w:rPr>
        <w:t>Sugadev</w:t>
      </w:r>
      <w:proofErr w:type="spellEnd"/>
      <w:r w:rsidRPr="00002C58">
        <w:rPr>
          <w:color w:val="000000"/>
          <w:sz w:val="20"/>
          <w:szCs w:val="20"/>
          <w:lang w:eastAsia="en-IN"/>
        </w:rPr>
        <w:t xml:space="preserve"> Thalapathy</w:t>
      </w:r>
      <w:r w:rsidRPr="00002C58">
        <w:rPr>
          <w:color w:val="000000"/>
          <w:sz w:val="20"/>
          <w:szCs w:val="20"/>
          <w:vertAlign w:val="superscript"/>
          <w:lang w:eastAsia="en-IN"/>
        </w:rPr>
        <w:t>1</w:t>
      </w:r>
      <w:r w:rsidRPr="00002C58">
        <w:rPr>
          <w:color w:val="000000"/>
          <w:sz w:val="20"/>
          <w:szCs w:val="20"/>
          <w:lang w:eastAsia="en-IN"/>
        </w:rPr>
        <w:t xml:space="preserve">, Mohamed </w:t>
      </w:r>
      <w:proofErr w:type="spellStart"/>
      <w:r w:rsidRPr="00002C58">
        <w:rPr>
          <w:color w:val="000000"/>
          <w:sz w:val="20"/>
          <w:szCs w:val="20"/>
          <w:lang w:eastAsia="en-IN"/>
        </w:rPr>
        <w:t>Jalaludeen</w:t>
      </w:r>
      <w:proofErr w:type="spellEnd"/>
      <w:r w:rsidRPr="00002C58">
        <w:rPr>
          <w:color w:val="000000"/>
          <w:sz w:val="20"/>
          <w:szCs w:val="20"/>
          <w:lang w:eastAsia="en-IN"/>
        </w:rPr>
        <w:t xml:space="preserve"> Abdulkadhar</w:t>
      </w:r>
      <w:r w:rsidRPr="00002C58">
        <w:rPr>
          <w:color w:val="000000"/>
          <w:sz w:val="20"/>
          <w:szCs w:val="20"/>
          <w:vertAlign w:val="superscript"/>
          <w:lang w:eastAsia="en-IN"/>
        </w:rPr>
        <w:t>2</w:t>
      </w:r>
      <w:r w:rsidRPr="00002C58">
        <w:rPr>
          <w:color w:val="000000"/>
          <w:sz w:val="20"/>
          <w:szCs w:val="20"/>
          <w:lang w:eastAsia="en-IN"/>
        </w:rPr>
        <w:t xml:space="preserve">, </w:t>
      </w:r>
      <w:proofErr w:type="spellStart"/>
      <w:r w:rsidRPr="00002C58">
        <w:rPr>
          <w:color w:val="000000"/>
          <w:sz w:val="20"/>
          <w:szCs w:val="20"/>
          <w:lang w:eastAsia="en-IN"/>
        </w:rPr>
        <w:t>Kanmani</w:t>
      </w:r>
      <w:proofErr w:type="spellEnd"/>
      <w:r w:rsidRPr="00002C58">
        <w:rPr>
          <w:color w:val="000000"/>
          <w:sz w:val="20"/>
          <w:szCs w:val="20"/>
          <w:lang w:eastAsia="en-IN"/>
        </w:rPr>
        <w:t xml:space="preserve"> Kalimuthu</w:t>
      </w:r>
      <w:r w:rsidRPr="00002C58">
        <w:rPr>
          <w:color w:val="000000"/>
          <w:sz w:val="20"/>
          <w:szCs w:val="20"/>
          <w:vertAlign w:val="superscript"/>
          <w:lang w:eastAsia="en-IN"/>
        </w:rPr>
        <w:t>3</w:t>
      </w:r>
      <w:r w:rsidRPr="00002C58">
        <w:rPr>
          <w:color w:val="000000"/>
          <w:sz w:val="20"/>
          <w:szCs w:val="20"/>
          <w:lang w:eastAsia="en-IN"/>
        </w:rPr>
        <w:t xml:space="preserve"> </w:t>
      </w:r>
    </w:p>
    <w:p w:rsidR="00EF0B6C" w:rsidRDefault="00EF0B6C" w:rsidP="00EF0B6C">
      <w:pPr>
        <w:jc w:val="both"/>
        <w:rPr>
          <w:sz w:val="20"/>
          <w:szCs w:val="20"/>
          <w:vertAlign w:val="superscript"/>
        </w:rPr>
      </w:pPr>
    </w:p>
    <w:p w:rsidR="00EF0B6C" w:rsidRPr="00002C58" w:rsidRDefault="00EF0B6C" w:rsidP="00EF0B6C">
      <w:pPr>
        <w:jc w:val="both"/>
        <w:rPr>
          <w:sz w:val="20"/>
          <w:szCs w:val="20"/>
        </w:rPr>
      </w:pPr>
      <w:r w:rsidRPr="00002C58">
        <w:rPr>
          <w:sz w:val="20"/>
          <w:szCs w:val="20"/>
          <w:vertAlign w:val="superscript"/>
        </w:rPr>
        <w:t>1</w:t>
      </w:r>
      <w:r w:rsidRPr="00002C58">
        <w:rPr>
          <w:sz w:val="20"/>
          <w:szCs w:val="20"/>
        </w:rPr>
        <w:t xml:space="preserve">Department of English, B.S. </w:t>
      </w:r>
      <w:proofErr w:type="spellStart"/>
      <w:r w:rsidRPr="00002C58">
        <w:rPr>
          <w:sz w:val="20"/>
          <w:szCs w:val="20"/>
        </w:rPr>
        <w:t>Abdur</w:t>
      </w:r>
      <w:proofErr w:type="spellEnd"/>
      <w:r w:rsidRPr="00002C58">
        <w:rPr>
          <w:sz w:val="20"/>
          <w:szCs w:val="20"/>
        </w:rPr>
        <w:t xml:space="preserve"> Rahman Crescent Institute of Science and Technology, Chennai 600048, </w:t>
      </w:r>
      <w:proofErr w:type="spellStart"/>
      <w:r w:rsidRPr="00002C58">
        <w:rPr>
          <w:sz w:val="20"/>
          <w:szCs w:val="20"/>
        </w:rPr>
        <w:t>Tamilnadu</w:t>
      </w:r>
      <w:proofErr w:type="spellEnd"/>
      <w:r w:rsidRPr="00002C58">
        <w:rPr>
          <w:sz w:val="20"/>
          <w:szCs w:val="20"/>
        </w:rPr>
        <w:t>, India</w:t>
      </w:r>
      <w:r>
        <w:rPr>
          <w:sz w:val="20"/>
          <w:szCs w:val="20"/>
        </w:rPr>
        <w:t>.</w:t>
      </w:r>
    </w:p>
    <w:p w:rsidR="00EF0B6C" w:rsidRPr="00002C58" w:rsidRDefault="00EF0B6C" w:rsidP="00EF0B6C">
      <w:pPr>
        <w:jc w:val="both"/>
        <w:rPr>
          <w:sz w:val="20"/>
          <w:szCs w:val="20"/>
        </w:rPr>
      </w:pPr>
      <w:r w:rsidRPr="00002C58">
        <w:rPr>
          <w:sz w:val="20"/>
          <w:szCs w:val="20"/>
          <w:vertAlign w:val="superscript"/>
        </w:rPr>
        <w:t>2</w:t>
      </w:r>
      <w:r w:rsidRPr="00002C58">
        <w:rPr>
          <w:sz w:val="20"/>
          <w:szCs w:val="20"/>
        </w:rPr>
        <w:t xml:space="preserve">Crescent Global Outreach Mission Research and Development, B.S. </w:t>
      </w:r>
      <w:proofErr w:type="spellStart"/>
      <w:r w:rsidRPr="00002C58">
        <w:rPr>
          <w:sz w:val="20"/>
          <w:szCs w:val="20"/>
        </w:rPr>
        <w:t>Abdur</w:t>
      </w:r>
      <w:proofErr w:type="spellEnd"/>
      <w:r w:rsidRPr="00002C58">
        <w:rPr>
          <w:sz w:val="20"/>
          <w:szCs w:val="20"/>
        </w:rPr>
        <w:t xml:space="preserve"> Rahman Crescent Institute of Science and Technology, Chennai 600048, </w:t>
      </w:r>
      <w:proofErr w:type="spellStart"/>
      <w:r w:rsidRPr="00002C58">
        <w:rPr>
          <w:sz w:val="20"/>
          <w:szCs w:val="20"/>
        </w:rPr>
        <w:t>Tamilnadu</w:t>
      </w:r>
      <w:proofErr w:type="spellEnd"/>
      <w:r w:rsidRPr="00002C58">
        <w:rPr>
          <w:sz w:val="20"/>
          <w:szCs w:val="20"/>
        </w:rPr>
        <w:t xml:space="preserve">, India.  </w:t>
      </w:r>
    </w:p>
    <w:p w:rsidR="00EF0B6C" w:rsidRPr="00002C58" w:rsidRDefault="00EF0B6C" w:rsidP="00EF0B6C">
      <w:pPr>
        <w:jc w:val="both"/>
        <w:rPr>
          <w:sz w:val="20"/>
          <w:szCs w:val="20"/>
        </w:rPr>
      </w:pPr>
      <w:r w:rsidRPr="00002C58">
        <w:rPr>
          <w:sz w:val="20"/>
          <w:szCs w:val="20"/>
          <w:vertAlign w:val="superscript"/>
        </w:rPr>
        <w:t>3</w:t>
      </w:r>
      <w:r w:rsidRPr="00002C58">
        <w:rPr>
          <w:sz w:val="20"/>
          <w:szCs w:val="20"/>
        </w:rPr>
        <w:t xml:space="preserve">Department of Networking and Communications, College of Engineering and Technology, SRM Institute of Science and Technology, </w:t>
      </w:r>
      <w:proofErr w:type="spellStart"/>
      <w:r w:rsidRPr="00002C58">
        <w:rPr>
          <w:sz w:val="20"/>
          <w:szCs w:val="20"/>
        </w:rPr>
        <w:t>Kattankulathur</w:t>
      </w:r>
      <w:proofErr w:type="spellEnd"/>
      <w:r w:rsidRPr="00002C58">
        <w:rPr>
          <w:sz w:val="20"/>
          <w:szCs w:val="20"/>
        </w:rPr>
        <w:t xml:space="preserve">, Chengalpattu District, </w:t>
      </w:r>
      <w:proofErr w:type="spellStart"/>
      <w:r w:rsidRPr="00002C58">
        <w:rPr>
          <w:sz w:val="20"/>
          <w:szCs w:val="20"/>
        </w:rPr>
        <w:t>Tamilnadu</w:t>
      </w:r>
      <w:proofErr w:type="spellEnd"/>
      <w:r w:rsidRPr="00002C58">
        <w:rPr>
          <w:sz w:val="20"/>
          <w:szCs w:val="20"/>
        </w:rPr>
        <w:t xml:space="preserve"> 603203, India</w:t>
      </w:r>
      <w:r>
        <w:rPr>
          <w:sz w:val="20"/>
          <w:szCs w:val="20"/>
        </w:rPr>
        <w:t>.</w:t>
      </w:r>
    </w:p>
    <w:p w:rsidR="00EF0B6C" w:rsidRPr="00002C58" w:rsidRDefault="00EF0B6C" w:rsidP="00EF0B6C">
      <w:pPr>
        <w:rPr>
          <w:sz w:val="24"/>
          <w:szCs w:val="24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  <w:r w:rsidRPr="00544ED5">
        <w:rPr>
          <w:b/>
          <w:bCs/>
          <w:color w:val="000000"/>
          <w:sz w:val="24"/>
          <w:szCs w:val="24"/>
          <w:lang w:eastAsia="en-IN" w:bidi="ta-IN"/>
        </w:rPr>
        <w:lastRenderedPageBreak/>
        <w:t>Appendix</w:t>
      </w:r>
    </w:p>
    <w:p w:rsidR="00EF0B6C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  <w:r w:rsidRPr="00544ED5">
        <w:rPr>
          <w:b/>
          <w:bCs/>
          <w:color w:val="000000"/>
          <w:sz w:val="24"/>
          <w:szCs w:val="24"/>
          <w:lang w:eastAsia="en-IN" w:bidi="ta-IN"/>
        </w:rPr>
        <w:t xml:space="preserve">Evaluation Rubric for BERT-LSTM-Based Pedagogical Tools in English Language </w:t>
      </w:r>
    </w:p>
    <w:tbl>
      <w:tblPr>
        <w:tblStyle w:val="TableGrid"/>
        <w:tblpPr w:leftFromText="180" w:rightFromText="180" w:vertAnchor="page" w:horzAnchor="margin" w:tblpY="2501"/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6"/>
        <w:gridCol w:w="870"/>
        <w:gridCol w:w="3060"/>
        <w:gridCol w:w="4238"/>
      </w:tblGrid>
      <w:tr w:rsidR="00EF0B6C" w:rsidTr="00EF0B6C">
        <w:tc>
          <w:tcPr>
            <w:tcW w:w="14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b/>
                <w:color w:val="000000"/>
                <w:sz w:val="24"/>
                <w:szCs w:val="24"/>
                <w:lang w:eastAsia="en-IN" w:bidi="ta-IN"/>
              </w:rPr>
              <w:t>Criterion</w:t>
            </w:r>
          </w:p>
        </w:tc>
        <w:tc>
          <w:tcPr>
            <w:tcW w:w="87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b/>
                <w:bCs/>
                <w:color w:val="000000"/>
                <w:sz w:val="24"/>
                <w:szCs w:val="24"/>
                <w:lang w:eastAsia="en-IN" w:bidi="ta-IN"/>
              </w:rPr>
              <w:t>Score Range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b/>
                <w:bCs/>
                <w:color w:val="000000"/>
                <w:sz w:val="24"/>
                <w:szCs w:val="24"/>
                <w:lang w:eastAsia="en-IN" w:bidi="ta-IN"/>
              </w:rPr>
              <w:t>Description</w:t>
            </w:r>
          </w:p>
        </w:tc>
        <w:tc>
          <w:tcPr>
            <w:tcW w:w="42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b/>
                <w:bCs/>
                <w:color w:val="000000"/>
                <w:sz w:val="24"/>
                <w:szCs w:val="24"/>
                <w:lang w:eastAsia="en-IN" w:bidi="ta-IN"/>
              </w:rPr>
              <w:t>Mapping the Rubric</w:t>
            </w:r>
          </w:p>
        </w:tc>
      </w:tr>
      <w:tr w:rsidR="00EF0B6C" w:rsidTr="00EF0B6C">
        <w:tc>
          <w:tcPr>
            <w:tcW w:w="1456" w:type="dxa"/>
            <w:tcBorders>
              <w:top w:val="single" w:sz="12" w:space="0" w:color="auto"/>
            </w:tcBorders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Grammar Accuracy</w:t>
            </w:r>
          </w:p>
        </w:tc>
        <w:tc>
          <w:tcPr>
            <w:tcW w:w="870" w:type="dxa"/>
            <w:tcBorders>
              <w:top w:val="single" w:sz="12" w:space="0" w:color="auto"/>
            </w:tcBorders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1–5</w:t>
            </w:r>
          </w:p>
        </w:tc>
        <w:tc>
          <w:tcPr>
            <w:tcW w:w="3060" w:type="dxa"/>
            <w:tcBorders>
              <w:top w:val="single" w:sz="12" w:space="0" w:color="auto"/>
            </w:tcBorders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1=Frequent errors impeding comprehension; 5=Virtually no errors.</w:t>
            </w:r>
          </w:p>
        </w:tc>
        <w:tc>
          <w:tcPr>
            <w:tcW w:w="4238" w:type="dxa"/>
            <w:tcBorders>
              <w:top w:val="single" w:sz="12" w:space="0" w:color="auto"/>
            </w:tcBorders>
            <w:vAlign w:val="center"/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BERT model achieved high precision (0.94), recall (0.92), and F1-score (0.94) for grammar correction. See Table 5.</w:t>
            </w:r>
          </w:p>
        </w:tc>
      </w:tr>
      <w:tr w:rsidR="00EF0B6C" w:rsidTr="00EF0B6C">
        <w:tc>
          <w:tcPr>
            <w:tcW w:w="1456" w:type="dxa"/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Essay Coherence</w:t>
            </w:r>
          </w:p>
        </w:tc>
        <w:tc>
          <w:tcPr>
            <w:tcW w:w="870" w:type="dxa"/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1–5</w:t>
            </w:r>
          </w:p>
        </w:tc>
        <w:tc>
          <w:tcPr>
            <w:tcW w:w="3060" w:type="dxa"/>
          </w:tcPr>
          <w:p w:rsidR="00EF0B6C" w:rsidRDefault="00EF0B6C" w:rsidP="00EF0B6C">
            <w:pPr>
              <w:jc w:val="both"/>
              <w:rPr>
                <w:color w:val="000000"/>
                <w:sz w:val="24"/>
                <w:szCs w:val="24"/>
                <w:lang w:eastAsia="en-IN" w:bidi="ta-IN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1=Lacks logical flow;</w:t>
            </w:r>
          </w:p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5=Ideas are logically sequenced and well connected.</w:t>
            </w:r>
          </w:p>
        </w:tc>
        <w:tc>
          <w:tcPr>
            <w:tcW w:w="4238" w:type="dxa"/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LSTM was trained on graded essays with high accuracy (0.95), assessing logical structure and coherence. See Table 6.</w:t>
            </w:r>
          </w:p>
        </w:tc>
      </w:tr>
      <w:tr w:rsidR="00EF0B6C" w:rsidTr="00EF0B6C">
        <w:tc>
          <w:tcPr>
            <w:tcW w:w="1456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Vocabulary Use</w:t>
            </w:r>
          </w:p>
        </w:tc>
        <w:tc>
          <w:tcPr>
            <w:tcW w:w="870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1–5</w:t>
            </w:r>
          </w:p>
        </w:tc>
        <w:tc>
          <w:tcPr>
            <w:tcW w:w="3060" w:type="dxa"/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1=Basic/repetitive vocabulary; 5=Varied and contextually appropriate usage.</w:t>
            </w:r>
          </w:p>
        </w:tc>
        <w:tc>
          <w:tcPr>
            <w:tcW w:w="4238" w:type="dxa"/>
            <w:vAlign w:val="center"/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Vocabulary builders suggest context-relevant words and usage. See Pedagogical Tool Design section and Table 3.</w:t>
            </w:r>
          </w:p>
        </w:tc>
      </w:tr>
      <w:tr w:rsidR="00EF0B6C" w:rsidTr="00EF0B6C">
        <w:tc>
          <w:tcPr>
            <w:tcW w:w="1456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Content Relevance</w:t>
            </w:r>
          </w:p>
        </w:tc>
        <w:tc>
          <w:tcPr>
            <w:tcW w:w="870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1–5</w:t>
            </w:r>
          </w:p>
        </w:tc>
        <w:tc>
          <w:tcPr>
            <w:tcW w:w="3060" w:type="dxa"/>
          </w:tcPr>
          <w:p w:rsidR="00EF0B6C" w:rsidRDefault="00EF0B6C" w:rsidP="00EF0B6C">
            <w:pPr>
              <w:jc w:val="both"/>
              <w:rPr>
                <w:color w:val="000000"/>
                <w:sz w:val="24"/>
                <w:szCs w:val="24"/>
                <w:lang w:eastAsia="en-IN" w:bidi="ta-IN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1=Off-topic or unclear;</w:t>
            </w:r>
          </w:p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5=Highly relevant and clearly focused content.</w:t>
            </w:r>
          </w:p>
        </w:tc>
        <w:tc>
          <w:tcPr>
            <w:tcW w:w="4238" w:type="dxa"/>
            <w:vAlign w:val="center"/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 xml:space="preserve">BERT and LSTM model feedback aligns with </w:t>
            </w:r>
            <w:proofErr w:type="spellStart"/>
            <w:r w:rsidRPr="00544ED5">
              <w:rPr>
                <w:color w:val="000000"/>
                <w:sz w:val="24"/>
                <w:szCs w:val="24"/>
                <w:lang w:eastAsia="en-IN" w:bidi="ta-IN"/>
              </w:rPr>
              <w:t>Krashen’s</w:t>
            </w:r>
            <w:proofErr w:type="spellEnd"/>
            <w:r w:rsidRPr="00544ED5">
              <w:rPr>
                <w:color w:val="000000"/>
                <w:sz w:val="24"/>
                <w:szCs w:val="24"/>
                <w:lang w:eastAsia="en-IN" w:bidi="ta-IN"/>
              </w:rPr>
              <w:t xml:space="preserve"> Input Hypothesis to ensure pedagogical relevance. See Pedagogical Tool Design and Theoretical Framework sections.</w:t>
            </w:r>
          </w:p>
        </w:tc>
      </w:tr>
      <w:tr w:rsidR="00EF0B6C" w:rsidTr="00EF0B6C">
        <w:tc>
          <w:tcPr>
            <w:tcW w:w="1456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proofErr w:type="spellStart"/>
            <w:r w:rsidRPr="00544ED5">
              <w:rPr>
                <w:color w:val="000000"/>
                <w:sz w:val="24"/>
                <w:szCs w:val="24"/>
                <w:lang w:eastAsia="en-IN" w:bidi="ta-IN"/>
              </w:rPr>
              <w:t>Organisation</w:t>
            </w:r>
            <w:proofErr w:type="spellEnd"/>
          </w:p>
        </w:tc>
        <w:tc>
          <w:tcPr>
            <w:tcW w:w="870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1–5</w:t>
            </w:r>
          </w:p>
        </w:tc>
        <w:tc>
          <w:tcPr>
            <w:tcW w:w="3060" w:type="dxa"/>
          </w:tcPr>
          <w:p w:rsidR="00EF0B6C" w:rsidRDefault="00EF0B6C" w:rsidP="00EF0B6C">
            <w:pPr>
              <w:jc w:val="both"/>
              <w:rPr>
                <w:color w:val="000000"/>
                <w:sz w:val="24"/>
                <w:szCs w:val="24"/>
                <w:lang w:eastAsia="en-IN" w:bidi="ta-IN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1=</w:t>
            </w:r>
            <w:proofErr w:type="spellStart"/>
            <w:r w:rsidRPr="00544ED5">
              <w:rPr>
                <w:color w:val="000000"/>
                <w:sz w:val="24"/>
                <w:szCs w:val="24"/>
                <w:lang w:eastAsia="en-IN" w:bidi="ta-IN"/>
              </w:rPr>
              <w:t>Disorganised</w:t>
            </w:r>
            <w:proofErr w:type="spellEnd"/>
            <w:r w:rsidRPr="00544ED5">
              <w:rPr>
                <w:color w:val="000000"/>
                <w:sz w:val="24"/>
                <w:szCs w:val="24"/>
                <w:lang w:eastAsia="en-IN" w:bidi="ta-IN"/>
              </w:rPr>
              <w:t>;</w:t>
            </w:r>
          </w:p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5=Clearly structured with proper transitions.</w:t>
            </w:r>
          </w:p>
        </w:tc>
        <w:tc>
          <w:tcPr>
            <w:tcW w:w="4238" w:type="dxa"/>
            <w:vAlign w:val="center"/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Essay scorers based on BERT-LSTM evaluate structural elements (introduction, body, conclusion). See Pedagogical Tool Design section.</w:t>
            </w:r>
          </w:p>
        </w:tc>
      </w:tr>
      <w:tr w:rsidR="00EF0B6C" w:rsidTr="00EF0B6C">
        <w:tc>
          <w:tcPr>
            <w:tcW w:w="1456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Automated Feedback Quality</w:t>
            </w:r>
          </w:p>
        </w:tc>
        <w:tc>
          <w:tcPr>
            <w:tcW w:w="870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1–5</w:t>
            </w:r>
          </w:p>
        </w:tc>
        <w:tc>
          <w:tcPr>
            <w:tcW w:w="3060" w:type="dxa"/>
          </w:tcPr>
          <w:p w:rsidR="00EF0B6C" w:rsidRDefault="00EF0B6C" w:rsidP="00EF0B6C">
            <w:pPr>
              <w:jc w:val="both"/>
              <w:rPr>
                <w:color w:val="000000"/>
                <w:sz w:val="24"/>
                <w:szCs w:val="24"/>
                <w:lang w:eastAsia="en-IN" w:bidi="ta-IN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1=Inaccurate/inconsistent;</w:t>
            </w:r>
          </w:p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5=Timely, contextual, and clear feedback.</w:t>
            </w:r>
          </w:p>
        </w:tc>
        <w:tc>
          <w:tcPr>
            <w:tcW w:w="4238" w:type="dxa"/>
            <w:vAlign w:val="center"/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The system provides instant feedback using API-integrated BERT-LSTM models. See "Integration of BERT and LSTM Models" section.</w:t>
            </w:r>
          </w:p>
        </w:tc>
      </w:tr>
      <w:tr w:rsidR="00EF0B6C" w:rsidTr="00EF0B6C">
        <w:tc>
          <w:tcPr>
            <w:tcW w:w="1456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Processing Efficiency</w:t>
            </w:r>
          </w:p>
        </w:tc>
        <w:tc>
          <w:tcPr>
            <w:tcW w:w="870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1–5</w:t>
            </w:r>
          </w:p>
        </w:tc>
        <w:tc>
          <w:tcPr>
            <w:tcW w:w="3060" w:type="dxa"/>
          </w:tcPr>
          <w:p w:rsidR="00EF0B6C" w:rsidRDefault="00EF0B6C" w:rsidP="00EF0B6C">
            <w:pPr>
              <w:jc w:val="both"/>
              <w:rPr>
                <w:color w:val="000000"/>
                <w:sz w:val="24"/>
                <w:szCs w:val="24"/>
                <w:lang w:eastAsia="en-IN" w:bidi="ta-IN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1=Sluggish, high latency;</w:t>
            </w:r>
          </w:p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5=Fast and responsive.</w:t>
            </w:r>
          </w:p>
        </w:tc>
        <w:tc>
          <w:tcPr>
            <w:tcW w:w="4238" w:type="dxa"/>
            <w:vAlign w:val="center"/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BERT and LSTM models outperform rule-based/manual grading in processing time. See Table 9 and Figure 10.</w:t>
            </w:r>
          </w:p>
        </w:tc>
      </w:tr>
      <w:tr w:rsidR="00EF0B6C" w:rsidTr="00EF0B6C">
        <w:tc>
          <w:tcPr>
            <w:tcW w:w="1456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Pedagogical Usefulness</w:t>
            </w:r>
          </w:p>
        </w:tc>
        <w:tc>
          <w:tcPr>
            <w:tcW w:w="870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1–5</w:t>
            </w:r>
          </w:p>
        </w:tc>
        <w:tc>
          <w:tcPr>
            <w:tcW w:w="3060" w:type="dxa"/>
          </w:tcPr>
          <w:p w:rsidR="00EF0B6C" w:rsidRDefault="00EF0B6C" w:rsidP="00EF0B6C">
            <w:pPr>
              <w:jc w:val="both"/>
              <w:rPr>
                <w:color w:val="000000"/>
                <w:sz w:val="24"/>
                <w:szCs w:val="24"/>
                <w:lang w:eastAsia="en-IN" w:bidi="ta-IN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1=Minimal classroom relevance;</w:t>
            </w:r>
          </w:p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5=High utility for instructional design and scaffolding.</w:t>
            </w:r>
          </w:p>
        </w:tc>
        <w:tc>
          <w:tcPr>
            <w:tcW w:w="4238" w:type="dxa"/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Tools offer dashboards, analytics, adaptive feedback aligned with constructivist pedagogy. See Pedagogical Tool Design and Figure 4.</w:t>
            </w:r>
          </w:p>
        </w:tc>
      </w:tr>
      <w:tr w:rsidR="00EF0B6C" w:rsidTr="00EF0B6C">
        <w:tc>
          <w:tcPr>
            <w:tcW w:w="1456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Consistency with Human Raters</w:t>
            </w:r>
          </w:p>
        </w:tc>
        <w:tc>
          <w:tcPr>
            <w:tcW w:w="870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1–5</w:t>
            </w:r>
          </w:p>
        </w:tc>
        <w:tc>
          <w:tcPr>
            <w:tcW w:w="3060" w:type="dxa"/>
          </w:tcPr>
          <w:p w:rsidR="00EF0B6C" w:rsidRDefault="00EF0B6C" w:rsidP="00EF0B6C">
            <w:pPr>
              <w:jc w:val="both"/>
              <w:rPr>
                <w:color w:val="000000"/>
                <w:sz w:val="24"/>
                <w:szCs w:val="24"/>
                <w:lang w:eastAsia="en-IN" w:bidi="ta-IN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1=Frequent mismatches;</w:t>
            </w:r>
          </w:p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5=High alignment with expert grading.</w:t>
            </w:r>
          </w:p>
        </w:tc>
        <w:tc>
          <w:tcPr>
            <w:tcW w:w="4238" w:type="dxa"/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Dual-expert rating system used to train models and resolve discrepancies. See "Pedagogical Tool Design" and rubric discussion.</w:t>
            </w:r>
          </w:p>
        </w:tc>
      </w:tr>
      <w:tr w:rsidR="00EF0B6C" w:rsidTr="00EF0B6C">
        <w:tc>
          <w:tcPr>
            <w:tcW w:w="1456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Adaptability and Scalability</w:t>
            </w:r>
          </w:p>
        </w:tc>
        <w:tc>
          <w:tcPr>
            <w:tcW w:w="870" w:type="dxa"/>
          </w:tcPr>
          <w:p w:rsidR="00EF0B6C" w:rsidRDefault="00EF0B6C" w:rsidP="00EF0B6C">
            <w:pPr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1–5</w:t>
            </w:r>
          </w:p>
        </w:tc>
        <w:tc>
          <w:tcPr>
            <w:tcW w:w="3060" w:type="dxa"/>
          </w:tcPr>
          <w:p w:rsidR="00EF0B6C" w:rsidRDefault="00EF0B6C" w:rsidP="00EF0B6C">
            <w:pPr>
              <w:jc w:val="both"/>
              <w:rPr>
                <w:color w:val="000000"/>
                <w:sz w:val="24"/>
                <w:szCs w:val="24"/>
                <w:lang w:eastAsia="en-IN" w:bidi="ta-IN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1=Rigid, domain-limited;</w:t>
            </w:r>
          </w:p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5=Highly adaptable across levels and content domains.</w:t>
            </w:r>
          </w:p>
        </w:tc>
        <w:tc>
          <w:tcPr>
            <w:tcW w:w="4238" w:type="dxa"/>
          </w:tcPr>
          <w:p w:rsidR="00EF0B6C" w:rsidRDefault="00EF0B6C" w:rsidP="00EF0B6C">
            <w:pPr>
              <w:jc w:val="both"/>
              <w:rPr>
                <w:sz w:val="24"/>
                <w:szCs w:val="24"/>
              </w:rPr>
            </w:pPr>
            <w:r w:rsidRPr="00544ED5">
              <w:rPr>
                <w:color w:val="000000"/>
                <w:sz w:val="24"/>
                <w:szCs w:val="24"/>
                <w:lang w:eastAsia="en-IN" w:bidi="ta-IN"/>
              </w:rPr>
              <w:t>Models show scalability and domain flexibility. See Table 10 (Comparison with GPT and Transformer-based systems).</w:t>
            </w:r>
          </w:p>
        </w:tc>
      </w:tr>
    </w:tbl>
    <w:p w:rsidR="00EF0B6C" w:rsidRPr="00544ED5" w:rsidRDefault="00EF0B6C" w:rsidP="00EF0B6C">
      <w:pPr>
        <w:rPr>
          <w:b/>
          <w:bCs/>
          <w:color w:val="000000"/>
          <w:sz w:val="24"/>
          <w:szCs w:val="24"/>
          <w:lang w:eastAsia="en-IN" w:bidi="ta-IN"/>
        </w:rPr>
      </w:pPr>
      <w:r w:rsidRPr="00544ED5">
        <w:rPr>
          <w:b/>
          <w:bCs/>
          <w:color w:val="000000"/>
          <w:sz w:val="24"/>
          <w:szCs w:val="24"/>
          <w:lang w:eastAsia="en-IN" w:bidi="ta-IN"/>
        </w:rPr>
        <w:t>Education</w:t>
      </w:r>
      <w:bookmarkStart w:id="0" w:name="_GoBack"/>
      <w:bookmarkEnd w:id="0"/>
    </w:p>
    <w:sectPr w:rsidR="00EF0B6C" w:rsidRPr="00544E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FB0"/>
    <w:rsid w:val="000C7441"/>
    <w:rsid w:val="00412933"/>
    <w:rsid w:val="00572FB0"/>
    <w:rsid w:val="0067710A"/>
    <w:rsid w:val="009854B5"/>
    <w:rsid w:val="00AC4564"/>
    <w:rsid w:val="00EF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FDF4A"/>
  <w15:chartTrackingRefBased/>
  <w15:docId w15:val="{0282329E-02D3-4090-8BB8-BDCFA776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F0B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0B6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qFormat/>
    <w:rsid w:val="00EF0B6C"/>
    <w:pPr>
      <w:spacing w:before="61"/>
      <w:ind w:left="2282" w:right="256" w:hanging="2030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"/>
    <w:rsid w:val="00EF0B6C"/>
    <w:rPr>
      <w:rFonts w:ascii="Times New Roman" w:eastAsia="Times New Roman" w:hAnsi="Times New Roman" w:cs="Times New Roman"/>
      <w:b/>
      <w:bCs/>
      <w:kern w:val="0"/>
      <w:sz w:val="28"/>
      <w:szCs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2025-07-31T04:13:00Z</dcterms:created>
  <dcterms:modified xsi:type="dcterms:W3CDTF">2025-07-31T04:16:00Z</dcterms:modified>
</cp:coreProperties>
</file>