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04ED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Supplementary Figure 1 The visual timeline for aHUS patient interview</w:t>
      </w:r>
    </w:p>
    <w:p w14:paraId="2619EADE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3170" cy="4324985"/>
            <wp:effectExtent l="0" t="0" r="11430" b="5715"/>
            <wp:docPr id="1" name="图片 1" descr="tim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imelin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3170" cy="432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jZTJhNjZjNzdmODk4MzEyMTIzMjNjZTBhN2Q5MTQifQ=="/>
  </w:docVars>
  <w:rsids>
    <w:rsidRoot w:val="00000000"/>
    <w:rsid w:val="33A62327"/>
    <w:rsid w:val="4DBD6453"/>
    <w:rsid w:val="610E7639"/>
    <w:rsid w:val="7F86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2024-09-30T08:25:11Z</dcterms:created>
  <dc:creator>17920</dc:creator>
  <cp:lastModifiedBy>亚楠</cp:lastModifiedBy>
  <dcterms:modified xsi:type="dcterms:W3CDTF">2024-09-30T08:27:00Z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5CFEF11CF40D46DC89638CDEFB481F62_12</vt:lpwstr>
  </property>
</Properties>
</file>