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FAD7" w14:textId="564B7E56" w:rsidR="00186AD4" w:rsidRPr="001A1487" w:rsidRDefault="001A1487" w:rsidP="00A07D4F">
      <w:pPr>
        <w:jc w:val="center"/>
        <w:rPr>
          <w:rFonts w:cs="Times New Roman"/>
          <w:b/>
          <w:bCs/>
          <w:sz w:val="32"/>
          <w:szCs w:val="32"/>
        </w:rPr>
      </w:pPr>
      <w:r w:rsidRPr="001A1487">
        <w:rPr>
          <w:b/>
          <w:bCs/>
          <w:sz w:val="32"/>
          <w:szCs w:val="32"/>
        </w:rPr>
        <w:t>Appendix</w:t>
      </w:r>
    </w:p>
    <w:p w14:paraId="20BC61ED" w14:textId="77777777" w:rsidR="004979C1" w:rsidRPr="001209A2" w:rsidRDefault="004979C1" w:rsidP="004979C1">
      <w:pPr>
        <w:spacing w:line="480" w:lineRule="auto"/>
        <w:jc w:val="center"/>
        <w:rPr>
          <w:szCs w:val="22"/>
        </w:rPr>
      </w:pPr>
      <w:r w:rsidRPr="001209A2">
        <w:rPr>
          <w:noProof/>
          <w:szCs w:val="22"/>
        </w:rPr>
        <w:drawing>
          <wp:inline distT="0" distB="0" distL="0" distR="0" wp14:anchorId="4D8C1816" wp14:editId="763637D6">
            <wp:extent cx="5274310" cy="1439545"/>
            <wp:effectExtent l="0" t="0" r="0" b="0"/>
            <wp:docPr id="941058058" name="图片 1" descr="A diagram of mathematical equ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58058" name="图片 1" descr="A diagram of mathematical equations&#10;&#10;AI-generated content may be incorrect."/>
                    <pic:cNvPicPr/>
                  </pic:nvPicPr>
                  <pic:blipFill>
                    <a:blip r:embed="rId6"/>
                    <a:stretch>
                      <a:fillRect/>
                    </a:stretch>
                  </pic:blipFill>
                  <pic:spPr>
                    <a:xfrm>
                      <a:off x="0" y="0"/>
                      <a:ext cx="5274310" cy="1439545"/>
                    </a:xfrm>
                    <a:prstGeom prst="rect">
                      <a:avLst/>
                    </a:prstGeom>
                  </pic:spPr>
                </pic:pic>
              </a:graphicData>
            </a:graphic>
          </wp:inline>
        </w:drawing>
      </w:r>
    </w:p>
    <w:p w14:paraId="76058A00" w14:textId="7C66670F" w:rsidR="004979C1" w:rsidRPr="001209A2" w:rsidRDefault="004979C1" w:rsidP="004979C1">
      <w:pPr>
        <w:spacing w:line="480" w:lineRule="auto"/>
        <w:ind w:firstLine="449"/>
        <w:jc w:val="center"/>
        <w:rPr>
          <w:szCs w:val="22"/>
        </w:rPr>
      </w:pPr>
      <w:r w:rsidRPr="001209A2">
        <w:rPr>
          <w:rFonts w:hint="eastAsia"/>
          <w:b/>
          <w:bCs/>
          <w:szCs w:val="22"/>
        </w:rPr>
        <w:t>Fig.</w:t>
      </w:r>
      <w:r>
        <w:rPr>
          <w:b/>
          <w:bCs/>
          <w:szCs w:val="22"/>
        </w:rPr>
        <w:t>A</w:t>
      </w:r>
      <w:r w:rsidR="00574923">
        <w:rPr>
          <w:b/>
          <w:bCs/>
          <w:szCs w:val="22"/>
        </w:rPr>
        <w:t>1</w:t>
      </w:r>
      <w:r w:rsidRPr="001209A2">
        <w:rPr>
          <w:b/>
          <w:bCs/>
          <w:szCs w:val="22"/>
        </w:rPr>
        <w:t>.</w:t>
      </w:r>
      <w:r w:rsidRPr="001209A2">
        <w:rPr>
          <w:szCs w:val="22"/>
        </w:rPr>
        <w:t xml:space="preserve"> Calculation process of the level of economic development</w:t>
      </w:r>
    </w:p>
    <w:p w14:paraId="2EF1C0EB" w14:textId="5DE8CB44" w:rsidR="00577959" w:rsidRPr="00577959" w:rsidRDefault="00577959" w:rsidP="00CA11EE">
      <w:pPr>
        <w:jc w:val="left"/>
        <w:rPr>
          <w:rFonts w:cs="Times New Roman"/>
          <w:sz w:val="24"/>
        </w:rPr>
      </w:pPr>
    </w:p>
    <w:p w14:paraId="7A323329" w14:textId="3CE39186" w:rsidR="00577959" w:rsidRPr="00577959" w:rsidRDefault="00083067" w:rsidP="001A1487">
      <w:pPr>
        <w:pStyle w:val="Heading1"/>
      </w:pPr>
      <w:r>
        <w:rPr>
          <w:rFonts w:hint="eastAsia"/>
        </w:rPr>
        <w:t>1.</w:t>
      </w:r>
      <w:r w:rsidR="00577959" w:rsidRPr="00577959">
        <w:t xml:space="preserve"> Calculating the water footprint of energy production</w:t>
      </w:r>
    </w:p>
    <w:p w14:paraId="0A5B57FC" w14:textId="77777777" w:rsidR="00577959" w:rsidRPr="00D553F6" w:rsidRDefault="00577959" w:rsidP="00577959">
      <w:pPr>
        <w:ind w:firstLine="400"/>
        <w:rPr>
          <w:szCs w:val="20"/>
        </w:rPr>
      </w:pPr>
      <w:r w:rsidRPr="00D553F6">
        <w:rPr>
          <w:szCs w:val="20"/>
        </w:rPr>
        <w:t xml:space="preserve">Considering the energy production life cycle process, the above equation can be further expanded as: </w:t>
      </w:r>
    </w:p>
    <w:p w14:paraId="6D4B19D0" w14:textId="212C1834" w:rsidR="00577959" w:rsidRPr="00D553F6" w:rsidRDefault="00577959" w:rsidP="00577959">
      <w:pPr>
        <w:pStyle w:val="MTDisplayEquation"/>
        <w:ind w:firstLine="400"/>
        <w:rPr>
          <w:i w:val="0"/>
          <w:iCs/>
          <w:szCs w:val="20"/>
        </w:rPr>
      </w:pPr>
      <w:r w:rsidRPr="00D553F6">
        <w:rPr>
          <w:szCs w:val="20"/>
        </w:rPr>
        <w:tab/>
      </w:r>
      <m:oMath>
        <m:sSub>
          <m:sSubPr>
            <m:ctrlPr>
              <w:rPr>
                <w:rFonts w:ascii="Cambria Math" w:hAnsi="Cambria Math"/>
                <w:szCs w:val="20"/>
              </w:rPr>
            </m:ctrlPr>
          </m:sSubPr>
          <m:e>
            <m:r>
              <m:rPr>
                <m:nor/>
              </m:rPr>
              <w:rPr>
                <w:szCs w:val="20"/>
              </w:rPr>
              <m:t>WFE</m:t>
            </m:r>
          </m:e>
          <m:sub>
            <w:proofErr w:type="spellStart"/>
            <m:r>
              <m:rPr>
                <m:nor/>
              </m:rPr>
              <w:rPr>
                <w:szCs w:val="20"/>
              </w:rPr>
              <m:t>i</m:t>
            </m:r>
            <w:proofErr w:type="spellEnd"/>
          </m:sub>
        </m:sSub>
        <m:r>
          <m:rPr>
            <m:nor/>
          </m:rPr>
          <w:rPr>
            <w:szCs w:val="20"/>
          </w:rPr>
          <m:t>=</m:t>
        </m:r>
        <m:nary>
          <m:naryPr>
            <m:chr m:val="∑"/>
            <m:limLoc m:val="undOvr"/>
            <m:ctrlPr>
              <w:rPr>
                <w:rFonts w:ascii="Cambria Math" w:hAnsi="Cambria Math"/>
                <w:szCs w:val="20"/>
              </w:rPr>
            </m:ctrlPr>
          </m:naryPr>
          <m:sub>
            <m:r>
              <m:rPr>
                <m:nor/>
              </m:rPr>
              <w:rPr>
                <w:szCs w:val="20"/>
              </w:rPr>
              <m:t>p=</m:t>
            </m:r>
            <m:r>
              <m:rPr>
                <m:nor/>
              </m:rPr>
              <w:rPr>
                <w:i w:val="0"/>
                <w:iCs/>
                <w:szCs w:val="20"/>
              </w:rPr>
              <m:t>1</m:t>
            </m:r>
          </m:sub>
          <m:sup>
            <m:r>
              <m:rPr>
                <m:nor/>
              </m:rPr>
              <w:rPr>
                <w:szCs w:val="20"/>
              </w:rPr>
              <m:t>n</m:t>
            </m:r>
          </m:sup>
          <m:e>
            <m:sSubSup>
              <m:sSubSupPr>
                <m:ctrlPr>
                  <w:rPr>
                    <w:rFonts w:ascii="Cambria Math" w:hAnsi="Cambria Math"/>
                    <w:szCs w:val="20"/>
                  </w:rPr>
                </m:ctrlPr>
              </m:sSubSupPr>
              <m:e>
                <m:r>
                  <m:rPr>
                    <m:nor/>
                  </m:rPr>
                  <w:rPr>
                    <w:i w:val="0"/>
                    <w:iCs/>
                    <w:szCs w:val="20"/>
                  </w:rPr>
                  <m:t>(</m:t>
                </m:r>
                <m:r>
                  <m:rPr>
                    <m:nor/>
                  </m:rPr>
                  <w:rPr>
                    <w:szCs w:val="20"/>
                  </w:rPr>
                  <m:t>WFE</m:t>
                </m:r>
              </m:e>
              <m:sub>
                <m:r>
                  <m:rPr>
                    <m:nor/>
                  </m:rPr>
                  <w:rPr>
                    <w:szCs w:val="20"/>
                  </w:rPr>
                  <m:t>p</m:t>
                </m:r>
                <m:r>
                  <m:rPr>
                    <m:nor/>
                  </m:rPr>
                  <w:rPr>
                    <w:i w:val="0"/>
                    <w:iCs/>
                    <w:szCs w:val="20"/>
                  </w:rPr>
                  <m:t>(</m:t>
                </m:r>
                <w:proofErr w:type="spellStart"/>
                <m:r>
                  <m:rPr>
                    <m:nor/>
                  </m:rPr>
                  <w:rPr>
                    <w:szCs w:val="20"/>
                  </w:rPr>
                  <m:t>direct,i</m:t>
                </m:r>
                <w:proofErr w:type="spellEnd"/>
                <m:r>
                  <m:rPr>
                    <m:nor/>
                  </m:rPr>
                  <w:rPr>
                    <w:i w:val="0"/>
                    <w:iCs/>
                    <w:szCs w:val="20"/>
                  </w:rPr>
                  <m:t>)</m:t>
                </m:r>
              </m:sub>
              <m:sup>
                <m:r>
                  <m:rPr>
                    <m:nor/>
                  </m:rPr>
                  <w:rPr>
                    <w:szCs w:val="20"/>
                  </w:rPr>
                  <m:t>blue</m:t>
                </m:r>
              </m:sup>
            </m:sSubSup>
            <m:r>
              <m:rPr>
                <m:nor/>
              </m:rPr>
              <w:rPr>
                <w:szCs w:val="20"/>
              </w:rPr>
              <m:t>+</m:t>
            </m:r>
            <m:sSubSup>
              <m:sSubSupPr>
                <m:ctrlPr>
                  <w:rPr>
                    <w:rFonts w:ascii="Cambria Math" w:hAnsi="Cambria Math"/>
                    <w:szCs w:val="20"/>
                  </w:rPr>
                </m:ctrlPr>
              </m:sSubSupPr>
              <m:e>
                <m:r>
                  <m:rPr>
                    <m:nor/>
                  </m:rPr>
                  <w:rPr>
                    <w:szCs w:val="20"/>
                  </w:rPr>
                  <m:t>WFE</m:t>
                </m:r>
              </m:e>
              <m:sub>
                <m:r>
                  <m:rPr>
                    <m:nor/>
                  </m:rPr>
                  <w:rPr>
                    <w:szCs w:val="20"/>
                  </w:rPr>
                  <m:t>p</m:t>
                </m:r>
                <m:r>
                  <m:rPr>
                    <m:nor/>
                  </m:rPr>
                  <w:rPr>
                    <w:i w:val="0"/>
                    <w:iCs/>
                    <w:szCs w:val="20"/>
                  </w:rPr>
                  <m:t>(</m:t>
                </m:r>
                <w:proofErr w:type="spellStart"/>
                <m:r>
                  <m:rPr>
                    <m:nor/>
                  </m:rPr>
                  <w:rPr>
                    <w:szCs w:val="20"/>
                  </w:rPr>
                  <m:t>direct,i</m:t>
                </m:r>
                <w:proofErr w:type="spellEnd"/>
                <m:r>
                  <m:rPr>
                    <m:nor/>
                  </m:rPr>
                  <w:rPr>
                    <w:i w:val="0"/>
                    <w:iCs/>
                    <w:szCs w:val="20"/>
                  </w:rPr>
                  <m:t>)</m:t>
                </m:r>
              </m:sub>
              <m:sup>
                <m:r>
                  <m:rPr>
                    <m:nor/>
                  </m:rPr>
                  <w:rPr>
                    <w:szCs w:val="20"/>
                  </w:rPr>
                  <m:t>grey</m:t>
                </m:r>
              </m:sup>
            </m:sSubSup>
            <m:r>
              <m:rPr>
                <m:nor/>
              </m:rPr>
              <w:rPr>
                <w:i w:val="0"/>
                <w:iCs/>
                <w:szCs w:val="20"/>
              </w:rPr>
              <m:t>)</m:t>
            </m:r>
          </m:e>
        </m:nary>
        <m:r>
          <m:rPr>
            <m:nor/>
          </m:rPr>
          <w:rPr>
            <w:szCs w:val="20"/>
          </w:rPr>
          <m:t>+</m:t>
        </m:r>
        <m:nary>
          <m:naryPr>
            <m:chr m:val="∑"/>
            <m:limLoc m:val="undOvr"/>
            <m:ctrlPr>
              <w:rPr>
                <w:rFonts w:ascii="Cambria Math" w:hAnsi="Cambria Math"/>
                <w:szCs w:val="20"/>
              </w:rPr>
            </m:ctrlPr>
          </m:naryPr>
          <m:sub>
            <m:r>
              <m:rPr>
                <m:nor/>
              </m:rPr>
              <w:rPr>
                <w:szCs w:val="20"/>
              </w:rPr>
              <m:t>j=</m:t>
            </m:r>
            <m:r>
              <m:rPr>
                <m:nor/>
              </m:rPr>
              <w:rPr>
                <w:i w:val="0"/>
                <w:iCs/>
                <w:szCs w:val="20"/>
              </w:rPr>
              <m:t>1</m:t>
            </m:r>
          </m:sub>
          <m:sup>
            <m:r>
              <m:rPr>
                <m:nor/>
              </m:rPr>
              <w:rPr>
                <w:szCs w:val="20"/>
              </w:rPr>
              <m:t>n</m:t>
            </m:r>
          </m:sup>
          <m:e>
            <m:sSubSup>
              <m:sSubSupPr>
                <m:ctrlPr>
                  <w:rPr>
                    <w:rFonts w:ascii="Cambria Math" w:hAnsi="Cambria Math"/>
                    <w:szCs w:val="20"/>
                  </w:rPr>
                </m:ctrlPr>
              </m:sSubSupPr>
              <m:e>
                <m:r>
                  <m:rPr>
                    <m:nor/>
                  </m:rPr>
                  <w:rPr>
                    <w:szCs w:val="20"/>
                  </w:rPr>
                  <m:t>WFE</m:t>
                </m:r>
              </m:e>
              <m:sub>
                <m:r>
                  <m:rPr>
                    <m:nor/>
                  </m:rPr>
                  <w:rPr>
                    <w:szCs w:val="20"/>
                  </w:rPr>
                  <m:t>j</m:t>
                </m:r>
                <m:r>
                  <m:rPr>
                    <m:nor/>
                  </m:rPr>
                  <w:rPr>
                    <w:i w:val="0"/>
                    <w:iCs/>
                    <w:szCs w:val="20"/>
                  </w:rPr>
                  <m:t>(</m:t>
                </m:r>
                <w:proofErr w:type="spellStart"/>
                <m:r>
                  <m:rPr>
                    <m:nor/>
                  </m:rPr>
                  <w:rPr>
                    <w:szCs w:val="20"/>
                  </w:rPr>
                  <m:t>indirect,i</m:t>
                </m:r>
                <w:proofErr w:type="spellEnd"/>
                <m:r>
                  <m:rPr>
                    <m:nor/>
                  </m:rPr>
                  <w:rPr>
                    <w:i w:val="0"/>
                    <w:iCs/>
                    <w:szCs w:val="20"/>
                  </w:rPr>
                  <m:t>)</m:t>
                </m:r>
              </m:sub>
              <m:sup>
                <m:r>
                  <m:rPr>
                    <m:nor/>
                  </m:rPr>
                  <w:rPr>
                    <w:szCs w:val="20"/>
                  </w:rPr>
                  <m:t>blue</m:t>
                </m:r>
              </m:sup>
            </m:sSubSup>
            <m:r>
              <m:rPr>
                <m:nor/>
              </m:rPr>
              <w:rPr>
                <w:szCs w:val="20"/>
              </w:rPr>
              <m:t>+</m:t>
            </m:r>
            <m:sSubSup>
              <m:sSubSupPr>
                <m:ctrlPr>
                  <w:rPr>
                    <w:rFonts w:ascii="Cambria Math" w:hAnsi="Cambria Math"/>
                    <w:szCs w:val="20"/>
                  </w:rPr>
                </m:ctrlPr>
              </m:sSubSupPr>
              <m:e>
                <m:r>
                  <m:rPr>
                    <m:nor/>
                  </m:rPr>
                  <w:rPr>
                    <w:szCs w:val="20"/>
                  </w:rPr>
                  <m:t>WFE</m:t>
                </m:r>
              </m:e>
              <m:sub>
                <m:r>
                  <m:rPr>
                    <m:nor/>
                  </m:rPr>
                  <w:rPr>
                    <w:szCs w:val="20"/>
                  </w:rPr>
                  <m:t>j</m:t>
                </m:r>
                <m:r>
                  <m:rPr>
                    <m:nor/>
                  </m:rPr>
                  <w:rPr>
                    <w:i w:val="0"/>
                    <w:iCs/>
                    <w:szCs w:val="20"/>
                  </w:rPr>
                  <m:t>(</m:t>
                </m:r>
                <w:proofErr w:type="spellStart"/>
                <m:r>
                  <m:rPr>
                    <m:nor/>
                  </m:rPr>
                  <w:rPr>
                    <w:szCs w:val="20"/>
                  </w:rPr>
                  <m:t>indirect,i</m:t>
                </m:r>
                <w:proofErr w:type="spellEnd"/>
                <m:r>
                  <m:rPr>
                    <m:nor/>
                  </m:rPr>
                  <w:rPr>
                    <w:rFonts w:ascii="Cambria Math"/>
                    <w:i w:val="0"/>
                    <w:iCs/>
                    <w:szCs w:val="20"/>
                  </w:rPr>
                  <m:t>)</m:t>
                </m:r>
              </m:sub>
              <m:sup>
                <m:r>
                  <m:rPr>
                    <m:nor/>
                  </m:rPr>
                  <w:rPr>
                    <w:szCs w:val="20"/>
                  </w:rPr>
                  <m:t>grey</m:t>
                </m:r>
              </m:sup>
            </m:sSubSup>
          </m:e>
        </m:nary>
      </m:oMath>
      <w:r w:rsidRPr="00D553F6">
        <w:rPr>
          <w:szCs w:val="20"/>
        </w:rPr>
        <w:tab/>
      </w:r>
      <w:r w:rsidRPr="00D553F6">
        <w:rPr>
          <w:i w:val="0"/>
          <w:iCs/>
          <w:szCs w:val="20"/>
        </w:rPr>
        <w:t>(</w:t>
      </w:r>
      <w:r w:rsidR="00530F70">
        <w:rPr>
          <w:rFonts w:hint="eastAsia"/>
          <w:i w:val="0"/>
          <w:iCs/>
          <w:szCs w:val="20"/>
        </w:rPr>
        <w:t>A</w:t>
      </w:r>
      <w:r w:rsidR="00530F70">
        <w:rPr>
          <w:i w:val="0"/>
          <w:iCs/>
          <w:szCs w:val="20"/>
        </w:rPr>
        <w:t>.</w:t>
      </w:r>
      <w:r w:rsidR="003E157D">
        <w:rPr>
          <w:rFonts w:hint="eastAsia"/>
          <w:i w:val="0"/>
          <w:iCs/>
          <w:szCs w:val="20"/>
        </w:rPr>
        <w:t>1</w:t>
      </w:r>
      <w:r w:rsidRPr="00D553F6">
        <w:rPr>
          <w:i w:val="0"/>
          <w:iCs/>
          <w:szCs w:val="20"/>
        </w:rPr>
        <w:t>)</w:t>
      </w:r>
    </w:p>
    <w:p w14:paraId="752A3466" w14:textId="77777777" w:rsidR="00577959" w:rsidRPr="00D553F6" w:rsidRDefault="00577959" w:rsidP="00577959">
      <w:pPr>
        <w:ind w:firstLine="400"/>
        <w:rPr>
          <w:szCs w:val="20"/>
        </w:rPr>
      </w:pPr>
      <w:r w:rsidRPr="00D553F6">
        <w:rPr>
          <w:szCs w:val="20"/>
        </w:rPr>
        <w:t xml:space="preserve">where: </w:t>
      </w:r>
      <w:r w:rsidRPr="00D553F6">
        <w:rPr>
          <w:rFonts w:hint="eastAsia"/>
          <w:i/>
          <w:iCs/>
          <w:szCs w:val="20"/>
        </w:rPr>
        <w:t>p</w:t>
      </w:r>
      <w:r w:rsidRPr="00D553F6">
        <w:rPr>
          <w:szCs w:val="20"/>
        </w:rPr>
        <w:t xml:space="preserve"> indicates the production process; </w:t>
      </w:r>
      <w:r w:rsidRPr="00D553F6">
        <w:rPr>
          <w:i/>
          <w:iCs/>
          <w:szCs w:val="20"/>
        </w:rPr>
        <w:t>j</w:t>
      </w:r>
      <w:r w:rsidRPr="00D553F6">
        <w:rPr>
          <w:szCs w:val="20"/>
        </w:rPr>
        <w:t xml:space="preserve"> indicates the energy category; and the other variables are the same as in </w:t>
      </w:r>
      <w:proofErr w:type="gramStart"/>
      <w:r w:rsidRPr="00D553F6">
        <w:rPr>
          <w:rFonts w:hint="eastAsia"/>
          <w:szCs w:val="20"/>
        </w:rPr>
        <w:t>Eq</w:t>
      </w:r>
      <w:r w:rsidRPr="00D553F6">
        <w:rPr>
          <w:szCs w:val="20"/>
        </w:rPr>
        <w:t>.(</w:t>
      </w:r>
      <w:proofErr w:type="gramEnd"/>
      <w:r w:rsidRPr="00D553F6">
        <w:rPr>
          <w:szCs w:val="20"/>
        </w:rPr>
        <w:t xml:space="preserve">6) to </w:t>
      </w:r>
      <w:proofErr w:type="gramStart"/>
      <w:r w:rsidRPr="00D553F6">
        <w:rPr>
          <w:szCs w:val="20"/>
        </w:rPr>
        <w:t>Eq.(</w:t>
      </w:r>
      <w:proofErr w:type="gramEnd"/>
      <w:r w:rsidRPr="00D553F6">
        <w:rPr>
          <w:szCs w:val="20"/>
        </w:rPr>
        <w:t>9).</w:t>
      </w:r>
    </w:p>
    <w:p w14:paraId="6F29265C" w14:textId="77777777" w:rsidR="00577959" w:rsidRPr="00D553F6" w:rsidRDefault="00577959" w:rsidP="00577959">
      <w:pPr>
        <w:ind w:firstLine="400"/>
        <w:rPr>
          <w:szCs w:val="20"/>
        </w:rPr>
      </w:pPr>
      <w:r w:rsidRPr="00D553F6">
        <w:rPr>
          <w:rFonts w:hint="eastAsia"/>
          <w:szCs w:val="20"/>
        </w:rPr>
        <w:t>The grey WFE is calculated as follow</w:t>
      </w:r>
      <w:r w:rsidRPr="00D553F6">
        <w:rPr>
          <w:szCs w:val="20"/>
        </w:rPr>
        <w:t>:</w:t>
      </w:r>
    </w:p>
    <w:p w14:paraId="18B19AA0" w14:textId="029C6C04" w:rsidR="00577959" w:rsidRPr="003E157D" w:rsidRDefault="00577959" w:rsidP="00577959">
      <w:pPr>
        <w:pStyle w:val="MTDisplayEquation"/>
        <w:ind w:firstLine="400"/>
        <w:rPr>
          <w:i w:val="0"/>
          <w:iCs/>
          <w:szCs w:val="20"/>
        </w:rPr>
      </w:pPr>
      <w:r w:rsidRPr="00D553F6">
        <w:rPr>
          <w:szCs w:val="20"/>
        </w:rPr>
        <w:tab/>
      </w:r>
      <m:oMath>
        <m:sSubSup>
          <m:sSubSupPr>
            <m:ctrlPr>
              <w:rPr>
                <w:rFonts w:ascii="Cambria Math" w:hAnsi="Cambria Math"/>
                <w:iCs/>
                <w:szCs w:val="20"/>
              </w:rPr>
            </m:ctrlPr>
          </m:sSubSupPr>
          <m:e>
            <m:r>
              <m:rPr>
                <m:nor/>
              </m:rPr>
              <w:rPr>
                <w:iCs/>
                <w:szCs w:val="20"/>
              </w:rPr>
              <m:t>WFE</m:t>
            </m:r>
          </m:e>
          <m:sub>
            <w:proofErr w:type="spellStart"/>
            <m:r>
              <m:rPr>
                <m:nor/>
              </m:rPr>
              <w:rPr>
                <w:iCs/>
                <w:szCs w:val="20"/>
              </w:rPr>
              <m:t>direct,i</m:t>
            </m:r>
            <w:proofErr w:type="spellEnd"/>
          </m:sub>
          <m:sup>
            <m:r>
              <m:rPr>
                <m:nor/>
              </m:rPr>
              <w:rPr>
                <w:iCs/>
                <w:szCs w:val="20"/>
              </w:rPr>
              <m:t>grey</m:t>
            </m:r>
          </m:sup>
        </m:sSubSup>
        <m:r>
          <m:rPr>
            <m:nor/>
          </m:rPr>
          <w:rPr>
            <w:iCs/>
            <w:szCs w:val="20"/>
          </w:rPr>
          <m:t>=</m:t>
        </m:r>
        <m:f>
          <m:fPr>
            <m:ctrlPr>
              <w:rPr>
                <w:rFonts w:ascii="Cambria Math" w:hAnsi="Cambria Math"/>
                <w:iCs/>
                <w:szCs w:val="20"/>
              </w:rPr>
            </m:ctrlPr>
          </m:fPr>
          <m:num>
            <m:r>
              <m:rPr>
                <m:nor/>
              </m:rPr>
              <w:rPr>
                <w:iCs/>
                <w:szCs w:val="20"/>
              </w:rPr>
              <m:t>G</m:t>
            </m:r>
          </m:num>
          <m:den>
            <m:sSub>
              <m:sSubPr>
                <m:ctrlPr>
                  <w:rPr>
                    <w:rFonts w:ascii="Cambria Math" w:hAnsi="Cambria Math"/>
                    <w:iCs/>
                    <w:szCs w:val="20"/>
                  </w:rPr>
                </m:ctrlPr>
              </m:sSubPr>
              <m:e>
                <m:r>
                  <m:rPr>
                    <m:nor/>
                  </m:rPr>
                  <w:rPr>
                    <w:iCs/>
                    <w:szCs w:val="20"/>
                  </w:rPr>
                  <m:t>C</m:t>
                </m:r>
              </m:e>
              <m:sub>
                <m:r>
                  <m:rPr>
                    <m:nor/>
                  </m:rPr>
                  <w:rPr>
                    <w:iCs/>
                    <w:szCs w:val="20"/>
                  </w:rPr>
                  <m:t>max</m:t>
                </m:r>
              </m:sub>
            </m:sSub>
            <m:r>
              <m:rPr>
                <m:nor/>
              </m:rPr>
              <w:rPr>
                <w:iCs/>
                <w:szCs w:val="20"/>
              </w:rPr>
              <m:t>-</m:t>
            </m:r>
            <m:sSub>
              <m:sSubPr>
                <m:ctrlPr>
                  <w:rPr>
                    <w:rFonts w:ascii="Cambria Math" w:hAnsi="Cambria Math"/>
                    <w:iCs/>
                    <w:szCs w:val="20"/>
                  </w:rPr>
                </m:ctrlPr>
              </m:sSubPr>
              <m:e>
                <m:r>
                  <m:rPr>
                    <m:nor/>
                  </m:rPr>
                  <w:rPr>
                    <w:iCs/>
                    <w:szCs w:val="20"/>
                  </w:rPr>
                  <m:t>C</m:t>
                </m:r>
              </m:e>
              <m:sub>
                <w:proofErr w:type="spellStart"/>
                <m:r>
                  <m:rPr>
                    <m:nor/>
                  </m:rPr>
                  <w:rPr>
                    <w:iCs/>
                    <w:szCs w:val="20"/>
                  </w:rPr>
                  <m:t>nat</m:t>
                </m:r>
                <w:proofErr w:type="spellEnd"/>
              </m:sub>
            </m:sSub>
          </m:den>
        </m:f>
        <m:r>
          <m:rPr>
            <m:nor/>
          </m:rPr>
          <w:rPr>
            <w:iCs/>
            <w:szCs w:val="20"/>
          </w:rPr>
          <m:t>=</m:t>
        </m:r>
        <m:f>
          <m:fPr>
            <m:ctrlPr>
              <w:rPr>
                <w:rFonts w:ascii="Cambria Math" w:hAnsi="Cambria Math"/>
                <w:iCs/>
                <w:szCs w:val="20"/>
              </w:rPr>
            </m:ctrlPr>
          </m:fPr>
          <m:num>
            <m:r>
              <m:rPr>
                <m:nor/>
              </m:rPr>
              <w:rPr>
                <w:iCs/>
                <w:szCs w:val="20"/>
              </w:rPr>
              <m:t>L×</m:t>
            </m:r>
            <m:sSub>
              <m:sSubPr>
                <m:ctrlPr>
                  <w:rPr>
                    <w:rFonts w:ascii="Cambria Math" w:hAnsi="Cambria Math"/>
                    <w:iCs/>
                    <w:szCs w:val="20"/>
                  </w:rPr>
                </m:ctrlPr>
              </m:sSubPr>
              <m:e>
                <m:r>
                  <m:rPr>
                    <m:nor/>
                  </m:rPr>
                  <w:rPr>
                    <w:iCs/>
                    <w:szCs w:val="20"/>
                  </w:rPr>
                  <m:t>V</m:t>
                </m:r>
              </m:e>
              <m:sub>
                <m:r>
                  <m:rPr>
                    <m:nor/>
                  </m:rPr>
                  <w:rPr>
                    <w:iCs/>
                    <w:szCs w:val="20"/>
                  </w:rPr>
                  <m:t>p</m:t>
                </m:r>
              </m:sub>
            </m:sSub>
          </m:num>
          <m:den>
            <m:sSub>
              <m:sSubPr>
                <m:ctrlPr>
                  <w:rPr>
                    <w:rFonts w:ascii="Cambria Math" w:hAnsi="Cambria Math"/>
                    <w:iCs/>
                    <w:szCs w:val="20"/>
                  </w:rPr>
                </m:ctrlPr>
              </m:sSubPr>
              <m:e>
                <m:r>
                  <m:rPr>
                    <m:nor/>
                  </m:rPr>
                  <w:rPr>
                    <w:iCs/>
                    <w:szCs w:val="20"/>
                  </w:rPr>
                  <m:t>C</m:t>
                </m:r>
              </m:e>
              <m:sub>
                <m:r>
                  <m:rPr>
                    <m:nor/>
                  </m:rPr>
                  <w:rPr>
                    <w:iCs/>
                    <w:szCs w:val="20"/>
                  </w:rPr>
                  <m:t>max</m:t>
                </m:r>
              </m:sub>
            </m:sSub>
            <m:r>
              <m:rPr>
                <m:nor/>
              </m:rPr>
              <w:rPr>
                <w:iCs/>
                <w:szCs w:val="20"/>
              </w:rPr>
              <m:t>-</m:t>
            </m:r>
            <m:sSub>
              <m:sSubPr>
                <m:ctrlPr>
                  <w:rPr>
                    <w:rFonts w:ascii="Cambria Math" w:hAnsi="Cambria Math"/>
                    <w:iCs/>
                    <w:szCs w:val="20"/>
                  </w:rPr>
                </m:ctrlPr>
              </m:sSubPr>
              <m:e>
                <m:r>
                  <m:rPr>
                    <m:nor/>
                  </m:rPr>
                  <w:rPr>
                    <w:iCs/>
                    <w:szCs w:val="20"/>
                  </w:rPr>
                  <m:t>C</m:t>
                </m:r>
              </m:e>
              <m:sub>
                <w:proofErr w:type="spellStart"/>
                <m:r>
                  <m:rPr>
                    <m:nor/>
                  </m:rPr>
                  <w:rPr>
                    <w:iCs/>
                    <w:szCs w:val="20"/>
                  </w:rPr>
                  <m:t>nat</m:t>
                </m:r>
                <w:proofErr w:type="spellEnd"/>
              </m:sub>
            </m:sSub>
          </m:den>
        </m:f>
      </m:oMath>
      <w:r w:rsidRPr="00D553F6">
        <w:rPr>
          <w:szCs w:val="20"/>
        </w:rPr>
        <w:tab/>
      </w:r>
      <w:r w:rsidRPr="00D553F6">
        <w:rPr>
          <w:i w:val="0"/>
          <w:iCs/>
          <w:szCs w:val="20"/>
        </w:rPr>
        <w:t>(</w:t>
      </w:r>
      <w:r w:rsidR="00530F70">
        <w:rPr>
          <w:rFonts w:hint="eastAsia"/>
          <w:i w:val="0"/>
          <w:iCs/>
          <w:szCs w:val="20"/>
        </w:rPr>
        <w:t>A</w:t>
      </w:r>
      <w:r w:rsidR="00530F70">
        <w:rPr>
          <w:i w:val="0"/>
          <w:iCs/>
          <w:szCs w:val="20"/>
        </w:rPr>
        <w:t>.</w:t>
      </w:r>
      <w:r w:rsidR="003E157D">
        <w:rPr>
          <w:rFonts w:hint="eastAsia"/>
          <w:i w:val="0"/>
          <w:iCs/>
          <w:szCs w:val="20"/>
        </w:rPr>
        <w:t>2)</w:t>
      </w:r>
    </w:p>
    <w:p w14:paraId="7085A1B2" w14:textId="77777777" w:rsidR="00577959" w:rsidRPr="00D553F6" w:rsidRDefault="00577959" w:rsidP="00577959">
      <w:pPr>
        <w:ind w:firstLine="400"/>
        <w:rPr>
          <w:szCs w:val="20"/>
        </w:rPr>
      </w:pPr>
      <w:r w:rsidRPr="00D553F6">
        <w:rPr>
          <w:szCs w:val="20"/>
        </w:rPr>
        <w:t>W</w:t>
      </w:r>
      <w:r w:rsidRPr="00D553F6">
        <w:rPr>
          <w:rFonts w:hint="eastAsia"/>
          <w:szCs w:val="20"/>
        </w:rPr>
        <w:t>here</w:t>
      </w:r>
      <w:r w:rsidRPr="00D553F6">
        <w:rPr>
          <w:szCs w:val="20"/>
        </w:rPr>
        <w:t xml:space="preserve">, the </w:t>
      </w:r>
      <w:r w:rsidRPr="00D553F6">
        <w:rPr>
          <w:i/>
          <w:iCs/>
          <w:szCs w:val="20"/>
        </w:rPr>
        <w:t>G</w:t>
      </w:r>
      <w:r w:rsidRPr="00D553F6">
        <w:rPr>
          <w:szCs w:val="20"/>
        </w:rPr>
        <w:t xml:space="preserve"> represents the volume of pollutants emitted per unit of energy production (mg/GJ); </w:t>
      </w:r>
      <w:r w:rsidRPr="00D553F6">
        <w:rPr>
          <w:i/>
          <w:iCs/>
          <w:szCs w:val="20"/>
        </w:rPr>
        <w:t>L</w:t>
      </w:r>
      <w:r w:rsidRPr="00D553F6">
        <w:rPr>
          <w:szCs w:val="20"/>
        </w:rPr>
        <w:t xml:space="preserve"> and </w:t>
      </w:r>
      <w:proofErr w:type="spellStart"/>
      <w:r w:rsidRPr="00D553F6">
        <w:rPr>
          <w:i/>
          <w:iCs/>
          <w:szCs w:val="20"/>
        </w:rPr>
        <w:t>V</w:t>
      </w:r>
      <w:r w:rsidRPr="00D553F6">
        <w:rPr>
          <w:i/>
          <w:iCs/>
          <w:szCs w:val="20"/>
          <w:vertAlign w:val="subscript"/>
        </w:rPr>
        <w:t>p</w:t>
      </w:r>
      <w:proofErr w:type="spellEnd"/>
      <w:r w:rsidRPr="00D553F6">
        <w:rPr>
          <w:szCs w:val="20"/>
        </w:rPr>
        <w:t xml:space="preserve"> are represent</w:t>
      </w:r>
      <w:r w:rsidRPr="00D553F6">
        <w:rPr>
          <w:rFonts w:hint="eastAsia"/>
          <w:szCs w:val="20"/>
        </w:rPr>
        <w:t xml:space="preserve"> t</w:t>
      </w:r>
      <w:r w:rsidRPr="00D553F6">
        <w:rPr>
          <w:szCs w:val="20"/>
        </w:rPr>
        <w:t>he amount of wastewater discharged per unit of energy production (m³/GJ)</w:t>
      </w:r>
      <w:r w:rsidRPr="00D553F6">
        <w:rPr>
          <w:rFonts w:hint="eastAsia"/>
          <w:szCs w:val="20"/>
        </w:rPr>
        <w:t xml:space="preserve"> and t</w:t>
      </w:r>
      <w:r w:rsidRPr="00D553F6">
        <w:rPr>
          <w:szCs w:val="20"/>
        </w:rPr>
        <w:t>he concentration of pollutants in wastewater per unit volume (mg/m³)</w:t>
      </w:r>
      <w:r w:rsidRPr="00D553F6">
        <w:rPr>
          <w:rFonts w:hint="eastAsia"/>
          <w:szCs w:val="20"/>
        </w:rPr>
        <w:t xml:space="preserve"> </w:t>
      </w:r>
      <w:r w:rsidRPr="00D553F6">
        <w:rPr>
          <w:rFonts w:cs="Times New Roman" w:hint="eastAsia"/>
          <w:szCs w:val="20"/>
        </w:rPr>
        <w:t>respectively</w:t>
      </w:r>
      <w:r w:rsidRPr="00D553F6">
        <w:rPr>
          <w:szCs w:val="20"/>
        </w:rPr>
        <w:t xml:space="preserve">. </w:t>
      </w:r>
      <m:oMath>
        <m:sSub>
          <m:sSubPr>
            <m:ctrlPr>
              <w:rPr>
                <w:rFonts w:ascii="Cambria Math" w:hAnsi="Cambria Math"/>
                <w:i/>
                <w:szCs w:val="20"/>
              </w:rPr>
            </m:ctrlPr>
          </m:sSubPr>
          <m:e>
            <m:r>
              <m:rPr>
                <m:nor/>
              </m:rPr>
              <w:rPr>
                <w:i/>
                <w:szCs w:val="20"/>
              </w:rPr>
              <m:t>C</m:t>
            </m:r>
          </m:e>
          <m:sub>
            <m:r>
              <m:rPr>
                <m:nor/>
              </m:rPr>
              <w:rPr>
                <w:i/>
                <w:szCs w:val="20"/>
              </w:rPr>
              <m:t>max</m:t>
            </m:r>
          </m:sub>
        </m:sSub>
      </m:oMath>
      <w:r w:rsidRPr="00D553F6">
        <w:rPr>
          <w:szCs w:val="20"/>
        </w:rPr>
        <w:t xml:space="preserve"> represents the maximum permissible concentration of pollutants allowed in water quality standards (mg/m³).</w:t>
      </w:r>
      <w:r w:rsidRPr="00D553F6">
        <w:rPr>
          <w:rFonts w:hint="eastAsia"/>
          <w:szCs w:val="20"/>
        </w:rPr>
        <w:t xml:space="preserve"> </w:t>
      </w:r>
      <m:oMath>
        <m:sSub>
          <m:sSubPr>
            <m:ctrlPr>
              <w:rPr>
                <w:rFonts w:ascii="Cambria Math" w:hAnsi="Cambria Math"/>
                <w:i/>
                <w:szCs w:val="20"/>
              </w:rPr>
            </m:ctrlPr>
          </m:sSubPr>
          <m:e>
            <m:r>
              <m:rPr>
                <m:nor/>
              </m:rPr>
              <w:rPr>
                <w:i/>
                <w:szCs w:val="20"/>
              </w:rPr>
              <m:t>C</m:t>
            </m:r>
          </m:e>
          <m:sub>
            <w:proofErr w:type="spellStart"/>
            <m:r>
              <m:rPr>
                <m:nor/>
              </m:rPr>
              <w:rPr>
                <w:i/>
                <w:szCs w:val="20"/>
              </w:rPr>
              <m:t>nat</m:t>
            </m:r>
            <w:proofErr w:type="spellEnd"/>
          </m:sub>
        </m:sSub>
      </m:oMath>
      <w:r w:rsidRPr="00D553F6">
        <w:rPr>
          <w:szCs w:val="20"/>
        </w:rPr>
        <w:t xml:space="preserve"> represents the initial concentration of pollutants in water bodies (mg/m³), which </w:t>
      </w:r>
      <w:r w:rsidRPr="00D553F6">
        <w:rPr>
          <w:rFonts w:hint="eastAsia"/>
          <w:szCs w:val="20"/>
        </w:rPr>
        <w:t>sets as</w:t>
      </w:r>
      <w:r w:rsidRPr="00D553F6">
        <w:rPr>
          <w:szCs w:val="20"/>
        </w:rPr>
        <w:t xml:space="preserve"> 0. Due to the presence of multiple pollutants in industrial wastewater, COD serves as a significant indicator for measuring organic pollution in the industrial sector, particularly in the energy sector. Therefore, this paper selects COD as the evaluation index when calculating the </w:t>
      </w:r>
      <w:r w:rsidRPr="00D553F6">
        <w:rPr>
          <w:rFonts w:hint="eastAsia"/>
          <w:szCs w:val="20"/>
        </w:rPr>
        <w:t>grey WFE</w:t>
      </w:r>
      <w:r w:rsidRPr="00D553F6">
        <w:rPr>
          <w:szCs w:val="20"/>
        </w:rPr>
        <w:t>.</w:t>
      </w:r>
    </w:p>
    <w:p w14:paraId="7FA89A93" w14:textId="3201CF21" w:rsidR="00CA11EE" w:rsidRPr="008B681B" w:rsidRDefault="00A07D4F" w:rsidP="00CA11EE">
      <w:pPr>
        <w:jc w:val="left"/>
        <w:rPr>
          <w:rFonts w:cs="Times New Roman"/>
          <w:b/>
          <w:bCs/>
          <w:sz w:val="24"/>
        </w:rPr>
      </w:pPr>
      <w:r w:rsidRPr="008B681B">
        <w:rPr>
          <w:rFonts w:cs="Times New Roman"/>
          <w:b/>
          <w:bCs/>
          <w:sz w:val="24"/>
        </w:rPr>
        <w:t xml:space="preserve">Table </w:t>
      </w:r>
      <w:r w:rsidR="007B50BF">
        <w:rPr>
          <w:rFonts w:cs="Times New Roman"/>
          <w:b/>
          <w:bCs/>
          <w:sz w:val="24"/>
        </w:rPr>
        <w:t>A.</w:t>
      </w:r>
      <w:r w:rsidRPr="008B681B">
        <w:rPr>
          <w:rFonts w:cs="Times New Roman"/>
          <w:b/>
          <w:bCs/>
          <w:sz w:val="24"/>
        </w:rPr>
        <w:t xml:space="preserve">1 </w:t>
      </w:r>
    </w:p>
    <w:p w14:paraId="2C566AD2" w14:textId="2696BB9F" w:rsidR="00A07D4F" w:rsidRDefault="00A07D4F" w:rsidP="00CA11EE">
      <w:pPr>
        <w:jc w:val="left"/>
        <w:rPr>
          <w:rFonts w:cs="Times New Roman"/>
          <w:sz w:val="24"/>
        </w:rPr>
      </w:pPr>
      <w:r>
        <w:rPr>
          <w:rFonts w:cs="Times New Roman" w:hint="eastAsia"/>
          <w:sz w:val="24"/>
        </w:rPr>
        <w:t>WF</w:t>
      </w:r>
      <w:r w:rsidRPr="00A07D4F">
        <w:rPr>
          <w:rFonts w:cs="Times New Roman"/>
          <w:sz w:val="24"/>
        </w:rPr>
        <w:t xml:space="preserve"> per unit of production in energy production life cycle in China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2430"/>
        <w:gridCol w:w="3046"/>
        <w:gridCol w:w="1842"/>
        <w:gridCol w:w="1819"/>
      </w:tblGrid>
      <w:tr w:rsidR="00ED4BCC" w14:paraId="04129BC4" w14:textId="77777777" w:rsidTr="00ED4BCC">
        <w:tc>
          <w:tcPr>
            <w:tcW w:w="635" w:type="pct"/>
            <w:tcBorders>
              <w:top w:val="single" w:sz="4" w:space="0" w:color="auto"/>
              <w:bottom w:val="single" w:sz="4" w:space="0" w:color="auto"/>
            </w:tcBorders>
          </w:tcPr>
          <w:p w14:paraId="0A4CCF7C" w14:textId="77777777" w:rsidR="00A92E6C" w:rsidRDefault="00A92E6C">
            <w:r w:rsidRPr="00A07D4F">
              <w:t>Energy</w:t>
            </w:r>
          </w:p>
        </w:tc>
        <w:tc>
          <w:tcPr>
            <w:tcW w:w="2616" w:type="pct"/>
            <w:gridSpan w:val="2"/>
            <w:tcBorders>
              <w:top w:val="single" w:sz="4" w:space="0" w:color="auto"/>
              <w:bottom w:val="single" w:sz="4" w:space="0" w:color="auto"/>
            </w:tcBorders>
          </w:tcPr>
          <w:p w14:paraId="3FC08FAE" w14:textId="77777777" w:rsidR="00A92E6C" w:rsidRDefault="00A92E6C">
            <w:r w:rsidRPr="00A07D4F">
              <w:t>Energy production processes</w:t>
            </w:r>
          </w:p>
        </w:tc>
        <w:tc>
          <w:tcPr>
            <w:tcW w:w="880" w:type="pct"/>
            <w:tcBorders>
              <w:top w:val="single" w:sz="4" w:space="0" w:color="auto"/>
              <w:bottom w:val="single" w:sz="4" w:space="0" w:color="auto"/>
            </w:tcBorders>
          </w:tcPr>
          <w:p w14:paraId="5954D290" w14:textId="77777777" w:rsidR="00A92E6C" w:rsidRDefault="00F92F3C">
            <w:r>
              <w:rPr>
                <w:rFonts w:hint="eastAsia"/>
              </w:rPr>
              <w:t>Values</w:t>
            </w:r>
          </w:p>
        </w:tc>
        <w:tc>
          <w:tcPr>
            <w:tcW w:w="869" w:type="pct"/>
            <w:tcBorders>
              <w:top w:val="single" w:sz="4" w:space="0" w:color="auto"/>
              <w:bottom w:val="single" w:sz="4" w:space="0" w:color="auto"/>
            </w:tcBorders>
          </w:tcPr>
          <w:p w14:paraId="261EBBAD" w14:textId="77777777" w:rsidR="00A92E6C" w:rsidRDefault="00F92F3C">
            <w:r>
              <w:rPr>
                <w:rFonts w:hint="eastAsia"/>
              </w:rPr>
              <w:t>References</w:t>
            </w:r>
          </w:p>
        </w:tc>
      </w:tr>
      <w:tr w:rsidR="00ED4BCC" w14:paraId="7FDF93E5" w14:textId="77777777" w:rsidTr="00ED4BCC">
        <w:tc>
          <w:tcPr>
            <w:tcW w:w="635" w:type="pct"/>
            <w:vMerge w:val="restart"/>
            <w:tcBorders>
              <w:top w:val="single" w:sz="4" w:space="0" w:color="auto"/>
            </w:tcBorders>
          </w:tcPr>
          <w:p w14:paraId="58EE5F5B" w14:textId="77777777" w:rsidR="00A92E6C" w:rsidRDefault="00A92E6C">
            <w:r w:rsidRPr="0090758A">
              <w:rPr>
                <w:rFonts w:eastAsia="SimSun" w:cs="Times New Roman"/>
                <w:color w:val="000000"/>
                <w:kern w:val="0"/>
                <w:szCs w:val="21"/>
              </w:rPr>
              <w:t>Coal</w:t>
            </w:r>
          </w:p>
        </w:tc>
        <w:tc>
          <w:tcPr>
            <w:tcW w:w="1161" w:type="pct"/>
            <w:tcBorders>
              <w:top w:val="single" w:sz="4" w:space="0" w:color="auto"/>
            </w:tcBorders>
          </w:tcPr>
          <w:p w14:paraId="4BCD05E4" w14:textId="77777777" w:rsidR="00A92E6C" w:rsidRDefault="00A92E6C">
            <w:r w:rsidRPr="00A07D4F">
              <w:t>Raw coal mining</w:t>
            </w:r>
          </w:p>
        </w:tc>
        <w:tc>
          <w:tcPr>
            <w:tcW w:w="1455" w:type="pct"/>
            <w:tcBorders>
              <w:top w:val="single" w:sz="4" w:space="0" w:color="auto"/>
            </w:tcBorders>
          </w:tcPr>
          <w:p w14:paraId="1367E1E2" w14:textId="77777777" w:rsidR="00A92E6C" w:rsidRDefault="00A92E6C">
            <w:r w:rsidRPr="00A92E6C">
              <w:t xml:space="preserve">Water consumption </w:t>
            </w:r>
          </w:p>
          <w:p w14:paraId="13515DB7" w14:textId="77777777" w:rsidR="00A92E6C" w:rsidRDefault="00A92E6C">
            <w:r w:rsidRPr="00A92E6C">
              <w:t>COD emissions values</w:t>
            </w:r>
          </w:p>
          <w:p w14:paraId="3384FB51" w14:textId="77777777" w:rsidR="00A92E6C" w:rsidRDefault="00A92E6C">
            <w:r w:rsidRPr="00A92E6C">
              <w:t>The maximum cod value</w:t>
            </w:r>
            <w:r>
              <w:t xml:space="preserve"> (</w:t>
            </w:r>
            <w:proofErr w:type="spellStart"/>
            <w:r>
              <w:t>C</w:t>
            </w:r>
            <w:r w:rsidRPr="00A92E6C">
              <w:rPr>
                <w:vertAlign w:val="subscript"/>
              </w:rPr>
              <w:t>max</w:t>
            </w:r>
            <w:proofErr w:type="spellEnd"/>
            <w:r>
              <w:t>)</w:t>
            </w:r>
          </w:p>
        </w:tc>
        <w:tc>
          <w:tcPr>
            <w:tcW w:w="880" w:type="pct"/>
            <w:tcBorders>
              <w:top w:val="single" w:sz="4" w:space="0" w:color="auto"/>
            </w:tcBorders>
          </w:tcPr>
          <w:p w14:paraId="0FAA10FF" w14:textId="77777777" w:rsidR="00A92E6C" w:rsidRDefault="00A92E6C">
            <w:r>
              <w:t>0.3 m</w:t>
            </w:r>
            <w:r w:rsidRPr="00EB6F91">
              <w:rPr>
                <w:vertAlign w:val="superscript"/>
              </w:rPr>
              <w:t>3</w:t>
            </w:r>
            <w:r>
              <w:t>/t</w:t>
            </w:r>
          </w:p>
          <w:p w14:paraId="0A5AAD74" w14:textId="77777777" w:rsidR="00A92E6C" w:rsidRDefault="00A92E6C">
            <w:r>
              <w:t>300g/t</w:t>
            </w:r>
          </w:p>
          <w:p w14:paraId="53BCF210" w14:textId="77777777" w:rsidR="00A92E6C" w:rsidRDefault="00A92E6C">
            <w:r>
              <w:t>50mg/L</w:t>
            </w:r>
          </w:p>
        </w:tc>
        <w:tc>
          <w:tcPr>
            <w:tcW w:w="869" w:type="pct"/>
            <w:tcBorders>
              <w:top w:val="single" w:sz="4" w:space="0" w:color="auto"/>
            </w:tcBorders>
          </w:tcPr>
          <w:p w14:paraId="129F2F20" w14:textId="58EB20DA" w:rsidR="00A92E6C" w:rsidRDefault="009E4470">
            <w:r>
              <w:fldChar w:fldCharType="begin"/>
            </w:r>
            <w:r w:rsidR="00703C8D">
              <w:instrText xml:space="preserve"> ADDIN ZOTERO_ITEM CSL_CITATION {"citationID":"jTKqe9LQ","properties":{"formattedCitation":"(MEPC, 2008)","plainCitation":"(MEPC, 2008)","noteIndex":0},"citationItems":[{"id":1311,"uris":["http://zotero.org/users/9266605/items/TPTA2QJH"],"itemData":{"id":1311,"type":"report","note":"titleTranslation:","title":"Ministry of environmental protection of China.,HJ 446-2008: cleaner production standardeCoal mining and processing industry. In: Ministry of Environmental Protection of China. Beijing.","author":[{"literal":"MEPC"}],"issued":{"date-parts":[["2008"]]}}}],"schema":"https://github.com/citation-style-language/schema/raw/master/csl-citation.json"} </w:instrText>
            </w:r>
            <w:r>
              <w:fldChar w:fldCharType="separate"/>
            </w:r>
            <w:r w:rsidR="00703C8D" w:rsidRPr="00703C8D">
              <w:rPr>
                <w:rFonts w:cs="Times New Roman"/>
              </w:rPr>
              <w:t>(MEPC, 2008)</w:t>
            </w:r>
            <w:r>
              <w:fldChar w:fldCharType="end"/>
            </w:r>
          </w:p>
        </w:tc>
      </w:tr>
      <w:tr w:rsidR="00ED4BCC" w14:paraId="3FF1EA72" w14:textId="77777777" w:rsidTr="00ED4BCC">
        <w:tc>
          <w:tcPr>
            <w:tcW w:w="635" w:type="pct"/>
            <w:vMerge/>
          </w:tcPr>
          <w:p w14:paraId="3F39BE04" w14:textId="77777777" w:rsidR="00A92E6C" w:rsidRPr="0090758A" w:rsidRDefault="00A92E6C" w:rsidP="00EB6F91">
            <w:pPr>
              <w:rPr>
                <w:rFonts w:eastAsia="SimSun" w:cs="Times New Roman"/>
                <w:color w:val="000000"/>
                <w:kern w:val="0"/>
                <w:szCs w:val="21"/>
              </w:rPr>
            </w:pPr>
          </w:p>
        </w:tc>
        <w:tc>
          <w:tcPr>
            <w:tcW w:w="1161" w:type="pct"/>
          </w:tcPr>
          <w:p w14:paraId="253B62AA" w14:textId="77777777" w:rsidR="00A92E6C" w:rsidRPr="00A07D4F" w:rsidRDefault="00A92E6C" w:rsidP="00EB6F91">
            <w:r>
              <w:rPr>
                <w:rFonts w:hint="eastAsia"/>
              </w:rPr>
              <w:t xml:space="preserve">Raw </w:t>
            </w:r>
            <w:r>
              <w:t>coal processing</w:t>
            </w:r>
          </w:p>
        </w:tc>
        <w:tc>
          <w:tcPr>
            <w:tcW w:w="1455" w:type="pct"/>
          </w:tcPr>
          <w:p w14:paraId="7244EAF9" w14:textId="77777777" w:rsidR="00A92E6C" w:rsidRDefault="00A92E6C" w:rsidP="00A92E6C">
            <w:r w:rsidRPr="00A92E6C">
              <w:t xml:space="preserve">Water consumption </w:t>
            </w:r>
          </w:p>
          <w:p w14:paraId="58F73CC7" w14:textId="77777777" w:rsidR="00A92E6C" w:rsidRDefault="00A92E6C" w:rsidP="00A92E6C">
            <w:r w:rsidRPr="00A92E6C">
              <w:t>COD emissions values</w:t>
            </w:r>
          </w:p>
          <w:p w14:paraId="1FE394E8" w14:textId="77777777" w:rsidR="00A92E6C" w:rsidRDefault="00A92E6C" w:rsidP="00A92E6C">
            <w:r w:rsidRPr="00A92E6C">
              <w:t>The maximum cod value</w:t>
            </w:r>
            <w:r>
              <w:t xml:space="preserve"> (</w:t>
            </w:r>
            <w:proofErr w:type="spellStart"/>
            <w:r>
              <w:t>C</w:t>
            </w:r>
            <w:r w:rsidRPr="00A92E6C">
              <w:rPr>
                <w:vertAlign w:val="subscript"/>
              </w:rPr>
              <w:t>max</w:t>
            </w:r>
            <w:proofErr w:type="spellEnd"/>
            <w:r>
              <w:t>)</w:t>
            </w:r>
          </w:p>
        </w:tc>
        <w:tc>
          <w:tcPr>
            <w:tcW w:w="880" w:type="pct"/>
          </w:tcPr>
          <w:p w14:paraId="78D4505C" w14:textId="77777777" w:rsidR="00A92E6C" w:rsidRDefault="00A92E6C" w:rsidP="00EB6F91">
            <w:r>
              <w:t>0.15 m</w:t>
            </w:r>
            <w:r w:rsidRPr="00EB6F91">
              <w:rPr>
                <w:vertAlign w:val="superscript"/>
              </w:rPr>
              <w:t>3</w:t>
            </w:r>
            <w:r>
              <w:t>/t</w:t>
            </w:r>
          </w:p>
          <w:p w14:paraId="041BCF96" w14:textId="77777777" w:rsidR="00A92E6C" w:rsidRDefault="00A92E6C" w:rsidP="00EB6F91">
            <w:r>
              <w:t>40g/t</w:t>
            </w:r>
          </w:p>
          <w:p w14:paraId="39F77234" w14:textId="77777777" w:rsidR="00A92E6C" w:rsidRDefault="00A92E6C" w:rsidP="00EB6F91">
            <w:r>
              <w:t>70mg/L</w:t>
            </w:r>
          </w:p>
        </w:tc>
        <w:tc>
          <w:tcPr>
            <w:tcW w:w="869" w:type="pct"/>
          </w:tcPr>
          <w:p w14:paraId="64E4FE05" w14:textId="1F8178F4" w:rsidR="00A92E6C" w:rsidRDefault="009E4470" w:rsidP="00EB6F91">
            <w:r>
              <w:fldChar w:fldCharType="begin"/>
            </w:r>
            <w:r w:rsidR="00703C8D">
              <w:instrText xml:space="preserve"> ADDIN ZOTERO_ITEM CSL_CITATION {"citationID":"J2PN7id8","properties":{"formattedCitation":"(MEPC, 2006)","plainCitation":"(MEPC, 2006)","noteIndex":0},"citationItems":[{"id":1310,"uris":["http://zotero.org/users/9266605/items/JGS4Y3MC"],"itemData":{"id":1310,"type":"report","title":"Ministry of environmental protection of China.,GB20246-2006: emission standard for pollutants from coal industry. In: Ministry of Environmental Protection of China. Beijing.","author":[{"literal":"MEPC"}],"issued":{"date-parts":[["2006"]]}},"label":"page"}],"schema":"https://github.com/citation-style-language/schema/raw/master/csl-citation.json"} </w:instrText>
            </w:r>
            <w:r>
              <w:fldChar w:fldCharType="separate"/>
            </w:r>
            <w:r w:rsidR="00703C8D" w:rsidRPr="00703C8D">
              <w:rPr>
                <w:rFonts w:cs="Times New Roman"/>
              </w:rPr>
              <w:t>(MEPC, 2006)</w:t>
            </w:r>
            <w:r>
              <w:fldChar w:fldCharType="end"/>
            </w:r>
          </w:p>
        </w:tc>
      </w:tr>
      <w:tr w:rsidR="006D7C1D" w14:paraId="1EC68FA1" w14:textId="77777777" w:rsidTr="00ED4BCC">
        <w:tc>
          <w:tcPr>
            <w:tcW w:w="635" w:type="pct"/>
            <w:vMerge w:val="restart"/>
            <w:vAlign w:val="center"/>
          </w:tcPr>
          <w:p w14:paraId="3EBBEF15"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Crude oil</w:t>
            </w:r>
          </w:p>
        </w:tc>
        <w:tc>
          <w:tcPr>
            <w:tcW w:w="1161" w:type="pct"/>
            <w:vAlign w:val="center"/>
          </w:tcPr>
          <w:p w14:paraId="4ACFC009" w14:textId="77777777" w:rsidR="006D7C1D" w:rsidRPr="0090758A" w:rsidRDefault="006D7C1D" w:rsidP="006D7C1D">
            <w:pPr>
              <w:widowControl/>
              <w:jc w:val="left"/>
              <w:rPr>
                <w:rFonts w:eastAsia="SimSun" w:cs="Times New Roman"/>
                <w:color w:val="000000"/>
                <w:kern w:val="0"/>
                <w:szCs w:val="21"/>
              </w:rPr>
            </w:pPr>
            <w:r>
              <w:rPr>
                <w:rFonts w:eastAsia="SimSun" w:cs="Times New Roman"/>
                <w:color w:val="000000"/>
                <w:kern w:val="0"/>
                <w:szCs w:val="21"/>
              </w:rPr>
              <w:t>Crude oil extraction</w:t>
            </w:r>
          </w:p>
        </w:tc>
        <w:tc>
          <w:tcPr>
            <w:tcW w:w="1455" w:type="pct"/>
          </w:tcPr>
          <w:p w14:paraId="1F06F715" w14:textId="77777777" w:rsidR="006D7C1D" w:rsidRDefault="006D7C1D" w:rsidP="006D7C1D">
            <w:r w:rsidRPr="00A92E6C">
              <w:t xml:space="preserve">Water consumption </w:t>
            </w:r>
          </w:p>
          <w:p w14:paraId="6941A3FD" w14:textId="77777777" w:rsidR="006D7C1D" w:rsidRDefault="006D7C1D" w:rsidP="006D7C1D">
            <w:r w:rsidRPr="00A92E6C">
              <w:t>COD emissions values</w:t>
            </w:r>
          </w:p>
          <w:p w14:paraId="163D0611" w14:textId="77777777" w:rsidR="006D7C1D" w:rsidRDefault="006D7C1D" w:rsidP="006D7C1D">
            <w:r w:rsidRPr="00A92E6C">
              <w:t>The maximum cod value</w:t>
            </w:r>
            <w:r>
              <w:t xml:space="preserve"> (</w:t>
            </w:r>
            <w:proofErr w:type="spellStart"/>
            <w:r>
              <w:t>C</w:t>
            </w:r>
            <w:r w:rsidRPr="00A92E6C">
              <w:rPr>
                <w:vertAlign w:val="subscript"/>
              </w:rPr>
              <w:t>max</w:t>
            </w:r>
            <w:proofErr w:type="spellEnd"/>
            <w:r>
              <w:t>)</w:t>
            </w:r>
          </w:p>
        </w:tc>
        <w:tc>
          <w:tcPr>
            <w:tcW w:w="880" w:type="pct"/>
          </w:tcPr>
          <w:p w14:paraId="3E1E75E5" w14:textId="77777777" w:rsidR="006D7C1D" w:rsidRDefault="006D7C1D" w:rsidP="006D7C1D">
            <w:r>
              <w:t>7 m</w:t>
            </w:r>
            <w:r w:rsidRPr="00EB6F91">
              <w:rPr>
                <w:vertAlign w:val="superscript"/>
              </w:rPr>
              <w:t>3</w:t>
            </w:r>
            <w:r>
              <w:t>/t</w:t>
            </w:r>
          </w:p>
          <w:p w14:paraId="319DA31D" w14:textId="77777777" w:rsidR="006D7C1D" w:rsidRDefault="006D7C1D" w:rsidP="006D7C1D">
            <w:r>
              <w:t>46.2g/t</w:t>
            </w:r>
          </w:p>
          <w:p w14:paraId="07876FF9" w14:textId="77777777" w:rsidR="006D7C1D" w:rsidRDefault="006D7C1D" w:rsidP="006D7C1D">
            <w:r>
              <w:t>50mg/L</w:t>
            </w:r>
          </w:p>
        </w:tc>
        <w:tc>
          <w:tcPr>
            <w:tcW w:w="869" w:type="pct"/>
            <w:vMerge w:val="restart"/>
          </w:tcPr>
          <w:p w14:paraId="71DF4E2A" w14:textId="0DF8A51D" w:rsidR="006D7C1D" w:rsidRDefault="006D7C1D" w:rsidP="006D7C1D">
            <w:r>
              <w:fldChar w:fldCharType="begin"/>
            </w:r>
            <w:r w:rsidR="00703C8D">
              <w:instrText xml:space="preserve"> ADDIN ZOTERO_ITEM CSL_CITATION {"citationID":"M4awnZO3","properties":{"formattedCitation":"(Gerbens-Leenes et al., 2008)","plainCitation":"(Gerbens-Leenes et al., 2008)","noteIndex":0},"citationItems":[{"id":1307,"uris":["http://zotero.org/users/9266605/items/LJRY3KLA"],"itemData":{"id":1307,"type":"report","collection-title":"NameValue of water report series","note":"titleTranslation:\ntitleTranslation:\ntitleTranslation:\ntitleTranslation:\ntitleTranslation:\ntitleTranslation:\ntitleTranslation:\ntitleTranslation:\ntitleTranslation:\ntitleTranslation:\ntitleTranslation:\ntitleTranslation:\ntitleTranslation:\ntitleTranslation:\ntitleTranslation:\ntitleTranslation:\ntitleTranslation:\ntitleTranslation:","title":"Water Footprint of Bio-energy and other primary energy carriers","URL":"https://research.rug.nl/en/publications/water-footprint-of-bio-energy-and-other-primary-energy-carriers","author":[{"family":"Gerbens-Leenes","given":"P.W."},{"family":"Hoekstra","given":"A.Y."},{"family":"Meer","given":"Th. Van","dropping-particle":"der"}],"issued":{"date-parts":[["2008"]]}}}],"schema":"https://github.com/citation-style-language/schema/raw/master/csl-citation.json"} </w:instrText>
            </w:r>
            <w:r>
              <w:fldChar w:fldCharType="separate"/>
            </w:r>
            <w:r w:rsidR="00703C8D" w:rsidRPr="00703C8D">
              <w:rPr>
                <w:rFonts w:cs="Times New Roman"/>
              </w:rPr>
              <w:t>(Gerbens-Leenes et al., 2008)</w:t>
            </w:r>
            <w:r>
              <w:fldChar w:fldCharType="end"/>
            </w:r>
          </w:p>
        </w:tc>
      </w:tr>
      <w:tr w:rsidR="006D7C1D" w14:paraId="55D24AFD" w14:textId="77777777" w:rsidTr="00ED4BCC">
        <w:tc>
          <w:tcPr>
            <w:tcW w:w="635" w:type="pct"/>
            <w:vMerge/>
            <w:vAlign w:val="center"/>
          </w:tcPr>
          <w:p w14:paraId="4280DC65" w14:textId="77777777" w:rsidR="006D7C1D" w:rsidRPr="0090758A" w:rsidRDefault="006D7C1D" w:rsidP="006D7C1D">
            <w:pPr>
              <w:widowControl/>
              <w:jc w:val="left"/>
              <w:rPr>
                <w:rFonts w:eastAsia="SimSun" w:cs="Times New Roman"/>
                <w:color w:val="000000"/>
                <w:kern w:val="0"/>
                <w:szCs w:val="21"/>
              </w:rPr>
            </w:pPr>
          </w:p>
        </w:tc>
        <w:tc>
          <w:tcPr>
            <w:tcW w:w="1161" w:type="pct"/>
            <w:vAlign w:val="center"/>
          </w:tcPr>
          <w:p w14:paraId="6493DE6A" w14:textId="77777777" w:rsidR="006D7C1D" w:rsidRPr="0090758A" w:rsidRDefault="006D7C1D" w:rsidP="006D7C1D">
            <w:pPr>
              <w:widowControl/>
              <w:jc w:val="left"/>
              <w:rPr>
                <w:rFonts w:eastAsia="SimSun" w:cs="Times New Roman"/>
                <w:color w:val="000000"/>
                <w:kern w:val="0"/>
                <w:szCs w:val="21"/>
              </w:rPr>
            </w:pPr>
            <w:r>
              <w:rPr>
                <w:rFonts w:eastAsia="SimSun" w:cs="Times New Roman"/>
                <w:color w:val="000000"/>
                <w:kern w:val="0"/>
                <w:szCs w:val="21"/>
              </w:rPr>
              <w:t xml:space="preserve">Crude oil </w:t>
            </w:r>
            <w:r>
              <w:t>processing</w:t>
            </w:r>
          </w:p>
        </w:tc>
        <w:tc>
          <w:tcPr>
            <w:tcW w:w="1455" w:type="pct"/>
          </w:tcPr>
          <w:p w14:paraId="17C86C8A" w14:textId="77777777" w:rsidR="006D7C1D" w:rsidRPr="00A92E6C" w:rsidRDefault="006D7C1D" w:rsidP="006D7C1D">
            <w:r w:rsidRPr="00A92E6C">
              <w:t xml:space="preserve">Water consumption </w:t>
            </w:r>
          </w:p>
        </w:tc>
        <w:tc>
          <w:tcPr>
            <w:tcW w:w="880" w:type="pct"/>
          </w:tcPr>
          <w:p w14:paraId="7EF8B069" w14:textId="77777777" w:rsidR="006D7C1D" w:rsidRDefault="006D7C1D" w:rsidP="006D7C1D">
            <w:r>
              <w:t>0.68 m</w:t>
            </w:r>
            <w:r w:rsidRPr="00EB6F91">
              <w:rPr>
                <w:vertAlign w:val="superscript"/>
              </w:rPr>
              <w:t>3</w:t>
            </w:r>
            <w:r>
              <w:t>/GJ</w:t>
            </w:r>
          </w:p>
        </w:tc>
        <w:tc>
          <w:tcPr>
            <w:tcW w:w="869" w:type="pct"/>
            <w:vMerge/>
          </w:tcPr>
          <w:p w14:paraId="2594BAE3" w14:textId="77777777" w:rsidR="006D7C1D" w:rsidRDefault="006D7C1D" w:rsidP="006D7C1D"/>
        </w:tc>
      </w:tr>
      <w:tr w:rsidR="006D7C1D" w14:paraId="4538DAF5" w14:textId="77777777" w:rsidTr="00ED4BCC">
        <w:tc>
          <w:tcPr>
            <w:tcW w:w="635" w:type="pct"/>
            <w:vMerge w:val="restart"/>
            <w:vAlign w:val="center"/>
          </w:tcPr>
          <w:p w14:paraId="7F93B269"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Natural gas</w:t>
            </w:r>
          </w:p>
        </w:tc>
        <w:tc>
          <w:tcPr>
            <w:tcW w:w="1161" w:type="pct"/>
            <w:vAlign w:val="center"/>
          </w:tcPr>
          <w:p w14:paraId="60305290" w14:textId="77777777" w:rsidR="006D7C1D" w:rsidRPr="00314AC1" w:rsidRDefault="006D7C1D" w:rsidP="006D7C1D">
            <w:pPr>
              <w:widowControl/>
              <w:jc w:val="left"/>
              <w:rPr>
                <w:rFonts w:eastAsia="SimSun" w:cs="Times New Roman"/>
                <w:b/>
                <w:bCs/>
                <w:color w:val="000000"/>
                <w:kern w:val="0"/>
                <w:szCs w:val="21"/>
              </w:rPr>
            </w:pPr>
            <w:r w:rsidRPr="0090758A">
              <w:rPr>
                <w:rFonts w:eastAsia="SimSun" w:cs="Times New Roman"/>
                <w:color w:val="000000"/>
                <w:kern w:val="0"/>
                <w:szCs w:val="21"/>
              </w:rPr>
              <w:t>Natural gas</w:t>
            </w:r>
            <w:r>
              <w:rPr>
                <w:rFonts w:eastAsia="SimSun" w:cs="Times New Roman"/>
                <w:color w:val="000000"/>
                <w:kern w:val="0"/>
                <w:szCs w:val="21"/>
              </w:rPr>
              <w:t xml:space="preserve"> extraction</w:t>
            </w:r>
          </w:p>
        </w:tc>
        <w:tc>
          <w:tcPr>
            <w:tcW w:w="1455" w:type="pct"/>
          </w:tcPr>
          <w:p w14:paraId="38DC5839" w14:textId="77777777" w:rsidR="006D7C1D" w:rsidRDefault="006D7C1D" w:rsidP="006D7C1D">
            <w:r>
              <w:t>Direct blue WF</w:t>
            </w:r>
          </w:p>
          <w:p w14:paraId="78314A7C" w14:textId="77777777" w:rsidR="006D7C1D" w:rsidRDefault="006D7C1D" w:rsidP="006D7C1D">
            <w:r w:rsidRPr="00A92E6C">
              <w:t>The maximum cod value</w:t>
            </w:r>
            <w:r>
              <w:t xml:space="preserve"> (</w:t>
            </w:r>
            <w:proofErr w:type="spellStart"/>
            <w:r>
              <w:t>C</w:t>
            </w:r>
            <w:r w:rsidRPr="00A92E6C">
              <w:rPr>
                <w:vertAlign w:val="subscript"/>
              </w:rPr>
              <w:t>max</w:t>
            </w:r>
            <w:proofErr w:type="spellEnd"/>
            <w:r>
              <w:t>)</w:t>
            </w:r>
          </w:p>
        </w:tc>
        <w:tc>
          <w:tcPr>
            <w:tcW w:w="880" w:type="pct"/>
          </w:tcPr>
          <w:p w14:paraId="160377B4" w14:textId="77777777" w:rsidR="006D7C1D" w:rsidRDefault="006D7C1D" w:rsidP="006D7C1D">
            <w:r>
              <w:t>0.003 m</w:t>
            </w:r>
            <w:r w:rsidRPr="00EB6F91">
              <w:rPr>
                <w:vertAlign w:val="superscript"/>
              </w:rPr>
              <w:t>3</w:t>
            </w:r>
            <w:r>
              <w:t>/ m</w:t>
            </w:r>
            <w:r w:rsidRPr="00EB6F91">
              <w:rPr>
                <w:vertAlign w:val="superscript"/>
              </w:rPr>
              <w:t>3</w:t>
            </w:r>
          </w:p>
          <w:p w14:paraId="1E13E339" w14:textId="77777777" w:rsidR="006D7C1D" w:rsidRDefault="006D7C1D" w:rsidP="006D7C1D">
            <w:r>
              <w:t>20 mg/L</w:t>
            </w:r>
          </w:p>
        </w:tc>
        <w:tc>
          <w:tcPr>
            <w:tcW w:w="869" w:type="pct"/>
          </w:tcPr>
          <w:p w14:paraId="7C00C956" w14:textId="6916A24D" w:rsidR="006D7C1D" w:rsidRDefault="006D7C1D" w:rsidP="006D7C1D">
            <w:r>
              <w:fldChar w:fldCharType="begin"/>
            </w:r>
            <w:r w:rsidR="00703C8D">
              <w:instrText xml:space="preserve"> ADDIN ZOTERO_ITEM CSL_CITATION {"citationID":"rsvjzGax","properties":{"formattedCitation":"(Ding et al., 2018)","plainCitation":"(Ding et al., 2018)","noteIndex":0},"citationItems":[{"id":1200,"uris":["http://zotero.org/users/9266605/items/5AI8S382"],"itemData":{"id":1200,"type":"article-journal","abstract":"Knowledge of water resource consumption and pollution during the life cycle of energy production and developing energy industry in regions with abundant water resources are two ways to improve water efﬁciency. In this study, a water footprint model for energy sources was developed, and water footprint inventories of the primary fossil fuels (e.g., coal, crude oil, natural gas) and power sources (e.g., thermal, nuclear, wind, solar photovoltaic, and hydropower) in China were compiled. The water footprints calculated for coal, crude oil, and natural gas were 0.14 m3/GJ, 0.29 m3/GJ, and 0.11 m3/GJ, respectively. The water footprints of power sources increased as follows: wind (0.14 m3/GJ), nuclear (0.19 m3/GJ), thermal (1.19 m3/GJ), solar (5.3 m3/GJ), and hydropower (6.75 m3/GJ). From a life cycle perspective, the water footprints of the three primary energy sources mainly originated from the extraction stages. The water footprint from upstream stages accounted for the highest proportion of the total water footprint of nuclear, wind, and solar power. Regional analyses revealed that provinces such as Sichuan, Yunnan, Hunan etc. have appropriate water resources and capacity for future development of energy system. A water footprint inventory of primary energy could provide basic data for water footprint analyses of secondary energy, materials, and products downstream across multiple sectors and could support water management in the energy industry.","container-title":"Journal of Cleaner Production","DOI":"10.1016/j.jclepro.2017.10.273","ISSN":"09596526","journalAbbreviation":"Journal of Cleaner Production","language":"en","page":"1021-1031","source":"DOI.org (Crossref)","title":"Water footprints of energy sources in China: Exploring options to improve water efficiency","title-short":"Water footprints of energy sources in China","volume":"174","author":[{"family":"Ding","given":"Ning"},{"family":"Liu","given":"Jingru"},{"family":"Yang","given":"Jianxin"},{"family":"Lu","given":"Bin"}],"issued":{"date-parts":[["2018",2]]}}}],"schema":"https://github.com/citation-style-language/schema/raw/master/csl-citation.json"} </w:instrText>
            </w:r>
            <w:r>
              <w:fldChar w:fldCharType="separate"/>
            </w:r>
            <w:r w:rsidR="00703C8D" w:rsidRPr="00703C8D">
              <w:rPr>
                <w:rFonts w:cs="Times New Roman"/>
              </w:rPr>
              <w:t>(Ding et al., 2018)</w:t>
            </w:r>
            <w:r>
              <w:fldChar w:fldCharType="end"/>
            </w:r>
          </w:p>
        </w:tc>
      </w:tr>
      <w:tr w:rsidR="006D7C1D" w14:paraId="0447827D" w14:textId="77777777" w:rsidTr="00ED4BCC">
        <w:tc>
          <w:tcPr>
            <w:tcW w:w="635" w:type="pct"/>
            <w:vMerge/>
            <w:vAlign w:val="center"/>
          </w:tcPr>
          <w:p w14:paraId="3134C671" w14:textId="77777777" w:rsidR="006D7C1D" w:rsidRPr="0090758A" w:rsidRDefault="006D7C1D" w:rsidP="006D7C1D">
            <w:pPr>
              <w:widowControl/>
              <w:jc w:val="left"/>
              <w:rPr>
                <w:rFonts w:eastAsia="SimSun" w:cs="Times New Roman"/>
                <w:color w:val="000000"/>
                <w:kern w:val="0"/>
                <w:szCs w:val="21"/>
              </w:rPr>
            </w:pPr>
          </w:p>
        </w:tc>
        <w:tc>
          <w:tcPr>
            <w:tcW w:w="1161" w:type="pct"/>
            <w:vAlign w:val="center"/>
          </w:tcPr>
          <w:p w14:paraId="50ADA3EF"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Natural gas</w:t>
            </w:r>
            <w:r>
              <w:rPr>
                <w:rFonts w:eastAsia="SimSun" w:cs="Times New Roman"/>
                <w:color w:val="000000"/>
                <w:kern w:val="0"/>
                <w:szCs w:val="21"/>
              </w:rPr>
              <w:t xml:space="preserve"> </w:t>
            </w:r>
            <w:r w:rsidRPr="00314AC1">
              <w:rPr>
                <w:rFonts w:eastAsia="SimSun" w:cs="Times New Roman"/>
                <w:color w:val="000000"/>
                <w:kern w:val="0"/>
                <w:szCs w:val="21"/>
              </w:rPr>
              <w:t>purification</w:t>
            </w:r>
          </w:p>
        </w:tc>
        <w:tc>
          <w:tcPr>
            <w:tcW w:w="1455" w:type="pct"/>
          </w:tcPr>
          <w:p w14:paraId="3076DB38" w14:textId="77777777" w:rsidR="006D7C1D" w:rsidRDefault="006D7C1D" w:rsidP="006D7C1D">
            <w:r>
              <w:t>Direct blue WF</w:t>
            </w:r>
          </w:p>
        </w:tc>
        <w:tc>
          <w:tcPr>
            <w:tcW w:w="880" w:type="pct"/>
          </w:tcPr>
          <w:p w14:paraId="5AC4D38D" w14:textId="77777777" w:rsidR="006D7C1D" w:rsidRDefault="006D7C1D" w:rsidP="006D7C1D">
            <w:r>
              <w:t>0.109 m</w:t>
            </w:r>
            <w:r w:rsidRPr="00EB6F91">
              <w:rPr>
                <w:vertAlign w:val="superscript"/>
              </w:rPr>
              <w:t>3</w:t>
            </w:r>
            <w:r>
              <w:t>/GJ</w:t>
            </w:r>
          </w:p>
        </w:tc>
        <w:tc>
          <w:tcPr>
            <w:tcW w:w="869" w:type="pct"/>
          </w:tcPr>
          <w:p w14:paraId="4BF4AAC1" w14:textId="124FC40B" w:rsidR="006D7C1D" w:rsidRDefault="006D7C1D" w:rsidP="006D7C1D">
            <w:r>
              <w:fldChar w:fldCharType="begin"/>
            </w:r>
            <w:r w:rsidR="00703C8D">
              <w:instrText xml:space="preserve"> ADDIN ZOTERO_ITEM CSL_CITATION {"citationID":"MO11YwvU","properties":{"formattedCitation":"(MEPC, 2002)","plainCitation":"(MEPC, 2002)","noteIndex":0},"citationItems":[{"id":1309,"uris":["http://zotero.org/users/9266605/items/R2UXJBNY"],"itemData":{"id":1309,"type":"report","title":"Ministry of environmental protection of China.,GB3838-2002 quality standard of surface water in China. In: Ministry of Environmental Protection of China.","author":[{"literal":"MEPC"}],"issued":{"date-parts":[["2002"]]}}}],"schema":"https://github.com/citation-style-language/schema/raw/master/csl-citation.json"} </w:instrText>
            </w:r>
            <w:r>
              <w:fldChar w:fldCharType="separate"/>
            </w:r>
            <w:r w:rsidR="00703C8D" w:rsidRPr="00703C8D">
              <w:rPr>
                <w:rFonts w:cs="Times New Roman"/>
              </w:rPr>
              <w:t>(MEPC, 2002)</w:t>
            </w:r>
            <w:r>
              <w:fldChar w:fldCharType="end"/>
            </w:r>
          </w:p>
        </w:tc>
      </w:tr>
      <w:tr w:rsidR="006D7C1D" w14:paraId="73898674" w14:textId="77777777" w:rsidTr="00ED4BCC">
        <w:tc>
          <w:tcPr>
            <w:tcW w:w="635" w:type="pct"/>
            <w:vAlign w:val="center"/>
          </w:tcPr>
          <w:p w14:paraId="466596C1"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Thermal power</w:t>
            </w:r>
          </w:p>
        </w:tc>
        <w:tc>
          <w:tcPr>
            <w:tcW w:w="1161" w:type="pct"/>
            <w:vAlign w:val="center"/>
          </w:tcPr>
          <w:p w14:paraId="42553D6F" w14:textId="77777777" w:rsidR="006D7C1D" w:rsidRPr="0090758A" w:rsidRDefault="006D7C1D" w:rsidP="006D7C1D">
            <w:pPr>
              <w:widowControl/>
              <w:jc w:val="left"/>
              <w:rPr>
                <w:rFonts w:eastAsia="SimSun" w:cs="Times New Roman"/>
                <w:color w:val="000000"/>
                <w:kern w:val="0"/>
                <w:szCs w:val="21"/>
              </w:rPr>
            </w:pPr>
          </w:p>
        </w:tc>
        <w:tc>
          <w:tcPr>
            <w:tcW w:w="1455" w:type="pct"/>
          </w:tcPr>
          <w:p w14:paraId="5B22A490" w14:textId="77777777" w:rsidR="006D7C1D" w:rsidRDefault="006D7C1D" w:rsidP="006D7C1D">
            <w:r>
              <w:rPr>
                <w:rFonts w:hint="eastAsia"/>
              </w:rPr>
              <w:t>Direct blue WF</w:t>
            </w:r>
          </w:p>
          <w:p w14:paraId="5B100EF7" w14:textId="77777777" w:rsidR="006D7C1D" w:rsidRDefault="006D7C1D" w:rsidP="006D7C1D">
            <w:r>
              <w:rPr>
                <w:rFonts w:hint="eastAsia"/>
              </w:rPr>
              <w:t>Direct grey WF</w:t>
            </w:r>
          </w:p>
          <w:p w14:paraId="121AEDBA" w14:textId="77777777" w:rsidR="006D7C1D" w:rsidRDefault="006D7C1D" w:rsidP="006D7C1D">
            <w:r>
              <w:rPr>
                <w:rFonts w:hint="eastAsia"/>
              </w:rPr>
              <w:t>Indirect blue WF</w:t>
            </w:r>
          </w:p>
          <w:p w14:paraId="2E1EC3CD" w14:textId="77777777" w:rsidR="006D7C1D" w:rsidRDefault="006D7C1D" w:rsidP="006D7C1D">
            <w:r>
              <w:rPr>
                <w:rFonts w:hint="eastAsia"/>
              </w:rPr>
              <w:t>Indirect grey WF</w:t>
            </w:r>
          </w:p>
        </w:tc>
        <w:tc>
          <w:tcPr>
            <w:tcW w:w="880" w:type="pct"/>
          </w:tcPr>
          <w:p w14:paraId="6D4A5108" w14:textId="77777777" w:rsidR="006D7C1D" w:rsidRDefault="006D7C1D" w:rsidP="006D7C1D">
            <w:r>
              <w:rPr>
                <w:rFonts w:hint="eastAsia"/>
              </w:rPr>
              <w:t>0.681</w:t>
            </w:r>
            <w:r>
              <w:t xml:space="preserve"> m</w:t>
            </w:r>
            <w:r w:rsidRPr="00EB6F91">
              <w:rPr>
                <w:vertAlign w:val="superscript"/>
              </w:rPr>
              <w:t>3</w:t>
            </w:r>
            <w:r>
              <w:t>/</w:t>
            </w:r>
            <w:r>
              <w:rPr>
                <w:rFonts w:hint="eastAsia"/>
              </w:rPr>
              <w:t>GJ</w:t>
            </w:r>
          </w:p>
          <w:p w14:paraId="57139DA3" w14:textId="77777777" w:rsidR="006D7C1D" w:rsidRDefault="006D7C1D" w:rsidP="006D7C1D">
            <w:r>
              <w:rPr>
                <w:rFonts w:hint="eastAsia"/>
              </w:rPr>
              <w:t>0.083</w:t>
            </w:r>
            <w:r>
              <w:t xml:space="preserve"> mg/</w:t>
            </w:r>
            <w:r>
              <w:rPr>
                <w:rFonts w:hint="eastAsia"/>
              </w:rPr>
              <w:t>GJ</w:t>
            </w:r>
          </w:p>
          <w:p w14:paraId="2693481D" w14:textId="77777777" w:rsidR="006D7C1D" w:rsidRDefault="006D7C1D" w:rsidP="006D7C1D">
            <w:r>
              <w:rPr>
                <w:rFonts w:hint="eastAsia"/>
              </w:rPr>
              <w:t>0.063</w:t>
            </w:r>
            <w:r>
              <w:t xml:space="preserve"> m</w:t>
            </w:r>
            <w:r w:rsidRPr="00EB6F91">
              <w:rPr>
                <w:vertAlign w:val="superscript"/>
              </w:rPr>
              <w:t>3</w:t>
            </w:r>
            <w:r>
              <w:t>/</w:t>
            </w:r>
            <w:r>
              <w:rPr>
                <w:rFonts w:hint="eastAsia"/>
              </w:rPr>
              <w:t>GJ</w:t>
            </w:r>
          </w:p>
          <w:p w14:paraId="7B424877" w14:textId="77777777" w:rsidR="006D7C1D" w:rsidRDefault="006D7C1D" w:rsidP="006D7C1D">
            <w:r>
              <w:rPr>
                <w:rFonts w:hint="eastAsia"/>
              </w:rPr>
              <w:t>0.387</w:t>
            </w:r>
            <w:r>
              <w:t xml:space="preserve"> mg/</w:t>
            </w:r>
            <w:r>
              <w:rPr>
                <w:rFonts w:hint="eastAsia"/>
              </w:rPr>
              <w:t>GJ</w:t>
            </w:r>
          </w:p>
        </w:tc>
        <w:tc>
          <w:tcPr>
            <w:tcW w:w="869" w:type="pct"/>
          </w:tcPr>
          <w:p w14:paraId="38E2E575" w14:textId="0A0B201B" w:rsidR="006D7C1D" w:rsidRDefault="005342AA" w:rsidP="006D7C1D">
            <w:r>
              <w:fldChar w:fldCharType="begin"/>
            </w:r>
            <w:r w:rsidR="00703C8D">
              <w:instrText xml:space="preserve"> ADDIN ZOTERO_ITEM CSL_CITATION {"citationID":"9uCNmfLd","properties":{"formattedCitation":"(Guan et al., 2019)","plainCitation":"(Guan et al., 2019)","noteIndex":0},"citationItems":[{"id":1322,"uris":["http://zotero.org/users/9266605/items/ARVFJRGB"],"itemData":{"id":1322,"type":"article-journal","container-title":"Resources Science","DOI":"10.18402/resci.2019.11.05","issue":"11","title":"Spatiotemporal feature of the water footprint of energy and its relationship with water resources in China (In Chinese)","volume":"41","author":[{"family":"Guan","given":"Wei"},{"family":"Zhao","given":"Xiangning"},{"family":"Xu","given":"Shuting"}],"issued":{"date-parts":[["2019"]]}}}],"schema":"https://github.com/citation-style-language/schema/raw/master/csl-citation.json"} </w:instrText>
            </w:r>
            <w:r>
              <w:fldChar w:fldCharType="separate"/>
            </w:r>
            <w:r w:rsidR="00703C8D" w:rsidRPr="00703C8D">
              <w:rPr>
                <w:rFonts w:cs="Times New Roman"/>
              </w:rPr>
              <w:t>(Guan et al., 2019)</w:t>
            </w:r>
            <w:r>
              <w:fldChar w:fldCharType="end"/>
            </w:r>
          </w:p>
        </w:tc>
      </w:tr>
      <w:tr w:rsidR="006D7C1D" w14:paraId="19F6E508" w14:textId="77777777" w:rsidTr="00ED4BCC">
        <w:tc>
          <w:tcPr>
            <w:tcW w:w="635" w:type="pct"/>
            <w:vAlign w:val="center"/>
          </w:tcPr>
          <w:p w14:paraId="7DF7FEE2"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Hydropower</w:t>
            </w:r>
          </w:p>
        </w:tc>
        <w:tc>
          <w:tcPr>
            <w:tcW w:w="1161" w:type="pct"/>
            <w:vAlign w:val="center"/>
          </w:tcPr>
          <w:p w14:paraId="2DFA0FC6" w14:textId="77777777" w:rsidR="006D7C1D" w:rsidRDefault="006D7C1D" w:rsidP="006D7C1D">
            <w:pPr>
              <w:widowControl/>
              <w:jc w:val="left"/>
              <w:rPr>
                <w:rFonts w:eastAsia="SimSun" w:cs="Times New Roman"/>
                <w:color w:val="000000"/>
                <w:kern w:val="0"/>
                <w:szCs w:val="21"/>
              </w:rPr>
            </w:pPr>
            <w:r>
              <w:rPr>
                <w:rFonts w:eastAsia="SimSun" w:cs="Times New Roman" w:hint="eastAsia"/>
                <w:color w:val="000000"/>
                <w:kern w:val="0"/>
                <w:szCs w:val="21"/>
              </w:rPr>
              <w:t>H</w:t>
            </w:r>
            <w:r w:rsidRPr="00F92F3C">
              <w:rPr>
                <w:rFonts w:eastAsia="SimSun" w:cs="Times New Roman"/>
                <w:color w:val="000000"/>
                <w:kern w:val="0"/>
                <w:szCs w:val="21"/>
              </w:rPr>
              <w:t>ydropower generation</w:t>
            </w:r>
          </w:p>
          <w:p w14:paraId="6D3BF984" w14:textId="77777777" w:rsidR="006D7C1D" w:rsidRPr="0090758A" w:rsidRDefault="006D7C1D" w:rsidP="006D7C1D">
            <w:pPr>
              <w:widowControl/>
              <w:jc w:val="left"/>
              <w:rPr>
                <w:rFonts w:eastAsia="SimSun" w:cs="Times New Roman"/>
                <w:color w:val="000000"/>
                <w:kern w:val="0"/>
                <w:szCs w:val="21"/>
              </w:rPr>
            </w:pPr>
            <w:r>
              <w:rPr>
                <w:rFonts w:eastAsia="SimSun" w:cs="Times New Roman" w:hint="eastAsia"/>
                <w:color w:val="000000"/>
                <w:kern w:val="0"/>
                <w:szCs w:val="21"/>
              </w:rPr>
              <w:t>T</w:t>
            </w:r>
            <w:r w:rsidRPr="0043559B">
              <w:rPr>
                <w:rFonts w:eastAsia="SimSun" w:cs="Times New Roman"/>
                <w:color w:val="000000"/>
                <w:kern w:val="0"/>
                <w:szCs w:val="21"/>
              </w:rPr>
              <w:t>he construction of dam</w:t>
            </w:r>
          </w:p>
        </w:tc>
        <w:tc>
          <w:tcPr>
            <w:tcW w:w="1455" w:type="pct"/>
          </w:tcPr>
          <w:p w14:paraId="30E02DF2" w14:textId="77777777" w:rsidR="006D7C1D" w:rsidRDefault="006D7C1D" w:rsidP="006D7C1D">
            <w:r>
              <w:rPr>
                <w:rFonts w:hint="eastAsia"/>
              </w:rPr>
              <w:t>Direct blue WF</w:t>
            </w:r>
          </w:p>
          <w:p w14:paraId="234F7375" w14:textId="77777777" w:rsidR="006D7C1D" w:rsidRPr="0043559B" w:rsidRDefault="006D7C1D" w:rsidP="006D7C1D">
            <w:r>
              <w:rPr>
                <w:rFonts w:hint="eastAsia"/>
              </w:rPr>
              <w:t>Indirect blue WF</w:t>
            </w:r>
          </w:p>
        </w:tc>
        <w:tc>
          <w:tcPr>
            <w:tcW w:w="880" w:type="pct"/>
          </w:tcPr>
          <w:p w14:paraId="3A0D217A" w14:textId="77777777" w:rsidR="006D7C1D" w:rsidRDefault="006D7C1D" w:rsidP="006D7C1D">
            <w:r>
              <w:rPr>
                <w:rFonts w:hint="eastAsia"/>
              </w:rPr>
              <w:t>6.75</w:t>
            </w:r>
            <w:r>
              <w:t xml:space="preserve"> m</w:t>
            </w:r>
            <w:r w:rsidRPr="00EB6F91">
              <w:rPr>
                <w:vertAlign w:val="superscript"/>
              </w:rPr>
              <w:t>3</w:t>
            </w:r>
            <w:r>
              <w:t>/</w:t>
            </w:r>
            <w:r>
              <w:rPr>
                <w:rFonts w:hint="eastAsia"/>
              </w:rPr>
              <w:t>GJ</w:t>
            </w:r>
          </w:p>
          <w:p w14:paraId="24CA1439" w14:textId="77777777" w:rsidR="006D7C1D" w:rsidRDefault="006D7C1D" w:rsidP="006D7C1D">
            <w:r>
              <w:rPr>
                <w:rFonts w:hint="eastAsia"/>
              </w:rPr>
              <w:t>0.00168</w:t>
            </w:r>
            <w:r>
              <w:t xml:space="preserve"> m</w:t>
            </w:r>
            <w:r w:rsidRPr="00EB6F91">
              <w:rPr>
                <w:vertAlign w:val="superscript"/>
              </w:rPr>
              <w:t>3</w:t>
            </w:r>
            <w:r>
              <w:t>/</w:t>
            </w:r>
            <w:r>
              <w:rPr>
                <w:rFonts w:hint="eastAsia"/>
              </w:rPr>
              <w:t>GJ</w:t>
            </w:r>
          </w:p>
        </w:tc>
        <w:tc>
          <w:tcPr>
            <w:tcW w:w="869" w:type="pct"/>
          </w:tcPr>
          <w:p w14:paraId="77768C72" w14:textId="05DE17C2" w:rsidR="006D7C1D" w:rsidRDefault="006D7C1D" w:rsidP="006D7C1D">
            <w:r>
              <w:fldChar w:fldCharType="begin"/>
            </w:r>
            <w:r w:rsidR="00703C8D">
              <w:instrText xml:space="preserve"> ADDIN ZOTERO_ITEM CSL_CITATION {"citationID":"NCoHTdTd","properties":{"formattedCitation":"(Ding et al., 2018)","plainCitation":"(Ding et al., 2018)","noteIndex":0},"citationItems":[{"id":1200,"uris":["http://zotero.org/users/9266605/items/5AI8S382"],"itemData":{"id":1200,"type":"article-journal","abstract":"Knowledge of water resource consumption and pollution during the life cycle of energy production and developing energy industry in regions with abundant water resources are two ways to improve water efﬁciency. In this study, a water footprint model for energy sources was developed, and water footprint inventories of the primary fossil fuels (e.g., coal, crude oil, natural gas) and power sources (e.g., thermal, nuclear, wind, solar photovoltaic, and hydropower) in China were compiled. The water footprints calculated for coal, crude oil, and natural gas were 0.14 m3/GJ, 0.29 m3/GJ, and 0.11 m3/GJ, respectively. The water footprints of power sources increased as follows: wind (0.14 m3/GJ), nuclear (0.19 m3/GJ), thermal (1.19 m3/GJ), solar (5.3 m3/GJ), and hydropower (6.75 m3/GJ). From a life cycle perspective, the water footprints of the three primary energy sources mainly originated from the extraction stages. The water footprint from upstream stages accounted for the highest proportion of the total water footprint of nuclear, wind, and solar power. Regional analyses revealed that provinces such as Sichuan, Yunnan, Hunan etc. have appropriate water resources and capacity for future development of energy system. A water footprint inventory of primary energy could provide basic data for water footprint analyses of secondary energy, materials, and products downstream across multiple sectors and could support water management in the energy industry.","container-title":"Journal of Cleaner Production","DOI":"10.1016/j.jclepro.2017.10.273","ISSN":"09596526","journalAbbreviation":"Journal of Cleaner Production","language":"en","page":"1021-1031","source":"DOI.org (Crossref)","title":"Water footprints of energy sources in China: Exploring options to improve water efficiency","title-short":"Water footprints of energy sources in China","volume":"174","author":[{"family":"Ding","given":"Ning"},{"family":"Liu","given":"Jingru"},{"family":"Yang","given":"Jianxin"},{"family":"Lu","given":"Bin"}],"issued":{"date-parts":[["2018",2]]}}}],"schema":"https://github.com/citation-style-language/schema/raw/master/csl-citation.json"} </w:instrText>
            </w:r>
            <w:r>
              <w:fldChar w:fldCharType="separate"/>
            </w:r>
            <w:r w:rsidR="00703C8D" w:rsidRPr="00703C8D">
              <w:rPr>
                <w:rFonts w:cs="Times New Roman"/>
              </w:rPr>
              <w:t>(Ding et al., 2018)</w:t>
            </w:r>
            <w:r>
              <w:fldChar w:fldCharType="end"/>
            </w:r>
          </w:p>
        </w:tc>
      </w:tr>
      <w:tr w:rsidR="006D7C1D" w14:paraId="5190D4C1" w14:textId="77777777" w:rsidTr="00ED4BCC">
        <w:tc>
          <w:tcPr>
            <w:tcW w:w="635" w:type="pct"/>
            <w:vMerge w:val="restart"/>
            <w:vAlign w:val="center"/>
          </w:tcPr>
          <w:p w14:paraId="2FBD21E0"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lastRenderedPageBreak/>
              <w:t>Nuclear power</w:t>
            </w:r>
          </w:p>
        </w:tc>
        <w:tc>
          <w:tcPr>
            <w:tcW w:w="1161" w:type="pct"/>
            <w:vAlign w:val="center"/>
          </w:tcPr>
          <w:p w14:paraId="05C94A2C" w14:textId="77777777" w:rsidR="006D7C1D" w:rsidRPr="0090758A" w:rsidRDefault="006D7C1D" w:rsidP="006D7C1D">
            <w:pPr>
              <w:widowControl/>
              <w:jc w:val="left"/>
              <w:rPr>
                <w:rFonts w:eastAsia="SimSun" w:cs="Times New Roman"/>
                <w:color w:val="000000"/>
                <w:kern w:val="0"/>
                <w:szCs w:val="21"/>
              </w:rPr>
            </w:pPr>
            <w:r>
              <w:rPr>
                <w:rFonts w:eastAsia="SimSun" w:cs="Times New Roman" w:hint="eastAsia"/>
                <w:color w:val="000000"/>
                <w:kern w:val="0"/>
                <w:szCs w:val="21"/>
              </w:rPr>
              <w:t>P</w:t>
            </w:r>
            <w:r w:rsidRPr="00F92F3C">
              <w:rPr>
                <w:rFonts w:eastAsia="SimSun" w:cs="Times New Roman"/>
                <w:color w:val="000000"/>
                <w:kern w:val="0"/>
                <w:szCs w:val="21"/>
              </w:rPr>
              <w:t>ower generation in the plant</w:t>
            </w:r>
          </w:p>
        </w:tc>
        <w:tc>
          <w:tcPr>
            <w:tcW w:w="1455" w:type="pct"/>
          </w:tcPr>
          <w:p w14:paraId="162F2B84" w14:textId="77777777" w:rsidR="006D7C1D" w:rsidRDefault="006D7C1D" w:rsidP="006D7C1D">
            <w:r>
              <w:rPr>
                <w:rFonts w:hint="eastAsia"/>
              </w:rPr>
              <w:t>Direct blue WF</w:t>
            </w:r>
          </w:p>
          <w:p w14:paraId="2AA51CE7" w14:textId="77777777" w:rsidR="006D7C1D" w:rsidRDefault="006D7C1D" w:rsidP="006D7C1D">
            <w:r w:rsidRPr="00A92E6C">
              <w:t>COD emissions values</w:t>
            </w:r>
          </w:p>
          <w:p w14:paraId="1B529B5E" w14:textId="77777777" w:rsidR="006D7C1D" w:rsidRPr="00F92F3C" w:rsidRDefault="006D7C1D" w:rsidP="006D7C1D"/>
        </w:tc>
        <w:tc>
          <w:tcPr>
            <w:tcW w:w="880" w:type="pct"/>
          </w:tcPr>
          <w:p w14:paraId="4B1F29A2" w14:textId="77777777" w:rsidR="006D7C1D" w:rsidRDefault="006D7C1D" w:rsidP="006D7C1D">
            <w:r>
              <w:rPr>
                <w:rFonts w:hint="eastAsia"/>
              </w:rPr>
              <w:t xml:space="preserve">0.015 </w:t>
            </w:r>
            <w:r>
              <w:t>m</w:t>
            </w:r>
            <w:r w:rsidRPr="00EB6F91">
              <w:rPr>
                <w:vertAlign w:val="superscript"/>
              </w:rPr>
              <w:t>3</w:t>
            </w:r>
            <w:r>
              <w:t>/</w:t>
            </w:r>
            <w:r>
              <w:rPr>
                <w:rFonts w:hint="eastAsia"/>
              </w:rPr>
              <w:t>GJ</w:t>
            </w:r>
          </w:p>
          <w:p w14:paraId="058D0672" w14:textId="77777777" w:rsidR="006D7C1D" w:rsidRDefault="006D7C1D" w:rsidP="006D7C1D">
            <w:r>
              <w:rPr>
                <w:rFonts w:hint="eastAsia"/>
              </w:rPr>
              <w:t>36.63 mg/MWh</w:t>
            </w:r>
          </w:p>
        </w:tc>
        <w:tc>
          <w:tcPr>
            <w:tcW w:w="869" w:type="pct"/>
          </w:tcPr>
          <w:p w14:paraId="0E3CE7AF" w14:textId="6E11CFB1" w:rsidR="006D7C1D" w:rsidRDefault="006D7C1D" w:rsidP="006D7C1D">
            <w:r>
              <w:fldChar w:fldCharType="begin"/>
            </w:r>
            <w:r w:rsidR="00703C8D">
              <w:instrText xml:space="preserve"> ADDIN ZOTERO_ITEM CSL_CITATION {"citationID":"mNm1H9SL","properties":{"formattedCitation":"(Zhang et al., 2019)","plainCitation":"(Zhang et al., 2019)","noteIndex":0},"citationItems":[{"id":1317,"uris":["http://zotero.org/users/9266605/items/CFP7MX6V"],"itemData":{"id":1317,"type":"article-journal","abstract":"Hydropower is a source of clean, low-carbon renewable energy. However, because of the evaporation of water from reservoir surfaces, a large amount of water is lost, which may result in water scarcity. As for multi-purpose reservoirs, there is no accepted method to allocate water losses among their various functions. Ignoring the multiple requirements of the different ecological service functions of the reservoir will inevitably lead to overestimation of the hydropower blue water footprint (WF). In this study, taking Miyun Reservoir Hydropower Station during 1985e2013 as an example, we showed that distributing water loss between multiple uses by calculating an allocation coefﬁcient greatly reduces the amount of water allocated to electricity production. For spatial analysis, we collected published data on 68 hydropower stations and found that the linear correlation coefﬁcient of WF and spatial variation is 0.94, whereas for four multi-purpose reservoirs calculated using allocation coefﬁcients is 0.99. Further, a temporal analysis indicated that the time step of evaporation calculation may affect the calculation of the blue WF. We also conﬁrmed previous studies showing that the research area we analyzed has experienced severe water scarcity over the years. The results of this study can provide an effective tool for comprehensive evaluation of multi-purpose hydropower stations, and calculation of the environmental costs of hydropower development as clean energy.","container-title":"Energy","DOI":"10.1016/j.energy.2019.116086","ISSN":"03605442","journalAbbreviation":"Energy","language":"en","page":"116086","source":"DOI.org (Crossref)","title":"Analysis of blue water footprint of hydropower considering allocation coefficients for multi-purpose reservoirs","volume":"188","author":[{"family":"Zhang","given":"Jing"},{"family":"Lei","given":"Xiaohui"},{"family":"Chen","given":"Bin"},{"family":"Song","given":"Yongyu"}],"issued":{"date-parts":[["2019",12]]}}}],"schema":"https://github.com/citation-style-language/schema/raw/master/csl-citation.json"} </w:instrText>
            </w:r>
            <w:r>
              <w:fldChar w:fldCharType="separate"/>
            </w:r>
            <w:r w:rsidR="00703C8D" w:rsidRPr="00703C8D">
              <w:rPr>
                <w:rFonts w:cs="Times New Roman"/>
              </w:rPr>
              <w:t>(Zhang et al., 2019)</w:t>
            </w:r>
            <w:r>
              <w:fldChar w:fldCharType="end"/>
            </w:r>
          </w:p>
        </w:tc>
      </w:tr>
      <w:tr w:rsidR="006D7C1D" w14:paraId="2751432E" w14:textId="77777777" w:rsidTr="00ED4BCC">
        <w:tc>
          <w:tcPr>
            <w:tcW w:w="635" w:type="pct"/>
            <w:vMerge/>
            <w:vAlign w:val="center"/>
          </w:tcPr>
          <w:p w14:paraId="3C3EC216" w14:textId="77777777" w:rsidR="006D7C1D" w:rsidRPr="0090758A" w:rsidRDefault="006D7C1D" w:rsidP="006D7C1D">
            <w:pPr>
              <w:widowControl/>
              <w:jc w:val="left"/>
              <w:rPr>
                <w:rFonts w:eastAsia="SimSun" w:cs="Times New Roman"/>
                <w:color w:val="000000"/>
                <w:kern w:val="0"/>
                <w:szCs w:val="21"/>
              </w:rPr>
            </w:pPr>
          </w:p>
        </w:tc>
        <w:tc>
          <w:tcPr>
            <w:tcW w:w="1161" w:type="pct"/>
            <w:vAlign w:val="center"/>
          </w:tcPr>
          <w:p w14:paraId="4EA894E4" w14:textId="77777777" w:rsidR="006D7C1D" w:rsidRDefault="006D7C1D" w:rsidP="006D7C1D">
            <w:pPr>
              <w:widowControl/>
              <w:jc w:val="left"/>
              <w:rPr>
                <w:rFonts w:eastAsia="SimSun" w:cs="Times New Roman"/>
                <w:color w:val="000000"/>
                <w:kern w:val="0"/>
                <w:szCs w:val="21"/>
              </w:rPr>
            </w:pPr>
            <w:r>
              <w:rPr>
                <w:rFonts w:eastAsia="SimSun" w:cs="Times New Roman" w:hint="eastAsia"/>
                <w:color w:val="000000"/>
                <w:kern w:val="0"/>
                <w:szCs w:val="21"/>
              </w:rPr>
              <w:t>U</w:t>
            </w:r>
            <w:r w:rsidRPr="00F92F3C">
              <w:rPr>
                <w:rFonts w:eastAsia="SimSun" w:cs="Times New Roman"/>
                <w:color w:val="000000"/>
                <w:kern w:val="0"/>
                <w:szCs w:val="21"/>
              </w:rPr>
              <w:t>ranium ore mining and the conversion, enrichment, fabrication of fuel.</w:t>
            </w:r>
          </w:p>
        </w:tc>
        <w:tc>
          <w:tcPr>
            <w:tcW w:w="1455" w:type="pct"/>
          </w:tcPr>
          <w:p w14:paraId="3464D2EF" w14:textId="77777777" w:rsidR="006D7C1D" w:rsidRDefault="006D7C1D" w:rsidP="006D7C1D">
            <w:r>
              <w:rPr>
                <w:rFonts w:hint="eastAsia"/>
              </w:rPr>
              <w:t>Indirect blue WF</w:t>
            </w:r>
          </w:p>
          <w:p w14:paraId="1AFCE814" w14:textId="77777777" w:rsidR="006D7C1D" w:rsidRDefault="006D7C1D" w:rsidP="006D7C1D">
            <w:r w:rsidRPr="00A92E6C">
              <w:t>COD emissions values</w:t>
            </w:r>
          </w:p>
          <w:p w14:paraId="73600527" w14:textId="77777777" w:rsidR="006D7C1D" w:rsidRDefault="006D7C1D" w:rsidP="006D7C1D">
            <w:r w:rsidRPr="00A92E6C">
              <w:t>The maximum cod value</w:t>
            </w:r>
            <w:r>
              <w:t xml:space="preserve"> (</w:t>
            </w:r>
            <w:proofErr w:type="spellStart"/>
            <w:r>
              <w:t>C</w:t>
            </w:r>
            <w:r w:rsidRPr="00A92E6C">
              <w:rPr>
                <w:vertAlign w:val="subscript"/>
              </w:rPr>
              <w:t>max</w:t>
            </w:r>
            <w:proofErr w:type="spellEnd"/>
            <w:r>
              <w:t>)</w:t>
            </w:r>
          </w:p>
        </w:tc>
        <w:tc>
          <w:tcPr>
            <w:tcW w:w="880" w:type="pct"/>
          </w:tcPr>
          <w:p w14:paraId="45B2AAB8" w14:textId="77777777" w:rsidR="006D7C1D" w:rsidRDefault="006D7C1D" w:rsidP="006D7C1D">
            <w:r>
              <w:rPr>
                <w:rFonts w:hint="eastAsia"/>
              </w:rPr>
              <w:t xml:space="preserve">0.086 </w:t>
            </w:r>
            <w:r>
              <w:t>m</w:t>
            </w:r>
            <w:r w:rsidRPr="00EB6F91">
              <w:rPr>
                <w:vertAlign w:val="superscript"/>
              </w:rPr>
              <w:t>3</w:t>
            </w:r>
            <w:r>
              <w:t>/</w:t>
            </w:r>
            <w:r>
              <w:rPr>
                <w:rFonts w:hint="eastAsia"/>
              </w:rPr>
              <w:t>GJ</w:t>
            </w:r>
          </w:p>
          <w:p w14:paraId="724C30EE" w14:textId="77777777" w:rsidR="006D7C1D" w:rsidRDefault="006D7C1D" w:rsidP="006D7C1D">
            <w:r>
              <w:rPr>
                <w:rFonts w:hint="eastAsia"/>
              </w:rPr>
              <w:t>874 mg/MWh</w:t>
            </w:r>
            <w:r>
              <w:t xml:space="preserve"> </w:t>
            </w:r>
          </w:p>
          <w:p w14:paraId="6FFDFD5D" w14:textId="77777777" w:rsidR="006D7C1D" w:rsidRDefault="006D7C1D" w:rsidP="006D7C1D">
            <w:r>
              <w:rPr>
                <w:rFonts w:hint="eastAsia"/>
              </w:rPr>
              <w:t>2</w:t>
            </w:r>
            <w:r>
              <w:t>0mg/L</w:t>
            </w:r>
          </w:p>
        </w:tc>
        <w:tc>
          <w:tcPr>
            <w:tcW w:w="869" w:type="pct"/>
          </w:tcPr>
          <w:p w14:paraId="7DEDCFFE" w14:textId="12B57651" w:rsidR="006D7C1D" w:rsidRDefault="006D7C1D" w:rsidP="006D7C1D">
            <w:r>
              <w:fldChar w:fldCharType="begin"/>
            </w:r>
            <w:r w:rsidR="00703C8D">
              <w:instrText xml:space="preserve"> ADDIN ZOTERO_ITEM CSL_CITATION {"citationID":"zXemS3sz","properties":{"formattedCitation":"(Fthenakis &amp; Kim, 2010)","plainCitation":"(Fthenakis &amp; Kim, 2010)","noteIndex":0},"citationItems":[{"id":1315,"uris":["http://zotero.org/users/9266605/items/JFTFFRIR"],"itemData":{"id":1315,"type":"article-journal","container-title":"Renewable and Sustainable Energy Reviews","DOI":"10.1016/j.rser.2010.03.008","ISSN":"13640321","issue":"7","journalAbbreviation":"Renewable and Sustainable Energy Reviews","language":"en","license":"https://www.elsevier.com/tdm/userlicense/1.0/","page":"2039-2048","source":"DOI.org (Crossref)","title":"Life-cycle uses of water in U.S. electricity generation","volume":"14","author":[{"family":"Fthenakis","given":"Vasilis"},{"family":"Kim","given":"Hyung Chul"}],"issued":{"date-parts":[["2010",9]]}}}],"schema":"https://github.com/citation-style-language/schema/raw/master/csl-citation.json"} </w:instrText>
            </w:r>
            <w:r>
              <w:fldChar w:fldCharType="separate"/>
            </w:r>
            <w:r w:rsidR="00703C8D" w:rsidRPr="00703C8D">
              <w:rPr>
                <w:rFonts w:cs="Times New Roman"/>
              </w:rPr>
              <w:t>(Fthenakis &amp; Kim, 2010)</w:t>
            </w:r>
            <w:r>
              <w:fldChar w:fldCharType="end"/>
            </w:r>
          </w:p>
        </w:tc>
      </w:tr>
      <w:tr w:rsidR="006D7C1D" w14:paraId="2C0B0186" w14:textId="77777777" w:rsidTr="00ED4BCC">
        <w:trPr>
          <w:trHeight w:val="458"/>
        </w:trPr>
        <w:tc>
          <w:tcPr>
            <w:tcW w:w="635" w:type="pct"/>
            <w:vAlign w:val="center"/>
          </w:tcPr>
          <w:p w14:paraId="738AF195"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Wind power</w:t>
            </w:r>
          </w:p>
        </w:tc>
        <w:tc>
          <w:tcPr>
            <w:tcW w:w="1161" w:type="pct"/>
            <w:vAlign w:val="center"/>
          </w:tcPr>
          <w:p w14:paraId="3462D1F9" w14:textId="77777777" w:rsidR="006D7C1D" w:rsidRPr="0090758A" w:rsidRDefault="006D7C1D" w:rsidP="006D7C1D">
            <w:pPr>
              <w:widowControl/>
              <w:jc w:val="left"/>
              <w:rPr>
                <w:rFonts w:eastAsia="SimSun" w:cs="Times New Roman"/>
                <w:color w:val="000000"/>
                <w:kern w:val="0"/>
                <w:szCs w:val="21"/>
              </w:rPr>
            </w:pPr>
          </w:p>
        </w:tc>
        <w:tc>
          <w:tcPr>
            <w:tcW w:w="1455" w:type="pct"/>
          </w:tcPr>
          <w:p w14:paraId="4E1E0610" w14:textId="77777777" w:rsidR="006D7C1D" w:rsidRDefault="006D7C1D" w:rsidP="006D7C1D">
            <w:r>
              <w:rPr>
                <w:rFonts w:hint="eastAsia"/>
              </w:rPr>
              <w:t>Indirect blue WF</w:t>
            </w:r>
          </w:p>
        </w:tc>
        <w:tc>
          <w:tcPr>
            <w:tcW w:w="880" w:type="pct"/>
          </w:tcPr>
          <w:p w14:paraId="70DB6E06" w14:textId="77777777" w:rsidR="006D7C1D" w:rsidRDefault="006D7C1D" w:rsidP="006D7C1D">
            <w:r>
              <w:rPr>
                <w:rFonts w:hint="eastAsia"/>
              </w:rPr>
              <w:t xml:space="preserve">0.0005 </w:t>
            </w:r>
            <w:r>
              <w:t>m</w:t>
            </w:r>
            <w:r w:rsidRPr="00EB6F91">
              <w:rPr>
                <w:vertAlign w:val="superscript"/>
              </w:rPr>
              <w:t>3</w:t>
            </w:r>
            <w:r>
              <w:t>/</w:t>
            </w:r>
            <w:r>
              <w:rPr>
                <w:rFonts w:hint="eastAsia"/>
              </w:rPr>
              <w:t>kWh</w:t>
            </w:r>
          </w:p>
        </w:tc>
        <w:tc>
          <w:tcPr>
            <w:tcW w:w="869" w:type="pct"/>
            <w:vMerge w:val="restart"/>
          </w:tcPr>
          <w:p w14:paraId="2D18D0B2" w14:textId="11096036" w:rsidR="006D7C1D" w:rsidRDefault="006D7C1D" w:rsidP="006D7C1D">
            <w:r>
              <w:fldChar w:fldCharType="begin"/>
            </w:r>
            <w:r w:rsidR="00703C8D">
              <w:instrText xml:space="preserve"> ADDIN ZOTERO_ITEM CSL_CITATION {"citationID":"CIvLZyBj","properties":{"formattedCitation":"(Gerbens-Leenes et al., 2008)","plainCitation":"(Gerbens-Leenes et al., 2008)","noteIndex":0},"citationItems":[{"id":1307,"uris":["http://zotero.org/users/9266605/items/LJRY3KLA"],"itemData":{"id":1307,"type":"report","collection-title":"NameValue of water report series","note":"titleTranslation:\ntitleTranslation:\ntitleTranslation:\ntitleTranslation:\ntitleTranslation:\ntitleTranslation:\ntitleTranslation:\ntitleTranslation:\ntitleTranslation:\ntitleTranslation:\ntitleTranslation:\ntitleTranslation:\ntitleTranslation:\ntitleTranslation:\ntitleTranslation:\ntitleTranslation:\ntitleTranslation:\ntitleTranslation:","title":"Water Footprint of Bio-energy and other primary energy carriers","URL":"https://research.rug.nl/en/publications/water-footprint-of-bio-energy-and-other-primary-energy-carriers","author":[{"family":"Gerbens-Leenes","given":"P.W."},{"family":"Hoekstra","given":"A.Y."},{"family":"Meer","given":"Th. Van","dropping-particle":"der"}],"issued":{"date-parts":[["2008"]]}}}],"schema":"https://github.com/citation-style-language/schema/raw/master/csl-citation.json"} </w:instrText>
            </w:r>
            <w:r>
              <w:fldChar w:fldCharType="separate"/>
            </w:r>
            <w:r w:rsidR="00703C8D" w:rsidRPr="00703C8D">
              <w:rPr>
                <w:rFonts w:cs="Times New Roman"/>
              </w:rPr>
              <w:t>(Gerbens-Leenes et al., 2008)</w:t>
            </w:r>
            <w:r>
              <w:fldChar w:fldCharType="end"/>
            </w:r>
          </w:p>
        </w:tc>
      </w:tr>
      <w:tr w:rsidR="006D7C1D" w14:paraId="5983DF98" w14:textId="77777777" w:rsidTr="00ED4BCC">
        <w:tc>
          <w:tcPr>
            <w:tcW w:w="635" w:type="pct"/>
            <w:vAlign w:val="center"/>
          </w:tcPr>
          <w:p w14:paraId="3D4648BF" w14:textId="77777777" w:rsidR="006D7C1D" w:rsidRPr="0090758A" w:rsidRDefault="006D7C1D" w:rsidP="006D7C1D">
            <w:pPr>
              <w:widowControl/>
              <w:jc w:val="left"/>
              <w:rPr>
                <w:rFonts w:eastAsia="SimSun" w:cs="Times New Roman"/>
                <w:color w:val="000000"/>
                <w:kern w:val="0"/>
                <w:szCs w:val="21"/>
              </w:rPr>
            </w:pPr>
            <w:r w:rsidRPr="0090758A">
              <w:rPr>
                <w:rFonts w:eastAsia="SimSun" w:cs="Times New Roman"/>
                <w:color w:val="000000"/>
                <w:kern w:val="0"/>
                <w:szCs w:val="21"/>
              </w:rPr>
              <w:t>Solar power</w:t>
            </w:r>
          </w:p>
        </w:tc>
        <w:tc>
          <w:tcPr>
            <w:tcW w:w="1161" w:type="pct"/>
            <w:vAlign w:val="center"/>
          </w:tcPr>
          <w:p w14:paraId="4C61A3C6" w14:textId="77777777" w:rsidR="006D7C1D" w:rsidRPr="0090758A" w:rsidRDefault="006D7C1D" w:rsidP="006D7C1D">
            <w:pPr>
              <w:widowControl/>
              <w:jc w:val="left"/>
              <w:rPr>
                <w:rFonts w:eastAsia="SimSun" w:cs="Times New Roman"/>
                <w:color w:val="000000"/>
                <w:kern w:val="0"/>
                <w:szCs w:val="21"/>
              </w:rPr>
            </w:pPr>
          </w:p>
        </w:tc>
        <w:tc>
          <w:tcPr>
            <w:tcW w:w="1455" w:type="pct"/>
          </w:tcPr>
          <w:p w14:paraId="58D4BB58" w14:textId="77777777" w:rsidR="006D7C1D" w:rsidRDefault="006D7C1D" w:rsidP="006D7C1D">
            <w:r>
              <w:rPr>
                <w:rFonts w:hint="eastAsia"/>
              </w:rPr>
              <w:t>Indirect blue WF</w:t>
            </w:r>
          </w:p>
        </w:tc>
        <w:tc>
          <w:tcPr>
            <w:tcW w:w="880" w:type="pct"/>
          </w:tcPr>
          <w:p w14:paraId="742405B1" w14:textId="77777777" w:rsidR="006D7C1D" w:rsidRDefault="006D7C1D" w:rsidP="006D7C1D">
            <w:r>
              <w:rPr>
                <w:rFonts w:hint="eastAsia"/>
              </w:rPr>
              <w:t xml:space="preserve">0.265 </w:t>
            </w:r>
            <w:r>
              <w:t>m</w:t>
            </w:r>
            <w:r w:rsidRPr="00EB6F91">
              <w:rPr>
                <w:vertAlign w:val="superscript"/>
              </w:rPr>
              <w:t>3</w:t>
            </w:r>
            <w:r>
              <w:t>/</w:t>
            </w:r>
            <w:r>
              <w:rPr>
                <w:rFonts w:hint="eastAsia"/>
              </w:rPr>
              <w:t>GJ</w:t>
            </w:r>
          </w:p>
        </w:tc>
        <w:tc>
          <w:tcPr>
            <w:tcW w:w="869" w:type="pct"/>
            <w:vMerge/>
          </w:tcPr>
          <w:p w14:paraId="24FB58A1" w14:textId="77777777" w:rsidR="006D7C1D" w:rsidRDefault="006D7C1D" w:rsidP="006D7C1D"/>
        </w:tc>
      </w:tr>
    </w:tbl>
    <w:p w14:paraId="3325B285" w14:textId="75FECEBB" w:rsidR="00314AC1" w:rsidRDefault="00A92E6C">
      <w:r w:rsidRPr="00F92F3C">
        <w:rPr>
          <w:b/>
          <w:bCs/>
        </w:rPr>
        <w:t xml:space="preserve">Notes: </w:t>
      </w:r>
      <w:r w:rsidR="00314AC1" w:rsidRPr="00314AC1">
        <w:t xml:space="preserve">The </w:t>
      </w:r>
      <w:r w:rsidR="00314AC1">
        <w:t>direct grey WF</w:t>
      </w:r>
      <w:r w:rsidR="00314AC1" w:rsidRPr="00314AC1">
        <w:t xml:space="preserve"> for processing was not included in this study due to the unavailability of data. The grey WF of the processing plant was not calculated due to the unavailability of data.</w:t>
      </w:r>
      <w:r w:rsidR="0043559B" w:rsidRPr="0043559B">
        <w:t xml:space="preserve"> Since the </w:t>
      </w:r>
      <w:r w:rsidR="0043559B" w:rsidRPr="0043559B">
        <w:rPr>
          <w:i/>
          <w:iCs/>
        </w:rPr>
        <w:t>China Environmental Statistics Yearbook</w:t>
      </w:r>
      <w:r w:rsidR="0043559B" w:rsidRPr="0043559B">
        <w:t xml:space="preserve"> includes the COD emissions from oil and gas extraction as one total value, this </w:t>
      </w:r>
      <w:r w:rsidR="0043559B">
        <w:rPr>
          <w:rFonts w:hint="eastAsia"/>
        </w:rPr>
        <w:t>study</w:t>
      </w:r>
      <w:r w:rsidR="0043559B" w:rsidRPr="0043559B">
        <w:t xml:space="preserve"> will take the proportion of direct blue </w:t>
      </w:r>
      <w:r w:rsidR="0043559B">
        <w:rPr>
          <w:rFonts w:hint="eastAsia"/>
        </w:rPr>
        <w:t>WF</w:t>
      </w:r>
      <w:r w:rsidR="0043559B" w:rsidRPr="0043559B">
        <w:t xml:space="preserve"> in oil and gas extraction as the proportion of COD emissions from oil and gas extraction.</w:t>
      </w:r>
    </w:p>
    <w:p w14:paraId="059925F8" w14:textId="77777777" w:rsidR="003F2970" w:rsidRDefault="003F2970"/>
    <w:p w14:paraId="28B3F897" w14:textId="04AEC614" w:rsidR="00530F70" w:rsidRDefault="00530F70" w:rsidP="00530F70">
      <w:pPr>
        <w:pStyle w:val="Heading1"/>
      </w:pPr>
      <w:r>
        <w:t>2</w:t>
      </w:r>
      <w:r>
        <w:t>.</w:t>
      </w:r>
      <w:r w:rsidRPr="008B681B">
        <w:rPr>
          <w:rFonts w:hint="eastAsia"/>
        </w:rPr>
        <w:t xml:space="preserve"> </w:t>
      </w:r>
      <w:r>
        <w:rPr>
          <w:rFonts w:hint="eastAsia"/>
        </w:rPr>
        <w:t>P</w:t>
      </w:r>
      <w:r w:rsidRPr="00CB768B">
        <w:t>rediction model</w:t>
      </w:r>
      <w:r>
        <w:rPr>
          <w:rFonts w:hint="eastAsia"/>
        </w:rPr>
        <w:t xml:space="preserve"> </w:t>
      </w:r>
    </w:p>
    <w:p w14:paraId="1B5482E3" w14:textId="77777777" w:rsidR="00530F70" w:rsidRPr="000C5CB9" w:rsidRDefault="00530F70" w:rsidP="00530F70">
      <w:pPr>
        <w:ind w:firstLine="400"/>
      </w:pPr>
      <w:r w:rsidRPr="000C5CB9">
        <w:rPr>
          <w:rFonts w:cs="Times New Roman"/>
        </w:rPr>
        <w:t>In the sparrow algorithm, the basic parameters such as the number of iterations required for the population and the population size are specified, and the percentage of producers is also set.</w:t>
      </w:r>
      <w:r w:rsidRPr="000C5CB9">
        <w:t xml:space="preserve"> </w:t>
      </w:r>
      <w:r w:rsidRPr="000C5CB9">
        <w:rPr>
          <w:rFonts w:cs="Times New Roman"/>
        </w:rPr>
        <w:t>Suppose the number of sparrows in the population is</w:t>
      </w:r>
      <w:r w:rsidRPr="000C5CB9">
        <w:rPr>
          <w:rFonts w:cs="Times New Roman" w:hint="eastAsia"/>
        </w:rPr>
        <w:t xml:space="preserve"> </w:t>
      </w:r>
      <w:r w:rsidRPr="000C5CB9">
        <w:rPr>
          <w:rFonts w:cs="Times New Roman" w:hint="eastAsia"/>
          <w:i/>
          <w:iCs/>
        </w:rPr>
        <w:t>N</w:t>
      </w:r>
      <w:r w:rsidRPr="000C5CB9">
        <w:rPr>
          <w:rFonts w:cs="Times New Roman" w:hint="eastAsia"/>
        </w:rPr>
        <w:t xml:space="preserve">, </w:t>
      </w:r>
      <w:r w:rsidRPr="000C5CB9">
        <w:t xml:space="preserve">and the optimal solution dimension is </w:t>
      </w:r>
      <w:r w:rsidRPr="000C5CB9">
        <w:rPr>
          <w:rFonts w:hint="eastAsia"/>
          <w:i/>
          <w:iCs/>
        </w:rPr>
        <w:t>d.</w:t>
      </w:r>
      <w:r w:rsidRPr="000C5CB9">
        <w:rPr>
          <w:rFonts w:hint="eastAsia"/>
        </w:rPr>
        <w:t xml:space="preserve"> </w:t>
      </w:r>
      <w:r w:rsidRPr="000C5CB9">
        <w:t>Each sparrow's position can be represented as</w:t>
      </w:r>
      <w:r w:rsidRPr="000C5CB9">
        <w:rPr>
          <w:rFonts w:hint="eastAsia"/>
        </w:rPr>
        <w:t xml:space="preserve"> </w:t>
      </w:r>
      <w:r w:rsidRPr="000C5CB9">
        <w:rPr>
          <w:rFonts w:hint="eastAsia"/>
          <w:i/>
          <w:iCs/>
        </w:rPr>
        <w:t>X</w:t>
      </w:r>
      <m:oMath>
        <m:r>
          <m:rPr>
            <m:nor/>
          </m:rPr>
          <w:rPr>
            <w:rFonts w:cs="Times New Roman"/>
          </w:rPr>
          <m:t>=</m:t>
        </m:r>
        <m:d>
          <m:dPr>
            <m:ctrlPr>
              <w:rPr>
                <w:rFonts w:ascii="Cambria Math" w:hAnsi="Cambria Math" w:cs="Times New Roman"/>
                <w:i/>
              </w:rPr>
            </m:ctrlPr>
          </m:dPr>
          <m:e>
            <m:sSub>
              <m:sSubPr>
                <m:ctrlPr>
                  <w:rPr>
                    <w:rFonts w:ascii="Cambria Math" w:hAnsi="Cambria Math" w:cs="Times New Roman"/>
                    <w:i/>
                  </w:rPr>
                </m:ctrlPr>
              </m:sSubPr>
              <m:e>
                <m:r>
                  <m:rPr>
                    <m:nor/>
                  </m:rPr>
                  <w:rPr>
                    <w:rFonts w:cs="Times New Roman"/>
                    <w:i/>
                  </w:rPr>
                  <m:t>x</m:t>
                </m:r>
              </m:e>
              <m:sub>
                <m:r>
                  <m:rPr>
                    <m:nor/>
                  </m:rPr>
                  <w:rPr>
                    <w:rFonts w:cs="Times New Roman"/>
                    <w:i/>
                  </w:rPr>
                  <m:t>1</m:t>
                </m:r>
              </m:sub>
            </m:sSub>
            <m:r>
              <m:rPr>
                <m:nor/>
              </m:rPr>
              <w:rPr>
                <w:rFonts w:cs="Times New Roman"/>
                <w:i/>
              </w:rPr>
              <m:t>,</m:t>
            </m:r>
            <m:sSub>
              <m:sSubPr>
                <m:ctrlPr>
                  <w:rPr>
                    <w:rFonts w:ascii="Cambria Math" w:hAnsi="Cambria Math" w:cs="Times New Roman"/>
                    <w:i/>
                  </w:rPr>
                </m:ctrlPr>
              </m:sSubPr>
              <m:e>
                <m:r>
                  <m:rPr>
                    <m:nor/>
                  </m:rPr>
                  <w:rPr>
                    <w:rFonts w:cs="Times New Roman"/>
                    <w:i/>
                  </w:rPr>
                  <m:t>x</m:t>
                </m:r>
              </m:e>
              <m:sub>
                <m:r>
                  <m:rPr>
                    <m:nor/>
                  </m:rPr>
                  <w:rPr>
                    <w:rFonts w:cs="Times New Roman"/>
                    <w:i/>
                  </w:rPr>
                  <m:t>2</m:t>
                </m:r>
              </m:sub>
            </m:sSub>
            <m:r>
              <m:rPr>
                <m:nor/>
              </m:rPr>
              <w:rPr>
                <w:rFonts w:cs="Times New Roman"/>
                <w:i/>
              </w:rPr>
              <m:t>,</m:t>
            </m:r>
            <m:sSub>
              <m:sSubPr>
                <m:ctrlPr>
                  <w:rPr>
                    <w:rFonts w:ascii="Cambria Math" w:hAnsi="Cambria Math" w:cs="Times New Roman"/>
                    <w:i/>
                  </w:rPr>
                </m:ctrlPr>
              </m:sSubPr>
              <m:e>
                <w:proofErr w:type="gramStart"/>
                <m:r>
                  <m:rPr>
                    <m:nor/>
                  </m:rPr>
                  <w:rPr>
                    <w:rFonts w:ascii="MS Gothic" w:eastAsia="MS Gothic" w:hAnsi="MS Gothic" w:cs="MS Gothic" w:hint="eastAsia"/>
                    <w:i/>
                  </w:rPr>
                  <m:t>⋯</m:t>
                </m:r>
                <m:r>
                  <m:rPr>
                    <m:nor/>
                  </m:rPr>
                  <w:rPr>
                    <w:rFonts w:cs="Times New Roman"/>
                    <w:i/>
                  </w:rPr>
                  <m:t>,x</m:t>
                </m:r>
                <w:proofErr w:type="gramEnd"/>
              </m:e>
              <m:sub>
                <m:r>
                  <m:rPr>
                    <m:nor/>
                  </m:rPr>
                  <w:rPr>
                    <w:rFonts w:cs="Times New Roman"/>
                    <w:i/>
                  </w:rPr>
                  <m:t>d</m:t>
                </m:r>
              </m:sub>
            </m:sSub>
          </m:e>
        </m:d>
      </m:oMath>
      <w:r w:rsidRPr="000C5CB9">
        <w:rPr>
          <w:rFonts w:hint="eastAsia"/>
          <w:iCs/>
        </w:rPr>
        <w:t xml:space="preserve">, </w:t>
      </w:r>
      <w:r w:rsidRPr="000C5CB9">
        <w:t>with a fitness value</w:t>
      </w:r>
      <w:r w:rsidRPr="000C5CB9">
        <w:rPr>
          <w:rFonts w:hint="eastAsia"/>
        </w:rPr>
        <w:t xml:space="preserve"> </w:t>
      </w:r>
      <m:oMath>
        <m:sSub>
          <m:sSubPr>
            <m:ctrlPr>
              <w:rPr>
                <w:rFonts w:ascii="Cambria Math" w:hAnsi="Cambria Math" w:cs="Times New Roman"/>
                <w:i/>
              </w:rPr>
            </m:ctrlPr>
          </m:sSubPr>
          <m:e>
            <w:proofErr w:type="spellStart"/>
            <m:r>
              <m:rPr>
                <m:nor/>
              </m:rPr>
              <w:rPr>
                <w:rFonts w:cs="Times New Roman"/>
                <w:i/>
              </w:rPr>
              <m:t>f</m:t>
            </m:r>
            <w:proofErr w:type="spellEnd"/>
          </m:e>
          <m:sub>
            <w:proofErr w:type="spellStart"/>
            <m:r>
              <m:rPr>
                <m:nor/>
              </m:rPr>
              <w:rPr>
                <w:rFonts w:cs="Times New Roman"/>
                <w:i/>
              </w:rPr>
              <m:t>i</m:t>
            </m:r>
            <w:proofErr w:type="spellEnd"/>
          </m:sub>
        </m:sSub>
        <m:r>
          <m:rPr>
            <m:nor/>
          </m:rPr>
          <w:rPr>
            <w:rFonts w:cs="Times New Roman"/>
            <w:iCs/>
          </w:rPr>
          <m:t>=</m:t>
        </m:r>
        <m:r>
          <m:rPr>
            <m:nor/>
          </m:rPr>
          <w:rPr>
            <w:rFonts w:cs="Times New Roman"/>
            <w:i/>
          </w:rPr>
          <m:t>f</m:t>
        </m:r>
        <m:d>
          <m:dPr>
            <m:ctrlPr>
              <w:rPr>
                <w:rFonts w:ascii="Cambria Math" w:hAnsi="Cambria Math" w:cs="Times New Roman"/>
                <w:iCs/>
              </w:rPr>
            </m:ctrlPr>
          </m:dPr>
          <m:e>
            <m:sSub>
              <m:sSubPr>
                <m:ctrlPr>
                  <w:rPr>
                    <w:rFonts w:ascii="Cambria Math" w:hAnsi="Cambria Math" w:cs="Times New Roman"/>
                    <w:i/>
                  </w:rPr>
                </m:ctrlPr>
              </m:sSubPr>
              <m:e>
                <m:r>
                  <m:rPr>
                    <m:nor/>
                  </m:rPr>
                  <w:rPr>
                    <w:rFonts w:cs="Times New Roman"/>
                    <w:i/>
                  </w:rPr>
                  <m:t>x</m:t>
                </m:r>
              </m:e>
              <m:sub>
                <m:r>
                  <m:rPr>
                    <m:nor/>
                  </m:rPr>
                  <w:rPr>
                    <w:rFonts w:cs="Times New Roman"/>
                    <w:i/>
                  </w:rPr>
                  <m:t>1</m:t>
                </m:r>
              </m:sub>
            </m:sSub>
            <m:r>
              <m:rPr>
                <m:nor/>
              </m:rPr>
              <w:rPr>
                <w:rFonts w:cs="Times New Roman"/>
                <w:i/>
              </w:rPr>
              <m:t>,</m:t>
            </m:r>
            <m:sSub>
              <m:sSubPr>
                <m:ctrlPr>
                  <w:rPr>
                    <w:rFonts w:ascii="Cambria Math" w:hAnsi="Cambria Math" w:cs="Times New Roman"/>
                    <w:i/>
                  </w:rPr>
                </m:ctrlPr>
              </m:sSubPr>
              <m:e>
                <m:r>
                  <m:rPr>
                    <m:nor/>
                  </m:rPr>
                  <w:rPr>
                    <w:rFonts w:cs="Times New Roman"/>
                    <w:i/>
                  </w:rPr>
                  <m:t>x</m:t>
                </m:r>
              </m:e>
              <m:sub>
                <m:r>
                  <m:rPr>
                    <m:nor/>
                  </m:rPr>
                  <w:rPr>
                    <w:rFonts w:cs="Times New Roman"/>
                    <w:i/>
                  </w:rPr>
                  <m:t>2</m:t>
                </m:r>
              </m:sub>
            </m:sSub>
            <m:r>
              <m:rPr>
                <m:nor/>
              </m:rPr>
              <w:rPr>
                <w:rFonts w:cs="Times New Roman"/>
                <w:i/>
              </w:rPr>
              <m:t>,</m:t>
            </m:r>
            <m:sSub>
              <m:sSubPr>
                <m:ctrlPr>
                  <w:rPr>
                    <w:rFonts w:ascii="Cambria Math" w:hAnsi="Cambria Math" w:cs="Times New Roman"/>
                    <w:i/>
                  </w:rPr>
                </m:ctrlPr>
              </m:sSubPr>
              <m:e>
                <w:proofErr w:type="gramStart"/>
                <m:r>
                  <m:rPr>
                    <m:nor/>
                  </m:rPr>
                  <w:rPr>
                    <w:rFonts w:ascii="MS Gothic" w:eastAsia="MS Gothic" w:hAnsi="MS Gothic" w:cs="MS Gothic" w:hint="eastAsia"/>
                    <w:i/>
                  </w:rPr>
                  <m:t>⋯</m:t>
                </m:r>
                <m:r>
                  <m:rPr>
                    <m:nor/>
                  </m:rPr>
                  <w:rPr>
                    <w:rFonts w:cs="Times New Roman"/>
                    <w:i/>
                  </w:rPr>
                  <m:t>,x</m:t>
                </m:r>
                <w:proofErr w:type="gramEnd"/>
              </m:e>
              <m:sub>
                <m:r>
                  <m:rPr>
                    <m:nor/>
                  </m:rPr>
                  <w:rPr>
                    <w:rFonts w:cs="Times New Roman"/>
                    <w:i/>
                  </w:rPr>
                  <m:t>d</m:t>
                </m:r>
              </m:sub>
            </m:sSub>
          </m:e>
        </m:d>
      </m:oMath>
      <w:r w:rsidRPr="000C5CB9">
        <w:rPr>
          <w:rFonts w:hint="eastAsia"/>
          <w:iCs/>
        </w:rPr>
        <w:t>.</w:t>
      </w:r>
      <w:r w:rsidRPr="000C5CB9">
        <w:t xml:space="preserve"> The initial population can thus be represented as:</w:t>
      </w:r>
    </w:p>
    <w:p w14:paraId="142E03A0" w14:textId="020838E8" w:rsidR="00530F70" w:rsidRPr="000C5CB9" w:rsidRDefault="00530F70" w:rsidP="00530F70">
      <w:pPr>
        <w:pStyle w:val="MTDisplayEquation"/>
        <w:ind w:firstLine="400"/>
        <w:rPr>
          <w:i w:val="0"/>
          <w:iCs/>
          <w:szCs w:val="20"/>
        </w:rPr>
      </w:pPr>
      <w:r w:rsidRPr="000C5CB9">
        <w:rPr>
          <w:rFonts w:cstheme="minorBidi"/>
          <w:i w:val="0"/>
          <w:iCs/>
        </w:rPr>
        <w:tab/>
      </w:r>
      <m:oMath>
        <m:m>
          <m:mPr>
            <m:mcs>
              <m:mc>
                <m:mcPr>
                  <m:count m:val="2"/>
                  <m:mcJc m:val="center"/>
                </m:mcPr>
              </m:mc>
            </m:mcs>
            <m:ctrlPr>
              <w:rPr>
                <w:rFonts w:ascii="Cambria Math" w:hAnsi="Cambria Math"/>
                <w:iCs/>
              </w:rPr>
            </m:ctrlPr>
          </m:mPr>
          <m:mr>
            <m:e>
              <m:r>
                <m:rPr>
                  <m:nor/>
                </m:rPr>
                <w:rPr>
                  <w:iCs/>
                </w:rPr>
                <m:t>X</m:t>
              </m:r>
            </m:e>
            <m:e>
              <m:r>
                <m:rPr>
                  <m:nor/>
                </m:rPr>
                <m:t>=</m:t>
              </m:r>
              <m:d>
                <m:dPr>
                  <m:begChr m:val="["/>
                  <m:endChr m:val="]"/>
                  <m:ctrlPr>
                    <w:rPr>
                      <w:rFonts w:ascii="Cambria Math" w:hAnsi="Cambria Math"/>
                    </w:rPr>
                  </m:ctrlPr>
                </m:dPr>
                <m:e>
                  <m:eqArr>
                    <m:eqArrPr>
                      <m:ctrlPr>
                        <w:rPr>
                          <w:rFonts w:ascii="Cambria Math" w:hAnsi="Cambria Math"/>
                        </w:rPr>
                      </m:ctrlPr>
                    </m:eqArrPr>
                    <m:e>
                      <m:m>
                        <m:mPr>
                          <m:mcs>
                            <m:mc>
                              <m:mcPr>
                                <m:count m:val="3"/>
                                <m:mcJc m:val="center"/>
                              </m:mcPr>
                            </m:mc>
                          </m:mcs>
                          <m:ctrlPr>
                            <w:rPr>
                              <w:rFonts w:ascii="Cambria Math" w:hAnsi="Cambria Math"/>
                            </w:rPr>
                          </m:ctrlPr>
                        </m:mPr>
                        <m:mr>
                          <m:e>
                            <m:sSubSup>
                              <m:sSubSupPr>
                                <m:ctrlPr>
                                  <w:rPr>
                                    <w:rFonts w:ascii="Cambria Math" w:hAnsi="Cambria Math"/>
                                  </w:rPr>
                                </m:ctrlPr>
                              </m:sSubSupPr>
                              <m:e>
                                <m:r>
                                  <m:rPr>
                                    <m:nor/>
                                  </m:rPr>
                                  <m:t>x</m:t>
                                </m:r>
                              </m:e>
                              <m:sub>
                                <m:r>
                                  <m:rPr>
                                    <m:nor/>
                                  </m:rPr>
                                  <m:t>1</m:t>
                                </m:r>
                              </m:sub>
                              <m:sup>
                                <m:r>
                                  <m:rPr>
                                    <m:nor/>
                                  </m:rPr>
                                  <m:t>1</m:t>
                                </m:r>
                              </m:sup>
                            </m:sSubSup>
                          </m:e>
                          <m:e>
                            <m:sSubSup>
                              <m:sSubSupPr>
                                <m:ctrlPr>
                                  <w:rPr>
                                    <w:rFonts w:ascii="Cambria Math" w:hAnsi="Cambria Math"/>
                                  </w:rPr>
                                </m:ctrlPr>
                              </m:sSubSupPr>
                              <m:e>
                                <m:r>
                                  <m:rPr>
                                    <m:nor/>
                                  </m:rPr>
                                  <m:t>x</m:t>
                                </m:r>
                              </m:e>
                              <m:sub>
                                <m:r>
                                  <m:rPr>
                                    <m:nor/>
                                  </m:rPr>
                                  <m:t>1</m:t>
                                </m:r>
                              </m:sub>
                              <m:sup>
                                <m:r>
                                  <m:rPr>
                                    <m:nor/>
                                  </m:rPr>
                                  <m:t>2</m:t>
                                </m:r>
                              </m:sup>
                            </m:sSubSup>
                          </m:e>
                          <m:e>
                            <m:m>
                              <m:mPr>
                                <m:mcs>
                                  <m:mc>
                                    <m:mcPr>
                                      <m:count m:val="2"/>
                                      <m:mcJc m:val="center"/>
                                    </m:mcPr>
                                  </m:mc>
                                </m:mcs>
                                <m:ctrlPr>
                                  <w:rPr>
                                    <w:rFonts w:ascii="Cambria Math" w:hAnsi="Cambria Math"/>
                                  </w:rPr>
                                </m:ctrlPr>
                              </m:mPr>
                              <m:mr>
                                <m:e>
                                  <m:r>
                                    <m:rPr>
                                      <m:nor/>
                                    </m:rPr>
                                    <w:rPr>
                                      <w:rFonts w:ascii="MS Gothic" w:eastAsia="MS Gothic" w:hAnsi="MS Gothic" w:cs="MS Gothic" w:hint="eastAsia"/>
                                    </w:rPr>
                                    <m:t>⋯</m:t>
                                  </m:r>
                                </m:e>
                                <m:e>
                                  <m:sSubSup>
                                    <m:sSubSupPr>
                                      <m:ctrlPr>
                                        <w:rPr>
                                          <w:rFonts w:ascii="Cambria Math" w:hAnsi="Cambria Math"/>
                                        </w:rPr>
                                      </m:ctrlPr>
                                    </m:sSubSupPr>
                                    <m:e>
                                      <m:r>
                                        <m:rPr>
                                          <m:nor/>
                                        </m:rPr>
                                        <m:t>x</m:t>
                                      </m:r>
                                    </m:e>
                                    <m:sub>
                                      <m:r>
                                        <m:rPr>
                                          <m:nor/>
                                        </m:rPr>
                                        <m:t>1</m:t>
                                      </m:r>
                                    </m:sub>
                                    <m:sup>
                                      <m:r>
                                        <m:rPr>
                                          <m:nor/>
                                        </m:rPr>
                                        <m:t>d</m:t>
                                      </m:r>
                                    </m:sup>
                                  </m:sSubSup>
                                </m:e>
                              </m:mr>
                            </m:m>
                          </m:e>
                        </m:mr>
                        <m:mr>
                          <m:e>
                            <m:sSubSup>
                              <m:sSubSupPr>
                                <m:ctrlPr>
                                  <w:rPr>
                                    <w:rFonts w:ascii="Cambria Math" w:hAnsi="Cambria Math"/>
                                  </w:rPr>
                                </m:ctrlPr>
                              </m:sSubSupPr>
                              <m:e>
                                <m:r>
                                  <m:rPr>
                                    <m:nor/>
                                  </m:rPr>
                                  <m:t>x</m:t>
                                </m:r>
                              </m:e>
                              <m:sub>
                                <m:r>
                                  <m:rPr>
                                    <m:nor/>
                                  </m:rPr>
                                  <m:t>2</m:t>
                                </m:r>
                              </m:sub>
                              <m:sup>
                                <m:r>
                                  <m:rPr>
                                    <m:nor/>
                                  </m:rPr>
                                  <m:t>1</m:t>
                                </m:r>
                              </m:sup>
                            </m:sSubSup>
                          </m:e>
                          <m:e>
                            <m:sSubSup>
                              <m:sSubSupPr>
                                <m:ctrlPr>
                                  <w:rPr>
                                    <w:rFonts w:ascii="Cambria Math" w:hAnsi="Cambria Math"/>
                                  </w:rPr>
                                </m:ctrlPr>
                              </m:sSubSupPr>
                              <m:e>
                                <m:r>
                                  <m:rPr>
                                    <m:nor/>
                                  </m:rPr>
                                  <m:t>x</m:t>
                                </m:r>
                              </m:e>
                              <m:sub>
                                <m:r>
                                  <m:rPr>
                                    <m:nor/>
                                  </m:rPr>
                                  <m:t>2</m:t>
                                </m:r>
                              </m:sub>
                              <m:sup>
                                <m:r>
                                  <m:rPr>
                                    <m:nor/>
                                  </m:rPr>
                                  <m:t>2</m:t>
                                </m:r>
                              </m:sup>
                            </m:sSubSup>
                          </m:e>
                          <m:e>
                            <m:m>
                              <m:mPr>
                                <m:mcs>
                                  <m:mc>
                                    <m:mcPr>
                                      <m:count m:val="2"/>
                                      <m:mcJc m:val="center"/>
                                    </m:mcPr>
                                  </m:mc>
                                </m:mcs>
                                <m:ctrlPr>
                                  <w:rPr>
                                    <w:rFonts w:ascii="Cambria Math" w:hAnsi="Cambria Math"/>
                                  </w:rPr>
                                </m:ctrlPr>
                              </m:mPr>
                              <m:mr>
                                <m:e>
                                  <m:r>
                                    <m:rPr>
                                      <m:nor/>
                                    </m:rPr>
                                    <w:rPr>
                                      <w:rFonts w:ascii="MS Gothic" w:eastAsia="MS Gothic" w:hAnsi="MS Gothic" w:cs="MS Gothic" w:hint="eastAsia"/>
                                    </w:rPr>
                                    <m:t>⋯</m:t>
                                  </m:r>
                                </m:e>
                                <m:e>
                                  <m:sSubSup>
                                    <m:sSubSupPr>
                                      <m:ctrlPr>
                                        <w:rPr>
                                          <w:rFonts w:ascii="Cambria Math" w:hAnsi="Cambria Math"/>
                                        </w:rPr>
                                      </m:ctrlPr>
                                    </m:sSubSupPr>
                                    <m:e>
                                      <m:r>
                                        <m:rPr>
                                          <m:nor/>
                                        </m:rPr>
                                        <m:t>x</m:t>
                                      </m:r>
                                    </m:e>
                                    <m:sub>
                                      <m:r>
                                        <m:rPr>
                                          <m:nor/>
                                        </m:rPr>
                                        <m:t>2</m:t>
                                      </m:r>
                                    </m:sub>
                                    <m:sup>
                                      <m:r>
                                        <m:rPr>
                                          <m:nor/>
                                        </m:rPr>
                                        <m:t>d</m:t>
                                      </m:r>
                                    </m:sup>
                                  </m:sSubSup>
                                </m:e>
                              </m:mr>
                            </m:m>
                          </m:e>
                        </m:mr>
                        <m:mr>
                          <m:e>
                            <m:r>
                              <m:rPr>
                                <m:nor/>
                              </m:rPr>
                              <w:rPr>
                                <w:rFonts w:ascii="MS Gothic" w:eastAsia="MS Gothic" w:hAnsi="MS Gothic" w:cs="MS Gothic" w:hint="eastAsia"/>
                              </w:rPr>
                              <m:t>⋯</m:t>
                            </m:r>
                          </m:e>
                          <m:e>
                            <m:r>
                              <m:rPr>
                                <m:nor/>
                              </m:rPr>
                              <w:rPr>
                                <w:rFonts w:ascii="MS Gothic" w:eastAsia="MS Gothic" w:hAnsi="MS Gothic" w:cs="MS Gothic" w:hint="eastAsia"/>
                              </w:rPr>
                              <m:t>⋯</m:t>
                            </m:r>
                          </m:e>
                          <m:e>
                            <m:m>
                              <m:mPr>
                                <m:mcs>
                                  <m:mc>
                                    <m:mcPr>
                                      <m:count m:val="2"/>
                                      <m:mcJc m:val="center"/>
                                    </m:mcPr>
                                  </m:mc>
                                </m:mcs>
                                <m:ctrlPr>
                                  <w:rPr>
                                    <w:rFonts w:ascii="Cambria Math" w:hAnsi="Cambria Math"/>
                                  </w:rPr>
                                </m:ctrlPr>
                              </m:mPr>
                              <m:mr>
                                <m:e>
                                  <m:r>
                                    <m:rPr>
                                      <m:nor/>
                                    </m:rPr>
                                    <w:rPr>
                                      <w:rFonts w:ascii="MS Gothic" w:eastAsia="MS Gothic" w:hAnsi="MS Gothic" w:cs="MS Gothic" w:hint="eastAsia"/>
                                    </w:rPr>
                                    <m:t>⋯</m:t>
                                  </m:r>
                                </m:e>
                                <m:e>
                                  <m:r>
                                    <m:rPr>
                                      <m:nor/>
                                    </m:rPr>
                                    <w:rPr>
                                      <w:rFonts w:ascii="MS Gothic" w:eastAsia="MS Gothic" w:hAnsi="MS Gothic" w:cs="MS Gothic" w:hint="eastAsia"/>
                                    </w:rPr>
                                    <m:t>⋯</m:t>
                                  </m:r>
                                </m:e>
                              </m:mr>
                            </m:m>
                          </m:e>
                        </m:mr>
                      </m:m>
                    </m:e>
                    <m:e>
                      <m:m>
                        <m:mPr>
                          <m:mcs>
                            <m:mc>
                              <m:mcPr>
                                <m:count m:val="3"/>
                                <m:mcJc m:val="center"/>
                              </m:mcPr>
                            </m:mc>
                          </m:mcs>
                          <m:ctrlPr>
                            <w:rPr>
                              <w:rFonts w:ascii="Cambria Math" w:hAnsi="Cambria Math"/>
                            </w:rPr>
                          </m:ctrlPr>
                        </m:mPr>
                        <m:mr>
                          <m:e>
                            <m:sSubSup>
                              <m:sSubSupPr>
                                <m:ctrlPr>
                                  <w:rPr>
                                    <w:rFonts w:ascii="Cambria Math" w:hAnsi="Cambria Math"/>
                                  </w:rPr>
                                </m:ctrlPr>
                              </m:sSubSupPr>
                              <m:e>
                                <m:r>
                                  <m:rPr>
                                    <m:nor/>
                                  </m:rPr>
                                  <m:t>x</m:t>
                                </m:r>
                              </m:e>
                              <m:sub>
                                <m:r>
                                  <m:rPr>
                                    <m:nor/>
                                  </m:rPr>
                                  <m:t>n</m:t>
                                </m:r>
                              </m:sub>
                              <m:sup>
                                <m:r>
                                  <m:rPr>
                                    <m:nor/>
                                  </m:rPr>
                                  <m:t>1</m:t>
                                </m:r>
                              </m:sup>
                            </m:sSubSup>
                          </m:e>
                          <m:e>
                            <m:sSubSup>
                              <m:sSubSupPr>
                                <m:ctrlPr>
                                  <w:rPr>
                                    <w:rFonts w:ascii="Cambria Math" w:hAnsi="Cambria Math"/>
                                  </w:rPr>
                                </m:ctrlPr>
                              </m:sSubSupPr>
                              <m:e>
                                <m:r>
                                  <m:rPr>
                                    <m:nor/>
                                  </m:rPr>
                                  <m:t>x</m:t>
                                </m:r>
                              </m:e>
                              <m:sub>
                                <m:r>
                                  <m:rPr>
                                    <m:nor/>
                                  </m:rPr>
                                  <m:t>n</m:t>
                                </m:r>
                              </m:sub>
                              <m:sup>
                                <m:r>
                                  <m:rPr>
                                    <m:nor/>
                                  </m:rPr>
                                  <m:t>2</m:t>
                                </m:r>
                              </m:sup>
                            </m:sSubSup>
                          </m:e>
                          <m:e>
                            <m:m>
                              <m:mPr>
                                <m:mcs>
                                  <m:mc>
                                    <m:mcPr>
                                      <m:count m:val="2"/>
                                      <m:mcJc m:val="center"/>
                                    </m:mcPr>
                                  </m:mc>
                                </m:mcs>
                                <m:ctrlPr>
                                  <w:rPr>
                                    <w:rFonts w:ascii="Cambria Math" w:hAnsi="Cambria Math"/>
                                  </w:rPr>
                                </m:ctrlPr>
                              </m:mPr>
                              <m:mr>
                                <m:e>
                                  <m:r>
                                    <m:rPr>
                                      <m:nor/>
                                    </m:rPr>
                                    <w:rPr>
                                      <w:rFonts w:ascii="MS Gothic" w:eastAsia="MS Gothic" w:hAnsi="MS Gothic" w:cs="MS Gothic" w:hint="eastAsia"/>
                                    </w:rPr>
                                    <m:t>⋯</m:t>
                                  </m:r>
                                </m:e>
                                <m:e>
                                  <m:sSubSup>
                                    <m:sSubSupPr>
                                      <m:ctrlPr>
                                        <w:rPr>
                                          <w:rFonts w:ascii="Cambria Math" w:hAnsi="Cambria Math"/>
                                        </w:rPr>
                                      </m:ctrlPr>
                                    </m:sSubSupPr>
                                    <m:e>
                                      <m:r>
                                        <m:rPr>
                                          <m:nor/>
                                        </m:rPr>
                                        <m:t>x</m:t>
                                      </m:r>
                                    </m:e>
                                    <m:sub>
                                      <m:r>
                                        <m:rPr>
                                          <m:nor/>
                                        </m:rPr>
                                        <m:t>n</m:t>
                                      </m:r>
                                    </m:sub>
                                    <m:sup>
                                      <m:r>
                                        <m:rPr>
                                          <m:nor/>
                                        </m:rPr>
                                        <m:t>d</m:t>
                                      </m:r>
                                    </m:sup>
                                  </m:sSubSup>
                                </m:e>
                              </m:mr>
                            </m:m>
                          </m:e>
                        </m:mr>
                      </m:m>
                    </m:e>
                  </m:eqArr>
                </m:e>
              </m:d>
            </m:e>
          </m:mr>
        </m:m>
      </m:oMath>
      <w:r w:rsidRPr="000C5CB9">
        <w:rPr>
          <w:szCs w:val="20"/>
        </w:rPr>
        <w:tab/>
      </w:r>
      <w:r w:rsidRPr="000C5CB9">
        <w:rPr>
          <w:i w:val="0"/>
          <w:iCs/>
          <w:szCs w:val="20"/>
        </w:rPr>
        <w:t>(</w:t>
      </w:r>
      <w:r>
        <w:rPr>
          <w:rFonts w:hint="eastAsia"/>
          <w:i w:val="0"/>
          <w:iCs/>
          <w:szCs w:val="20"/>
        </w:rPr>
        <w:t>A</w:t>
      </w:r>
      <w:r>
        <w:rPr>
          <w:i w:val="0"/>
          <w:iCs/>
          <w:szCs w:val="20"/>
        </w:rPr>
        <w:t>.</w:t>
      </w:r>
      <w:r>
        <w:rPr>
          <w:i w:val="0"/>
          <w:iCs/>
          <w:szCs w:val="20"/>
        </w:rPr>
        <w:t>3</w:t>
      </w:r>
      <w:r w:rsidRPr="000C5CB9">
        <w:rPr>
          <w:i w:val="0"/>
          <w:iCs/>
          <w:szCs w:val="20"/>
        </w:rPr>
        <w:t>)</w:t>
      </w:r>
    </w:p>
    <w:p w14:paraId="444DDDB4" w14:textId="77777777" w:rsidR="00530F70" w:rsidRPr="000C5CB9" w:rsidRDefault="00530F70" w:rsidP="00530F70">
      <w:pPr>
        <w:ind w:firstLine="400"/>
      </w:pPr>
      <w:r w:rsidRPr="000C5CB9">
        <w:t>Subsequently, the positions of the various subgroups within the population are iteratively updated according to specific rules. Additionally, it is essential to monitor for any warning indicators:</w:t>
      </w:r>
    </w:p>
    <w:p w14:paraId="7A3F0E4A" w14:textId="77777777" w:rsidR="00530F70" w:rsidRPr="000C5CB9" w:rsidRDefault="00530F70" w:rsidP="00530F70">
      <w:pPr>
        <w:ind w:firstLine="400"/>
      </w:pPr>
      <w:r w:rsidRPr="000C5CB9">
        <w:rPr>
          <w:rFonts w:cs="Times New Roman" w:hint="eastAsia"/>
        </w:rPr>
        <w:t>1)</w:t>
      </w:r>
      <w:r w:rsidRPr="000C5CB9">
        <w:t>Discoverers</w:t>
      </w:r>
    </w:p>
    <w:p w14:paraId="60142D29" w14:textId="77777777" w:rsidR="00530F70" w:rsidRPr="000C5CB9" w:rsidRDefault="00530F70" w:rsidP="00530F70">
      <w:pPr>
        <w:ind w:firstLine="400"/>
      </w:pPr>
      <w:r w:rsidRPr="000C5CB9">
        <w:t>In each generation, the top</w:t>
      </w:r>
      <w:r w:rsidRPr="000C5CB9">
        <w:rPr>
          <w:rFonts w:hint="eastAsia"/>
        </w:rPr>
        <w:t xml:space="preserve"> </w:t>
      </w:r>
      <m:oMath>
        <m:sSub>
          <m:sSubPr>
            <m:ctrlPr>
              <w:rPr>
                <w:rFonts w:ascii="Cambria Math" w:hAnsi="Cambria Math" w:cs="Times New Roman"/>
                <w:i/>
              </w:rPr>
            </m:ctrlPr>
          </m:sSubPr>
          <m:e>
            <m:r>
              <m:rPr>
                <m:nor/>
              </m:rPr>
              <w:rPr>
                <w:rFonts w:cs="Times New Roman"/>
                <w:i/>
              </w:rPr>
              <m:t>P</m:t>
            </m:r>
          </m:e>
          <m:sub>
            <m:r>
              <m:rPr>
                <m:nor/>
              </m:rPr>
              <w:rPr>
                <w:rFonts w:cs="Times New Roman"/>
                <w:i/>
              </w:rPr>
              <m:t>N</m:t>
            </m:r>
          </m:sub>
        </m:sSub>
      </m:oMath>
      <w:r w:rsidRPr="000C5CB9">
        <w:rPr>
          <w:rFonts w:hint="eastAsia"/>
        </w:rPr>
        <w:t xml:space="preserve"> </w:t>
      </w:r>
      <w:r w:rsidRPr="000C5CB9">
        <w:t>sparrows with the highest fitness values are selected as discoverers. The position update formula for these discoverers is given by:</w:t>
      </w:r>
    </w:p>
    <w:p w14:paraId="0115568A" w14:textId="59FC0C5D" w:rsidR="00530F70" w:rsidRPr="000C5CB9" w:rsidRDefault="00530F70" w:rsidP="00530F70">
      <w:pPr>
        <w:pStyle w:val="MTDisplayEquation"/>
        <w:ind w:firstLine="400"/>
        <w:rPr>
          <w:i w:val="0"/>
          <w:iCs/>
          <w:szCs w:val="20"/>
        </w:rPr>
      </w:pPr>
      <w:r w:rsidRPr="000C5CB9">
        <w:rPr>
          <w:rFonts w:cstheme="minorBidi"/>
          <w:i w:val="0"/>
          <w:iCs/>
        </w:rPr>
        <w:tab/>
      </w:r>
      <m:oMath>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t+1</m:t>
            </m:r>
          </m:sup>
        </m:sSubSup>
        <m:r>
          <m:rPr>
            <m:nor/>
          </m:rPr>
          <w:rPr>
            <w:rStyle w:val="PlaceholderText"/>
            <w:color w:val="auto"/>
          </w:rPr>
          <m:t>=</m:t>
        </m:r>
        <m:d>
          <m:dPr>
            <m:begChr m:val="{"/>
            <m:endChr m:val=""/>
            <m:ctrlPr>
              <w:rPr>
                <w:rStyle w:val="PlaceholderText"/>
                <w:rFonts w:ascii="Cambria Math" w:hAnsi="Cambria Math"/>
                <w:color w:val="auto"/>
              </w:rPr>
            </m:ctrlPr>
          </m:dPr>
          <m:e>
            <m:m>
              <m:mPr>
                <m:mcs>
                  <m:mc>
                    <m:mcPr>
                      <m:count m:val="2"/>
                      <m:mcJc m:val="center"/>
                    </m:mcPr>
                  </m:mc>
                </m:mcs>
                <m:ctrlPr>
                  <w:rPr>
                    <w:rStyle w:val="PlaceholderText"/>
                    <w:rFonts w:ascii="Cambria Math" w:hAnsi="Cambria Math"/>
                    <w:color w:val="auto"/>
                  </w:rPr>
                </m:ctrlPr>
              </m:mPr>
              <m:mr>
                <m:e>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r>
                    <m:rPr>
                      <m:nor/>
                    </m:rPr>
                    <w:rPr>
                      <w:rStyle w:val="PlaceholderText"/>
                      <w:color w:val="auto"/>
                    </w:rPr>
                    <m:t>∙</m:t>
                  </m:r>
                  <m:func>
                    <m:funcPr>
                      <m:ctrlPr>
                        <w:rPr>
                          <w:rStyle w:val="PlaceholderText"/>
                          <w:rFonts w:ascii="Cambria Math" w:hAnsi="Cambria Math"/>
                          <w:color w:val="auto"/>
                        </w:rPr>
                      </m:ctrlPr>
                    </m:funcPr>
                    <m:fName>
                      <m:r>
                        <m:rPr>
                          <m:nor/>
                        </m:rPr>
                        <w:rPr>
                          <w:rStyle w:val="PlaceholderText"/>
                          <w:color w:val="auto"/>
                        </w:rPr>
                        <m:t>exp</m:t>
                      </m:r>
                    </m:fName>
                    <m:e>
                      <m:d>
                        <m:dPr>
                          <m:ctrlPr>
                            <w:rPr>
                              <w:rStyle w:val="PlaceholderText"/>
                              <w:rFonts w:ascii="Cambria Math" w:hAnsi="Cambria Math"/>
                              <w:color w:val="auto"/>
                            </w:rPr>
                          </m:ctrlPr>
                        </m:dPr>
                        <m:e>
                          <m:f>
                            <m:fPr>
                              <m:type m:val="lin"/>
                              <m:ctrlPr>
                                <w:rPr>
                                  <w:rStyle w:val="PlaceholderText"/>
                                  <w:rFonts w:ascii="Cambria Math" w:hAnsi="Cambria Math"/>
                                  <w:color w:val="auto"/>
                                </w:rPr>
                              </m:ctrlPr>
                            </m:fPr>
                            <m:num>
                              <m:r>
                                <m:rPr>
                                  <m:nor/>
                                </m:rPr>
                                <w:rPr>
                                  <w:rStyle w:val="PlaceholderText"/>
                                  <w:color w:val="auto"/>
                                </w:rPr>
                                <m:t>-</m:t>
                              </m:r>
                              <w:proofErr w:type="spellStart"/>
                              <m:r>
                                <m:rPr>
                                  <m:nor/>
                                </m:rPr>
                                <w:rPr>
                                  <w:rStyle w:val="PlaceholderText"/>
                                  <w:color w:val="auto"/>
                                </w:rPr>
                                <m:t>i</m:t>
                              </m:r>
                              <w:proofErr w:type="spellEnd"/>
                            </m:num>
                            <m:den>
                              <m:r>
                                <m:rPr>
                                  <m:nor/>
                                </m:rPr>
                                <w:rPr>
                                  <w:rStyle w:val="PlaceholderText"/>
                                  <w:color w:val="auto"/>
                                </w:rPr>
                                <m:t>α∙</m:t>
                              </m:r>
                              <m:sSub>
                                <m:sSubPr>
                                  <m:ctrlPr>
                                    <w:rPr>
                                      <w:rStyle w:val="PlaceholderText"/>
                                      <w:rFonts w:ascii="Cambria Math" w:hAnsi="Cambria Math"/>
                                      <w:color w:val="auto"/>
                                    </w:rPr>
                                  </m:ctrlPr>
                                </m:sSubPr>
                                <m:e>
                                  <m:r>
                                    <m:rPr>
                                      <m:nor/>
                                    </m:rPr>
                                    <w:rPr>
                                      <w:rStyle w:val="PlaceholderText"/>
                                      <w:color w:val="auto"/>
                                    </w:rPr>
                                    <m:t>iter</m:t>
                                  </m:r>
                                </m:e>
                                <m:sub>
                                  <m:r>
                                    <m:rPr>
                                      <m:nor/>
                                    </m:rPr>
                                    <w:rPr>
                                      <w:rStyle w:val="PlaceholderText"/>
                                      <w:color w:val="auto"/>
                                    </w:rPr>
                                    <m:t>max</m:t>
                                  </m:r>
                                </m:sub>
                              </m:sSub>
                            </m:den>
                          </m:f>
                        </m:e>
                      </m:d>
                    </m:e>
                  </m:func>
                </m:e>
                <m:e>
                  <m:sSub>
                    <m:sSubPr>
                      <m:ctrlPr>
                        <w:rPr>
                          <w:rStyle w:val="PlaceholderText"/>
                          <w:rFonts w:ascii="Cambria Math" w:hAnsi="Cambria Math"/>
                          <w:color w:val="auto"/>
                        </w:rPr>
                      </m:ctrlPr>
                    </m:sSubPr>
                    <m:e>
                      <m:r>
                        <m:rPr>
                          <m:nor/>
                        </m:rPr>
                        <w:rPr>
                          <w:rStyle w:val="PlaceholderText"/>
                          <w:color w:val="auto"/>
                        </w:rPr>
                        <m:t>R</m:t>
                      </m:r>
                    </m:e>
                    <m:sub>
                      <m:r>
                        <m:rPr>
                          <m:nor/>
                        </m:rPr>
                        <w:rPr>
                          <w:rStyle w:val="PlaceholderText"/>
                          <w:color w:val="auto"/>
                        </w:rPr>
                        <m:t>2</m:t>
                      </m:r>
                    </m:sub>
                  </m:sSub>
                  <m:r>
                    <m:rPr>
                      <m:nor/>
                    </m:rPr>
                    <w:rPr>
                      <w:rStyle w:val="PlaceholderText"/>
                      <w:color w:val="auto"/>
                    </w:rPr>
                    <m:t>&lt;ST</m:t>
                  </m:r>
                </m:e>
              </m:mr>
              <m:mr>
                <m:e>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r>
                    <m:rPr>
                      <m:nor/>
                    </m:rPr>
                    <w:rPr>
                      <w:rStyle w:val="PlaceholderText"/>
                      <w:color w:val="auto"/>
                    </w:rPr>
                    <m:t>+Q∙L</m:t>
                  </m:r>
                </m:e>
                <m:e>
                  <m:sSub>
                    <m:sSubPr>
                      <m:ctrlPr>
                        <w:rPr>
                          <w:rStyle w:val="PlaceholderText"/>
                          <w:rFonts w:ascii="Cambria Math" w:hAnsi="Cambria Math"/>
                          <w:color w:val="auto"/>
                        </w:rPr>
                      </m:ctrlPr>
                    </m:sSubPr>
                    <m:e>
                      <m:r>
                        <m:rPr>
                          <m:nor/>
                        </m:rPr>
                        <w:rPr>
                          <w:rStyle w:val="PlaceholderText"/>
                          <w:color w:val="auto"/>
                        </w:rPr>
                        <m:t>R</m:t>
                      </m:r>
                    </m:e>
                    <m:sub>
                      <m:r>
                        <m:rPr>
                          <m:nor/>
                        </m:rPr>
                        <w:rPr>
                          <w:rStyle w:val="PlaceholderText"/>
                          <w:color w:val="auto"/>
                        </w:rPr>
                        <m:t>2</m:t>
                      </m:r>
                    </m:sub>
                  </m:sSub>
                  <m:r>
                    <m:rPr>
                      <m:nor/>
                    </m:rPr>
                    <w:rPr>
                      <w:rStyle w:val="PlaceholderText"/>
                      <w:color w:val="auto"/>
                    </w:rPr>
                    <m:t>≥ST</m:t>
                  </m:r>
                </m:e>
              </m:mr>
            </m:m>
          </m:e>
        </m:d>
      </m:oMath>
      <w:r w:rsidRPr="000C5CB9">
        <w:rPr>
          <w:szCs w:val="20"/>
        </w:rPr>
        <w:tab/>
      </w:r>
      <w:r w:rsidRPr="000C5CB9">
        <w:rPr>
          <w:i w:val="0"/>
          <w:iCs/>
          <w:szCs w:val="20"/>
        </w:rPr>
        <w:t>(</w:t>
      </w:r>
      <w:r>
        <w:rPr>
          <w:rFonts w:hint="eastAsia"/>
          <w:i w:val="0"/>
          <w:iCs/>
          <w:szCs w:val="20"/>
        </w:rPr>
        <w:t>A</w:t>
      </w:r>
      <w:r>
        <w:rPr>
          <w:i w:val="0"/>
          <w:iCs/>
          <w:szCs w:val="20"/>
        </w:rPr>
        <w:t>.</w:t>
      </w:r>
      <w:r>
        <w:rPr>
          <w:i w:val="0"/>
          <w:iCs/>
          <w:szCs w:val="20"/>
        </w:rPr>
        <w:t>4</w:t>
      </w:r>
      <w:r w:rsidRPr="000C5CB9">
        <w:rPr>
          <w:i w:val="0"/>
          <w:iCs/>
          <w:szCs w:val="20"/>
        </w:rPr>
        <w:t>)</w:t>
      </w:r>
    </w:p>
    <w:p w14:paraId="2AA59B0A" w14:textId="77777777" w:rsidR="00530F70" w:rsidRPr="000C5CB9" w:rsidRDefault="00530F70" w:rsidP="00530F70">
      <w:pPr>
        <w:ind w:firstLine="400"/>
        <w:rPr>
          <w:rFonts w:cs="Times New Roman"/>
        </w:rPr>
      </w:pPr>
      <w:r w:rsidRPr="000C5CB9">
        <w:rPr>
          <w:rFonts w:cs="Times New Roman"/>
        </w:rPr>
        <w:t xml:space="preserve">where, </w:t>
      </w:r>
      <m:oMath>
        <m:sSubSup>
          <m:sSubSupPr>
            <m:ctrlPr>
              <w:rPr>
                <w:rStyle w:val="PlaceholderText"/>
                <w:rFonts w:ascii="Cambria Math" w:hAnsi="Cambria Math" w:cs="Times New Roman"/>
                <w:i/>
                <w:color w:val="auto"/>
              </w:rPr>
            </m:ctrlPr>
          </m:sSubSupPr>
          <m:e>
            <m:r>
              <m:rPr>
                <m:nor/>
              </m:rPr>
              <w:rPr>
                <w:rStyle w:val="PlaceholderText"/>
                <w:rFonts w:cs="Times New Roman"/>
                <w:i/>
                <w:color w:val="auto"/>
              </w:rPr>
              <m:t>x</m:t>
            </m:r>
          </m:e>
          <m:sub>
            <w:proofErr w:type="spellStart"/>
            <m:r>
              <m:rPr>
                <m:nor/>
              </m:rPr>
              <w:rPr>
                <w:rStyle w:val="PlaceholderText"/>
                <w:rFonts w:cs="Times New Roman"/>
                <w:i/>
                <w:color w:val="auto"/>
              </w:rPr>
              <m:t>i,j</m:t>
            </m:r>
            <w:proofErr w:type="spellEnd"/>
          </m:sub>
          <m:sup>
            <m:r>
              <m:rPr>
                <m:nor/>
              </m:rPr>
              <w:rPr>
                <w:rStyle w:val="PlaceholderText"/>
                <w:rFonts w:cs="Times New Roman"/>
                <w:i/>
                <w:color w:val="auto"/>
              </w:rPr>
              <m:t>t</m:t>
            </m:r>
          </m:sup>
        </m:sSubSup>
      </m:oMath>
      <w:r w:rsidRPr="000C5CB9">
        <w:rPr>
          <w:rStyle w:val="PlaceholderText"/>
          <w:rFonts w:cs="Times New Roman"/>
          <w:color w:val="auto"/>
        </w:rPr>
        <w:t xml:space="preserve"> represents the position information of the dimension </w:t>
      </w:r>
      <w:r w:rsidRPr="000C5CB9">
        <w:rPr>
          <w:rStyle w:val="PlaceholderText"/>
          <w:rFonts w:cs="Times New Roman"/>
          <w:i/>
          <w:iCs/>
          <w:color w:val="auto"/>
        </w:rPr>
        <w:t>j</w:t>
      </w:r>
      <w:r w:rsidRPr="000C5CB9">
        <w:rPr>
          <w:rStyle w:val="PlaceholderText"/>
          <w:rFonts w:cs="Times New Roman"/>
          <w:color w:val="auto"/>
        </w:rPr>
        <w:t xml:space="preserve"> of the individual </w:t>
      </w:r>
      <w:r w:rsidRPr="000C5CB9">
        <w:rPr>
          <w:rStyle w:val="PlaceholderText"/>
          <w:rFonts w:ascii="Cambria Math" w:hAnsi="Cambria Math" w:cs="Cambria Math"/>
          <w:color w:val="auto"/>
        </w:rPr>
        <w:t>𝑖</w:t>
      </w:r>
      <w:r w:rsidRPr="000C5CB9">
        <w:rPr>
          <w:rStyle w:val="PlaceholderText"/>
          <w:rFonts w:cs="Times New Roman"/>
          <w:color w:val="auto"/>
        </w:rPr>
        <w:t xml:space="preserve"> in the generation</w:t>
      </w:r>
      <w:r w:rsidRPr="000C5CB9">
        <w:rPr>
          <w:rStyle w:val="PlaceholderText"/>
          <w:rFonts w:ascii="Cambria Math" w:hAnsi="Cambria Math" w:cs="Cambria Math"/>
          <w:color w:val="auto"/>
        </w:rPr>
        <w:t xml:space="preserve"> </w:t>
      </w:r>
      <w:r w:rsidRPr="000C5CB9">
        <w:rPr>
          <w:rStyle w:val="PlaceholderText"/>
          <w:rFonts w:cs="Times New Roman"/>
          <w:i/>
          <w:iCs/>
          <w:color w:val="auto"/>
        </w:rPr>
        <w:t>t.</w:t>
      </w:r>
      <w:r w:rsidRPr="000C5CB9">
        <w:rPr>
          <w:rStyle w:val="PlaceholderText"/>
          <w:rFonts w:cs="Times New Roman"/>
          <w:color w:val="auto"/>
        </w:rPr>
        <w:t xml:space="preserve"> </w:t>
      </w:r>
      <w:r w:rsidRPr="000C5CB9">
        <w:rPr>
          <w:rStyle w:val="PlaceholderText"/>
          <w:rFonts w:ascii="Cambria Math" w:hAnsi="Cambria Math" w:cs="Cambria Math"/>
          <w:color w:val="auto"/>
        </w:rPr>
        <w:t>𝛼</w:t>
      </w:r>
      <w:r w:rsidRPr="000C5CB9">
        <w:rPr>
          <w:rStyle w:val="PlaceholderText"/>
          <w:rFonts w:cs="Times New Roman"/>
          <w:color w:val="auto"/>
        </w:rPr>
        <w:t xml:space="preserve"> is a uniformly distributed random number in the interval [0,1], </w:t>
      </w:r>
      <m:oMath>
        <m:r>
          <m:rPr>
            <m:nor/>
          </m:rPr>
          <w:rPr>
            <w:rStyle w:val="PlaceholderText"/>
            <w:rFonts w:cs="Times New Roman"/>
            <w:i/>
            <w:color w:val="auto"/>
          </w:rPr>
          <m:t>∙</m:t>
        </m:r>
        <m:sSub>
          <m:sSubPr>
            <m:ctrlPr>
              <w:rPr>
                <w:rStyle w:val="PlaceholderText"/>
                <w:rFonts w:ascii="Cambria Math" w:hAnsi="Cambria Math" w:cs="Times New Roman"/>
                <w:i/>
                <w:color w:val="auto"/>
              </w:rPr>
            </m:ctrlPr>
          </m:sSubPr>
          <m:e>
            <m:r>
              <m:rPr>
                <m:nor/>
              </m:rPr>
              <w:rPr>
                <w:rStyle w:val="PlaceholderText"/>
                <w:rFonts w:cs="Times New Roman"/>
                <w:i/>
                <w:color w:val="auto"/>
              </w:rPr>
              <m:t>iter</m:t>
            </m:r>
          </m:e>
          <m:sub>
            <m:r>
              <m:rPr>
                <m:nor/>
              </m:rPr>
              <w:rPr>
                <w:rStyle w:val="PlaceholderText"/>
                <w:rFonts w:cs="Times New Roman"/>
                <w:i/>
                <w:color w:val="auto"/>
              </w:rPr>
              <m:t>max</m:t>
            </m:r>
          </m:sub>
        </m:sSub>
      </m:oMath>
      <w:r w:rsidRPr="000C5CB9">
        <w:rPr>
          <w:rStyle w:val="PlaceholderText"/>
          <w:rFonts w:cs="Times New Roman"/>
          <w:color w:val="auto"/>
        </w:rPr>
        <w:t xml:space="preserve"> </w:t>
      </w:r>
      <w:r w:rsidRPr="000C5CB9">
        <w:rPr>
          <w:rFonts w:cs="Times New Roman"/>
        </w:rPr>
        <w:t xml:space="preserve">is the maximum number of iterations, </w:t>
      </w:r>
      <w:r w:rsidRPr="000C5CB9">
        <w:rPr>
          <w:rFonts w:cs="Times New Roman"/>
          <w:i/>
          <w:iCs/>
        </w:rPr>
        <w:t xml:space="preserve">Q </w:t>
      </w:r>
      <w:r w:rsidRPr="000C5CB9">
        <w:rPr>
          <w:rFonts w:cs="Times New Roman"/>
        </w:rPr>
        <w:t xml:space="preserve">is a random number following a normal distribution, and </w:t>
      </w:r>
      <w:r w:rsidRPr="000C5CB9">
        <w:rPr>
          <w:rFonts w:cs="Times New Roman"/>
          <w:i/>
          <w:iCs/>
        </w:rPr>
        <w:t>R</w:t>
      </w:r>
      <w:r w:rsidRPr="000C5CB9">
        <w:rPr>
          <w:rFonts w:cs="Times New Roman"/>
          <w:i/>
          <w:iCs/>
          <w:vertAlign w:val="subscript"/>
        </w:rPr>
        <w:t>2</w:t>
      </w:r>
      <w:r w:rsidRPr="000C5CB9">
        <w:rPr>
          <w:rFonts w:cs="Times New Roman"/>
          <w:vertAlign w:val="subscript"/>
        </w:rPr>
        <w:t xml:space="preserve"> </w:t>
      </w:r>
      <w:r w:rsidRPr="000C5CB9">
        <w:rPr>
          <w:rFonts w:cs="Times New Roman"/>
        </w:rPr>
        <w:t xml:space="preserve">is a uniformly distributed random number in the interval [0,1], representing the current warning value. </w:t>
      </w:r>
      <w:r w:rsidRPr="000C5CB9">
        <w:rPr>
          <w:rStyle w:val="mord"/>
          <w:rFonts w:cs="Times New Roman"/>
          <w:i/>
          <w:iCs/>
        </w:rPr>
        <w:t>ST</w:t>
      </w:r>
      <w:r w:rsidRPr="000C5CB9">
        <w:rPr>
          <w:rFonts w:cs="Times New Roman"/>
          <w:i/>
          <w:iCs/>
        </w:rPr>
        <w:t xml:space="preserve"> </w:t>
      </w:r>
      <w:r w:rsidRPr="000C5CB9">
        <w:rPr>
          <w:rFonts w:cs="Times New Roman"/>
        </w:rPr>
        <w:t>denotes the alert threshold.</w:t>
      </w:r>
    </w:p>
    <w:p w14:paraId="2E399D3C" w14:textId="77777777" w:rsidR="00530F70" w:rsidRPr="000C5CB9" w:rsidRDefault="00530F70" w:rsidP="00530F70">
      <w:pPr>
        <w:ind w:firstLine="400"/>
      </w:pPr>
      <w:r w:rsidRPr="000C5CB9">
        <w:rPr>
          <w:rFonts w:cs="Times New Roman" w:hint="eastAsia"/>
        </w:rPr>
        <w:t>2)</w:t>
      </w:r>
      <w:r w:rsidRPr="000C5CB9">
        <w:t xml:space="preserve"> Followers</w:t>
      </w:r>
    </w:p>
    <w:p w14:paraId="7351DA87" w14:textId="77777777" w:rsidR="00530F70" w:rsidRPr="000C5CB9" w:rsidRDefault="00530F70" w:rsidP="00530F70">
      <w:pPr>
        <w:ind w:firstLine="400"/>
        <w:rPr>
          <w:rStyle w:val="PlaceholderText"/>
          <w:rFonts w:cs="Times New Roman"/>
          <w:color w:val="auto"/>
        </w:rPr>
      </w:pPr>
      <w:r w:rsidRPr="000C5CB9">
        <w:rPr>
          <w:rStyle w:val="PlaceholderText"/>
          <w:rFonts w:cs="Times New Roman"/>
          <w:color w:val="auto"/>
        </w:rPr>
        <w:t>In addition to the discoverers, the remaining</w:t>
      </w:r>
      <w:r w:rsidRPr="000C5CB9">
        <w:rPr>
          <w:rStyle w:val="PlaceholderText"/>
          <w:rFonts w:cs="Times New Roman" w:hint="eastAsia"/>
          <w:color w:val="auto"/>
        </w:rPr>
        <w:t xml:space="preserve"> </w:t>
      </w:r>
      <w:r w:rsidRPr="000C5CB9">
        <w:rPr>
          <w:rStyle w:val="PlaceholderText"/>
          <w:rFonts w:cs="Times New Roman" w:hint="eastAsia"/>
          <w:i/>
          <w:iCs/>
          <w:color w:val="auto"/>
        </w:rPr>
        <w:t>N</w:t>
      </w:r>
      <w:r w:rsidRPr="000C5CB9">
        <w:rPr>
          <w:rStyle w:val="PlaceholderText"/>
          <w:rFonts w:cs="Times New Roman" w:hint="eastAsia"/>
          <w:color w:val="auto"/>
        </w:rPr>
        <w:t>-</w:t>
      </w:r>
      <w:r w:rsidRPr="000C5CB9">
        <w:rPr>
          <w:rStyle w:val="PlaceholderText"/>
          <w:rFonts w:cs="Times New Roman" w:hint="eastAsia"/>
          <w:i/>
          <w:iCs/>
          <w:color w:val="auto"/>
        </w:rPr>
        <w:t>P</w:t>
      </w:r>
      <w:r w:rsidRPr="000C5CB9">
        <w:rPr>
          <w:rStyle w:val="PlaceholderText"/>
          <w:rFonts w:cs="Times New Roman" w:hint="eastAsia"/>
          <w:i/>
          <w:iCs/>
          <w:color w:val="auto"/>
          <w:vertAlign w:val="subscript"/>
        </w:rPr>
        <w:t>N</w:t>
      </w:r>
      <w:r w:rsidRPr="000C5CB9">
        <w:rPr>
          <w:rStyle w:val="PlaceholderText"/>
          <w:rFonts w:cs="Times New Roman" w:hint="eastAsia"/>
          <w:color w:val="auto"/>
        </w:rPr>
        <w:t xml:space="preserve"> </w:t>
      </w:r>
      <w:r w:rsidRPr="000C5CB9">
        <w:rPr>
          <w:rStyle w:val="PlaceholderText"/>
          <w:rFonts w:cs="Times New Roman"/>
          <w:color w:val="auto"/>
        </w:rPr>
        <w:t>individuals serve as followers. The position update formula for the followers is given by:</w:t>
      </w:r>
    </w:p>
    <w:p w14:paraId="2639596E" w14:textId="007D5370" w:rsidR="00530F70" w:rsidRPr="000C5CB9" w:rsidRDefault="00530F70" w:rsidP="00530F70">
      <w:pPr>
        <w:pStyle w:val="MTDisplayEquation"/>
        <w:ind w:firstLine="400"/>
        <w:rPr>
          <w:i w:val="0"/>
          <w:iCs/>
          <w:szCs w:val="20"/>
        </w:rPr>
      </w:pPr>
      <w:r w:rsidRPr="000C5CB9">
        <w:rPr>
          <w:rFonts w:cstheme="minorBidi"/>
          <w:i w:val="0"/>
          <w:iCs/>
        </w:rPr>
        <w:tab/>
      </w:r>
      <m:oMath>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t+1</m:t>
            </m:r>
          </m:sup>
        </m:sSubSup>
        <m:r>
          <m:rPr>
            <m:nor/>
          </m:rPr>
          <w:rPr>
            <w:rStyle w:val="PlaceholderText"/>
            <w:color w:val="auto"/>
          </w:rPr>
          <m:t>=</m:t>
        </m:r>
        <m:d>
          <m:dPr>
            <m:begChr m:val="{"/>
            <m:endChr m:val=""/>
            <m:ctrlPr>
              <w:rPr>
                <w:rStyle w:val="PlaceholderText"/>
                <w:rFonts w:ascii="Cambria Math" w:hAnsi="Cambria Math"/>
                <w:color w:val="auto"/>
              </w:rPr>
            </m:ctrlPr>
          </m:dPr>
          <m:e>
            <m:m>
              <m:mPr>
                <m:mcs>
                  <m:mc>
                    <m:mcPr>
                      <m:count m:val="2"/>
                      <m:mcJc m:val="center"/>
                    </m:mcPr>
                  </m:mc>
                </m:mcs>
                <m:ctrlPr>
                  <w:rPr>
                    <w:rStyle w:val="PlaceholderText"/>
                    <w:rFonts w:ascii="Cambria Math" w:hAnsi="Cambria Math"/>
                    <w:color w:val="auto"/>
                  </w:rPr>
                </m:ctrlPr>
              </m:mPr>
              <m:mr>
                <m:e>
                  <m:r>
                    <m:rPr>
                      <m:nor/>
                    </m:rPr>
                    <w:rPr>
                      <w:rStyle w:val="PlaceholderText"/>
                      <w:color w:val="auto"/>
                    </w:rPr>
                    <m:t>Q∙</m:t>
                  </m:r>
                  <m:func>
                    <m:funcPr>
                      <m:ctrlPr>
                        <w:rPr>
                          <w:rStyle w:val="PlaceholderText"/>
                          <w:rFonts w:ascii="Cambria Math" w:hAnsi="Cambria Math"/>
                          <w:color w:val="auto"/>
                        </w:rPr>
                      </m:ctrlPr>
                    </m:funcPr>
                    <m:fName>
                      <m:r>
                        <m:rPr>
                          <m:nor/>
                        </m:rPr>
                        <w:rPr>
                          <w:rStyle w:val="PlaceholderText"/>
                          <w:color w:val="auto"/>
                        </w:rPr>
                        <m:t>exp</m:t>
                      </m:r>
                    </m:fName>
                    <m:e>
                      <m:d>
                        <m:dPr>
                          <m:begChr m:val="["/>
                          <m:endChr m:val="]"/>
                          <m:ctrlPr>
                            <w:rPr>
                              <w:rStyle w:val="PlaceholderText"/>
                              <w:rFonts w:ascii="Cambria Math" w:hAnsi="Cambria Math"/>
                              <w:color w:val="auto"/>
                            </w:rPr>
                          </m:ctrlPr>
                        </m:dPr>
                        <m:e>
                          <m:d>
                            <m:dPr>
                              <m:ctrlPr>
                                <w:rPr>
                                  <w:rStyle w:val="PlaceholderText"/>
                                  <w:rFonts w:ascii="Cambria Math" w:hAnsi="Cambria Math"/>
                                  <w:color w:val="auto"/>
                                </w:rPr>
                              </m:ctrlPr>
                            </m:dPr>
                            <m:e>
                              <m:sSubSup>
                                <m:sSubSupPr>
                                  <m:ctrlPr>
                                    <w:rPr>
                                      <w:rStyle w:val="PlaceholderText"/>
                                      <w:rFonts w:ascii="Cambria Math" w:hAnsi="Cambria Math"/>
                                      <w:color w:val="auto"/>
                                    </w:rPr>
                                  </m:ctrlPr>
                                </m:sSubSupPr>
                                <m:e>
                                  <m:r>
                                    <m:rPr>
                                      <m:nor/>
                                    </m:rPr>
                                    <w:rPr>
                                      <w:rStyle w:val="PlaceholderText"/>
                                      <w:color w:val="auto"/>
                                    </w:rPr>
                                    <m:t>x</m:t>
                                  </m:r>
                                </m:e>
                                <m:sub>
                                  <m:r>
                                    <m:rPr>
                                      <m:nor/>
                                    </m:rPr>
                                    <w:rPr>
                                      <w:rStyle w:val="PlaceholderText"/>
                                      <w:color w:val="auto"/>
                                    </w:rPr>
                                    <m:t>worst</m:t>
                                  </m:r>
                                </m:sub>
                                <m:sup>
                                  <m:r>
                                    <m:rPr>
                                      <m:nor/>
                                    </m:rPr>
                                    <w:rPr>
                                      <w:rStyle w:val="PlaceholderText"/>
                                      <w:color w:val="auto"/>
                                    </w:rPr>
                                    <m:t>t</m:t>
                                  </m:r>
                                </m:sup>
                              </m:sSubSup>
                              <m:r>
                                <m:rPr>
                                  <m:nor/>
                                </m:rPr>
                                <w:rPr>
                                  <w:rStyle w:val="PlaceholderText"/>
                                  <w:color w:val="auto"/>
                                </w:rPr>
                                <m:t>-</m:t>
                              </m:r>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e>
                          </m:d>
                          <m:r>
                            <m:rPr>
                              <m:nor/>
                            </m:rPr>
                            <w:rPr>
                              <w:rStyle w:val="PlaceholderText"/>
                              <w:color w:val="auto"/>
                            </w:rPr>
                            <m:t>/</m:t>
                          </m:r>
                          <m:sSup>
                            <m:sSupPr>
                              <m:ctrlPr>
                                <w:rPr>
                                  <w:rStyle w:val="PlaceholderText"/>
                                  <w:rFonts w:ascii="Cambria Math" w:hAnsi="Cambria Math"/>
                                  <w:color w:val="auto"/>
                                </w:rPr>
                              </m:ctrlPr>
                            </m:sSupPr>
                            <m:e>
                              <w:proofErr w:type="spellStart"/>
                              <m:r>
                                <m:rPr>
                                  <m:nor/>
                                </m:rPr>
                                <w:rPr>
                                  <w:rStyle w:val="PlaceholderText"/>
                                  <w:color w:val="auto"/>
                                </w:rPr>
                                <m:t>i</m:t>
                              </m:r>
                              <w:proofErr w:type="spellEnd"/>
                            </m:e>
                            <m:sup>
                              <m:r>
                                <m:rPr>
                                  <m:nor/>
                                </m:rPr>
                                <w:rPr>
                                  <w:rStyle w:val="PlaceholderText"/>
                                  <w:color w:val="auto"/>
                                </w:rPr>
                                <m:t>2</m:t>
                              </m:r>
                            </m:sup>
                          </m:sSup>
                        </m:e>
                      </m:d>
                    </m:e>
                  </m:func>
                </m:e>
                <m:e>
                  <w:proofErr w:type="spellStart"/>
                  <m:r>
                    <m:rPr>
                      <m:nor/>
                    </m:rPr>
                    <w:rPr>
                      <w:rStyle w:val="PlaceholderText"/>
                      <w:color w:val="auto"/>
                    </w:rPr>
                    <m:t>i</m:t>
                  </m:r>
                  <w:proofErr w:type="spellEnd"/>
                  <m:r>
                    <m:rPr>
                      <m:nor/>
                    </m:rPr>
                    <w:rPr>
                      <w:rStyle w:val="PlaceholderText"/>
                      <w:color w:val="auto"/>
                    </w:rPr>
                    <m:t>&gt;N/2</m:t>
                  </m:r>
                </m:e>
              </m:mr>
              <m:mr>
                <m:e>
                  <m:sSubSup>
                    <m:sSubSupPr>
                      <m:ctrlPr>
                        <w:rPr>
                          <w:rStyle w:val="PlaceholderText"/>
                          <w:rFonts w:ascii="Cambria Math" w:hAnsi="Cambria Math"/>
                          <w:color w:val="auto"/>
                        </w:rPr>
                      </m:ctrlPr>
                    </m:sSubSupPr>
                    <m:e>
                      <m:r>
                        <m:rPr>
                          <m:nor/>
                        </m:rPr>
                        <w:rPr>
                          <w:rStyle w:val="PlaceholderText"/>
                          <w:color w:val="auto"/>
                        </w:rPr>
                        <m:t>x</m:t>
                      </m:r>
                    </m:e>
                    <m:sub>
                      <m:r>
                        <m:rPr>
                          <m:nor/>
                        </m:rPr>
                        <w:rPr>
                          <w:rStyle w:val="PlaceholderText"/>
                          <w:color w:val="auto"/>
                        </w:rPr>
                        <m:t>p</m:t>
                      </m:r>
                    </m:sub>
                    <m:sup>
                      <m:r>
                        <m:rPr>
                          <m:nor/>
                        </m:rPr>
                        <w:rPr>
                          <w:rStyle w:val="PlaceholderText"/>
                          <w:color w:val="auto"/>
                        </w:rPr>
                        <m:t>t+1</m:t>
                      </m:r>
                    </m:sup>
                  </m:sSubSup>
                  <m:r>
                    <m:rPr>
                      <m:nor/>
                    </m:rPr>
                    <w:rPr>
                      <w:rStyle w:val="PlaceholderText"/>
                      <w:color w:val="auto"/>
                    </w:rPr>
                    <m:t>+|</m:t>
                  </m:r>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r>
                    <m:rPr>
                      <m:nor/>
                    </m:rPr>
                    <w:rPr>
                      <w:rStyle w:val="PlaceholderText"/>
                      <w:color w:val="auto"/>
                    </w:rPr>
                    <m:t>-</m:t>
                  </m:r>
                  <m:sSubSup>
                    <m:sSubSupPr>
                      <m:ctrlPr>
                        <w:rPr>
                          <w:rStyle w:val="PlaceholderText"/>
                          <w:rFonts w:ascii="Cambria Math" w:hAnsi="Cambria Math"/>
                          <w:color w:val="auto"/>
                        </w:rPr>
                      </m:ctrlPr>
                    </m:sSubSupPr>
                    <m:e>
                      <m:r>
                        <m:rPr>
                          <m:nor/>
                        </m:rPr>
                        <w:rPr>
                          <w:rStyle w:val="PlaceholderText"/>
                          <w:color w:val="auto"/>
                        </w:rPr>
                        <m:t>x</m:t>
                      </m:r>
                    </m:e>
                    <m:sub>
                      <m:r>
                        <m:rPr>
                          <m:nor/>
                        </m:rPr>
                        <w:rPr>
                          <w:rStyle w:val="PlaceholderText"/>
                          <w:color w:val="auto"/>
                        </w:rPr>
                        <m:t>p</m:t>
                      </m:r>
                    </m:sub>
                    <m:sup>
                      <m:r>
                        <m:rPr>
                          <m:nor/>
                        </m:rPr>
                        <w:rPr>
                          <w:rStyle w:val="PlaceholderText"/>
                          <w:color w:val="auto"/>
                        </w:rPr>
                        <m:t>t+1</m:t>
                      </m:r>
                    </m:sup>
                  </m:sSubSup>
                  <m:r>
                    <m:rPr>
                      <m:nor/>
                    </m:rPr>
                    <w:rPr>
                      <w:rStyle w:val="PlaceholderText"/>
                      <w:color w:val="auto"/>
                    </w:rPr>
                    <m:t>|∙</m:t>
                  </m:r>
                  <m:sSup>
                    <m:sSupPr>
                      <m:ctrlPr>
                        <w:rPr>
                          <w:rStyle w:val="PlaceholderText"/>
                          <w:rFonts w:ascii="Cambria Math" w:hAnsi="Cambria Math"/>
                          <w:color w:val="auto"/>
                        </w:rPr>
                      </m:ctrlPr>
                    </m:sSupPr>
                    <m:e>
                      <m:r>
                        <m:rPr>
                          <m:nor/>
                        </m:rPr>
                        <w:rPr>
                          <w:rStyle w:val="PlaceholderText"/>
                          <w:color w:val="auto"/>
                        </w:rPr>
                        <m:t>A</m:t>
                      </m:r>
                    </m:e>
                    <m:sup>
                      <m:r>
                        <m:rPr>
                          <m:nor/>
                        </m:rPr>
                        <w:rPr>
                          <w:rStyle w:val="PlaceholderText"/>
                          <w:color w:val="auto"/>
                        </w:rPr>
                        <m:t>+</m:t>
                      </m:r>
                    </m:sup>
                  </m:sSup>
                  <m:r>
                    <m:rPr>
                      <m:nor/>
                    </m:rPr>
                    <w:rPr>
                      <w:rStyle w:val="PlaceholderText"/>
                      <w:color w:val="auto"/>
                    </w:rPr>
                    <m:t>∙L</m:t>
                  </m:r>
                </m:e>
                <m:e>
                  <m:r>
                    <m:rPr>
                      <m:nor/>
                    </m:rPr>
                    <w:rPr>
                      <w:rStyle w:val="PlaceholderText"/>
                      <w:color w:val="auto"/>
                    </w:rPr>
                    <m:t>otherwise</m:t>
                  </m:r>
                </m:e>
              </m:mr>
            </m:m>
          </m:e>
        </m:d>
      </m:oMath>
      <w:r w:rsidRPr="000C5CB9">
        <w:rPr>
          <w:szCs w:val="20"/>
        </w:rPr>
        <w:tab/>
      </w:r>
      <w:r w:rsidRPr="000C5CB9">
        <w:rPr>
          <w:i w:val="0"/>
          <w:iCs/>
          <w:szCs w:val="20"/>
        </w:rPr>
        <w:t>(</w:t>
      </w:r>
      <w:r>
        <w:rPr>
          <w:rFonts w:hint="eastAsia"/>
          <w:i w:val="0"/>
          <w:iCs/>
          <w:szCs w:val="20"/>
        </w:rPr>
        <w:t>A</w:t>
      </w:r>
      <w:r>
        <w:rPr>
          <w:i w:val="0"/>
          <w:iCs/>
          <w:szCs w:val="20"/>
        </w:rPr>
        <w:t>.</w:t>
      </w:r>
      <w:r>
        <w:rPr>
          <w:i w:val="0"/>
          <w:iCs/>
          <w:szCs w:val="20"/>
        </w:rPr>
        <w:t>5</w:t>
      </w:r>
      <w:r w:rsidRPr="000C5CB9">
        <w:rPr>
          <w:i w:val="0"/>
          <w:iCs/>
          <w:szCs w:val="20"/>
        </w:rPr>
        <w:t>)</w:t>
      </w:r>
    </w:p>
    <w:p w14:paraId="01288DBB" w14:textId="77777777" w:rsidR="00530F70" w:rsidRPr="000C5CB9" w:rsidRDefault="00530F70" w:rsidP="00530F70">
      <w:pPr>
        <w:ind w:firstLine="400"/>
        <w:rPr>
          <w:rStyle w:val="PlaceholderText"/>
          <w:rFonts w:cs="Times New Roman"/>
          <w:color w:val="auto"/>
        </w:rPr>
      </w:pPr>
      <w:r w:rsidRPr="000C5CB9">
        <w:rPr>
          <w:rStyle w:val="PlaceholderText"/>
          <w:rFonts w:cs="Times New Roman"/>
          <w:color w:val="auto"/>
        </w:rPr>
        <w:t xml:space="preserve">where, </w:t>
      </w:r>
      <w:proofErr w:type="spellStart"/>
      <w:r w:rsidRPr="000C5CB9">
        <w:rPr>
          <w:rStyle w:val="PlaceholderText"/>
          <w:rFonts w:cs="Times New Roman"/>
          <w:i/>
          <w:iCs/>
          <w:color w:val="auto"/>
        </w:rPr>
        <w:t>x</w:t>
      </w:r>
      <w:r w:rsidRPr="000C5CB9">
        <w:rPr>
          <w:rStyle w:val="PlaceholderText"/>
          <w:rFonts w:cs="Times New Roman"/>
          <w:i/>
          <w:iCs/>
          <w:color w:val="auto"/>
          <w:vertAlign w:val="subscript"/>
        </w:rPr>
        <w:t>p</w:t>
      </w:r>
      <w:proofErr w:type="spellEnd"/>
      <w:r w:rsidRPr="000C5CB9">
        <w:rPr>
          <w:rStyle w:val="PlaceholderText"/>
          <w:rFonts w:cs="Times New Roman"/>
          <w:color w:val="auto"/>
        </w:rPr>
        <w:t xml:space="preserve"> </w:t>
      </w:r>
      <w:r w:rsidRPr="000C5CB9">
        <w:rPr>
          <w:rFonts w:cs="Times New Roman"/>
        </w:rPr>
        <w:t xml:space="preserve">represents the optimal position of the current discoverers, and </w:t>
      </w:r>
      <w:proofErr w:type="spellStart"/>
      <w:r w:rsidRPr="000C5CB9">
        <w:rPr>
          <w:rFonts w:cs="Times New Roman"/>
          <w:i/>
          <w:iCs/>
        </w:rPr>
        <w:t>x</w:t>
      </w:r>
      <w:r w:rsidRPr="000C5CB9">
        <w:rPr>
          <w:rFonts w:cs="Times New Roman"/>
          <w:i/>
          <w:iCs/>
          <w:vertAlign w:val="subscript"/>
        </w:rPr>
        <w:t>worst</w:t>
      </w:r>
      <w:proofErr w:type="spellEnd"/>
      <w:r w:rsidRPr="000C5CB9">
        <w:rPr>
          <w:rFonts w:cs="Times New Roman"/>
        </w:rPr>
        <w:t xml:space="preserve"> represents the current worst position. </w:t>
      </w:r>
      <w:r w:rsidRPr="000C5CB9">
        <w:rPr>
          <w:rStyle w:val="katex-mathml"/>
          <w:rFonts w:cs="Times New Roman"/>
          <w:i/>
          <w:iCs/>
        </w:rPr>
        <w:t>A</w:t>
      </w:r>
      <w:r w:rsidRPr="000C5CB9">
        <w:rPr>
          <w:rStyle w:val="katex-mathml"/>
          <w:rFonts w:cs="Times New Roman"/>
        </w:rPr>
        <w:t xml:space="preserve"> is a</w:t>
      </w:r>
      <w:r w:rsidRPr="000C5CB9">
        <w:rPr>
          <w:rStyle w:val="katex-mathml"/>
          <w:rFonts w:cs="Times New Roman"/>
          <w:i/>
          <w:iCs/>
        </w:rPr>
        <w:t xml:space="preserve"> 1</w:t>
      </w:r>
      <m:oMath>
        <m:r>
          <w:rPr>
            <w:rStyle w:val="katex-mathml"/>
            <w:rFonts w:ascii="Cambria Math" w:hAnsi="Cambria Math" w:cs="Times New Roman"/>
          </w:rPr>
          <m:t>×</m:t>
        </m:r>
      </m:oMath>
      <w:r w:rsidRPr="000C5CB9">
        <w:rPr>
          <w:rStyle w:val="katex-mathml"/>
          <w:rFonts w:cs="Times New Roman"/>
          <w:i/>
          <w:iCs/>
        </w:rPr>
        <w:t>D</w:t>
      </w:r>
      <w:r w:rsidRPr="000C5CB9">
        <w:rPr>
          <w:rStyle w:val="katex-mathml"/>
          <w:rFonts w:cs="Times New Roman"/>
        </w:rPr>
        <w:t xml:space="preserve"> </w:t>
      </w:r>
      <w:r w:rsidRPr="000C5CB9">
        <w:rPr>
          <w:rFonts w:cs="Times New Roman"/>
        </w:rPr>
        <w:t>matrix, with each element randomly assigned a value of 1 or -1.</w:t>
      </w:r>
    </w:p>
    <w:p w14:paraId="0BD1FE54" w14:textId="77777777" w:rsidR="00530F70" w:rsidRPr="000C5CB9" w:rsidRDefault="00530F70" w:rsidP="00530F70">
      <w:pPr>
        <w:ind w:firstLine="400"/>
        <w:rPr>
          <w:rStyle w:val="PlaceholderText"/>
          <w:rFonts w:cs="Times New Roman"/>
          <w:iCs/>
          <w:color w:val="auto"/>
        </w:rPr>
      </w:pPr>
      <w:r w:rsidRPr="000C5CB9">
        <w:rPr>
          <w:rStyle w:val="PlaceholderText"/>
          <w:rFonts w:cs="Times New Roman" w:hint="eastAsia"/>
          <w:iCs/>
          <w:color w:val="auto"/>
        </w:rPr>
        <w:t>3) Scouts</w:t>
      </w:r>
    </w:p>
    <w:p w14:paraId="12168342" w14:textId="77777777" w:rsidR="00530F70" w:rsidRPr="000C5CB9" w:rsidRDefault="00530F70" w:rsidP="00530F70">
      <w:pPr>
        <w:ind w:firstLine="400"/>
        <w:rPr>
          <w:rStyle w:val="PlaceholderText"/>
          <w:rFonts w:cs="Times New Roman"/>
          <w:iCs/>
          <w:color w:val="auto"/>
        </w:rPr>
      </w:pPr>
      <w:r w:rsidRPr="000C5CB9">
        <w:rPr>
          <w:rStyle w:val="PlaceholderText"/>
          <w:rFonts w:cs="Times New Roman"/>
          <w:iCs/>
          <w:color w:val="auto"/>
        </w:rPr>
        <w:t xml:space="preserve">Each generation randomly selects </w:t>
      </w:r>
      <w:r w:rsidRPr="000C5CB9">
        <w:rPr>
          <w:rStyle w:val="PlaceholderText"/>
          <w:rFonts w:cs="Times New Roman" w:hint="eastAsia"/>
          <w:i/>
          <w:color w:val="auto"/>
        </w:rPr>
        <w:t>S</w:t>
      </w:r>
      <w:r w:rsidRPr="000C5CB9">
        <w:rPr>
          <w:rStyle w:val="PlaceholderText"/>
          <w:rFonts w:cs="Times New Roman" w:hint="eastAsia"/>
          <w:i/>
          <w:color w:val="auto"/>
          <w:vertAlign w:val="subscript"/>
        </w:rPr>
        <w:t>D</w:t>
      </w:r>
      <w:r w:rsidRPr="000C5CB9">
        <w:rPr>
          <w:rStyle w:val="PlaceholderText"/>
          <w:rFonts w:cs="Times New Roman" w:hint="eastAsia"/>
          <w:iCs/>
          <w:color w:val="auto"/>
        </w:rPr>
        <w:t xml:space="preserve"> </w:t>
      </w:r>
      <w:r w:rsidRPr="000C5CB9">
        <w:rPr>
          <w:rStyle w:val="PlaceholderText"/>
          <w:rFonts w:cs="Times New Roman"/>
          <w:iCs/>
          <w:color w:val="auto"/>
        </w:rPr>
        <w:t>sparrows to act as scouts for early warning and exploration. The position update formula for scouts is as follows:</w:t>
      </w:r>
    </w:p>
    <w:p w14:paraId="04B63670" w14:textId="6CF5ECF6" w:rsidR="00530F70" w:rsidRPr="000C5CB9" w:rsidRDefault="00530F70" w:rsidP="00530F70">
      <w:pPr>
        <w:pStyle w:val="MTDisplayEquation"/>
        <w:ind w:firstLine="400"/>
        <w:rPr>
          <w:i w:val="0"/>
          <w:iCs/>
          <w:szCs w:val="20"/>
        </w:rPr>
      </w:pPr>
      <w:r w:rsidRPr="000C5CB9">
        <w:rPr>
          <w:rFonts w:cstheme="minorBidi"/>
          <w:i w:val="0"/>
          <w:iCs/>
        </w:rPr>
        <w:tab/>
      </w:r>
      <m:oMath>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t+1</m:t>
            </m:r>
          </m:sup>
        </m:sSubSup>
        <m:r>
          <m:rPr>
            <m:nor/>
          </m:rPr>
          <w:rPr>
            <w:rStyle w:val="PlaceholderText"/>
            <w:color w:val="auto"/>
          </w:rPr>
          <m:t>=</m:t>
        </m:r>
        <m:d>
          <m:dPr>
            <m:begChr m:val="{"/>
            <m:endChr m:val=""/>
            <m:ctrlPr>
              <w:rPr>
                <w:rStyle w:val="PlaceholderText"/>
                <w:rFonts w:ascii="Cambria Math" w:hAnsi="Cambria Math"/>
                <w:color w:val="auto"/>
              </w:rPr>
            </m:ctrlPr>
          </m:dPr>
          <m:e>
            <m:m>
              <m:mPr>
                <m:mcs>
                  <m:mc>
                    <m:mcPr>
                      <m:count m:val="2"/>
                      <m:mcJc m:val="center"/>
                    </m:mcPr>
                  </m:mc>
                </m:mcs>
                <m:ctrlPr>
                  <w:rPr>
                    <w:rStyle w:val="PlaceholderText"/>
                    <w:rFonts w:ascii="Cambria Math" w:hAnsi="Cambria Math"/>
                    <w:color w:val="auto"/>
                  </w:rPr>
                </m:ctrlPr>
              </m:mPr>
              <m:mr>
                <m:e>
                  <m:sSubSup>
                    <m:sSubSupPr>
                      <m:ctrlPr>
                        <w:rPr>
                          <w:rStyle w:val="PlaceholderText"/>
                          <w:rFonts w:ascii="Cambria Math" w:hAnsi="Cambria Math"/>
                          <w:color w:val="auto"/>
                        </w:rPr>
                      </m:ctrlPr>
                    </m:sSubSupPr>
                    <m:e>
                      <m:r>
                        <m:rPr>
                          <m:nor/>
                        </m:rPr>
                        <w:rPr>
                          <w:rStyle w:val="PlaceholderText"/>
                          <w:color w:val="auto"/>
                        </w:rPr>
                        <m:t>x</m:t>
                      </m:r>
                    </m:e>
                    <m:sub>
                      <m:r>
                        <m:rPr>
                          <m:nor/>
                        </m:rPr>
                        <w:rPr>
                          <w:rStyle w:val="PlaceholderText"/>
                          <w:color w:val="auto"/>
                        </w:rPr>
                        <m:t>best</m:t>
                      </m:r>
                    </m:sub>
                    <m:sup>
                      <m:r>
                        <m:rPr>
                          <m:nor/>
                        </m:rPr>
                        <w:rPr>
                          <w:rStyle w:val="PlaceholderText"/>
                          <w:color w:val="auto"/>
                        </w:rPr>
                        <m:t>t</m:t>
                      </m:r>
                    </m:sup>
                  </m:sSubSup>
                  <m:r>
                    <m:rPr>
                      <m:nor/>
                    </m:rPr>
                    <w:rPr>
                      <w:rStyle w:val="PlaceholderText"/>
                      <w:color w:val="auto"/>
                    </w:rPr>
                    <m:t>+β∙|</m:t>
                  </m:r>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r>
                    <m:rPr>
                      <m:nor/>
                    </m:rPr>
                    <w:rPr>
                      <w:rStyle w:val="PlaceholderText"/>
                      <w:color w:val="auto"/>
                    </w:rPr>
                    <m:t>-</m:t>
                  </m:r>
                  <m:sSubSup>
                    <m:sSubSupPr>
                      <m:ctrlPr>
                        <w:rPr>
                          <w:rStyle w:val="PlaceholderText"/>
                          <w:rFonts w:ascii="Cambria Math" w:hAnsi="Cambria Math"/>
                          <w:color w:val="auto"/>
                        </w:rPr>
                      </m:ctrlPr>
                    </m:sSubSupPr>
                    <m:e>
                      <m:r>
                        <m:rPr>
                          <m:nor/>
                        </m:rPr>
                        <w:rPr>
                          <w:rStyle w:val="PlaceholderText"/>
                          <w:color w:val="auto"/>
                        </w:rPr>
                        <m:t>x</m:t>
                      </m:r>
                    </m:e>
                    <m:sub>
                      <m:r>
                        <m:rPr>
                          <m:nor/>
                        </m:rPr>
                        <w:rPr>
                          <w:rStyle w:val="PlaceholderText"/>
                          <w:color w:val="auto"/>
                        </w:rPr>
                        <m:t>best</m:t>
                      </m:r>
                    </m:sub>
                    <m:sup>
                      <m:r>
                        <m:rPr>
                          <m:nor/>
                        </m:rPr>
                        <w:rPr>
                          <w:rStyle w:val="PlaceholderText"/>
                          <w:color w:val="auto"/>
                        </w:rPr>
                        <m:t>t</m:t>
                      </m:r>
                    </m:sup>
                  </m:sSubSup>
                  <m:r>
                    <m:rPr>
                      <m:nor/>
                    </m:rPr>
                    <w:rPr>
                      <w:rStyle w:val="PlaceholderText"/>
                      <w:color w:val="auto"/>
                    </w:rPr>
                    <m:t>|</m:t>
                  </m:r>
                </m:e>
                <m:e>
                  <m:sSub>
                    <m:sSubPr>
                      <m:ctrlPr>
                        <w:rPr>
                          <w:rStyle w:val="PlaceholderText"/>
                          <w:rFonts w:ascii="Cambria Math" w:hAnsi="Cambria Math"/>
                          <w:color w:val="auto"/>
                        </w:rPr>
                      </m:ctrlPr>
                    </m:sSubPr>
                    <m:e>
                      <m:r>
                        <m:rPr>
                          <m:nor/>
                        </m:rPr>
                        <w:rPr>
                          <w:rStyle w:val="PlaceholderText"/>
                          <w:color w:val="auto"/>
                        </w:rPr>
                        <m:t>f</m:t>
                      </m:r>
                    </m:e>
                    <m:sub>
                      <w:proofErr w:type="spellStart"/>
                      <m:r>
                        <m:rPr>
                          <m:nor/>
                        </m:rPr>
                        <w:rPr>
                          <w:rStyle w:val="PlaceholderText"/>
                          <w:color w:val="auto"/>
                        </w:rPr>
                        <m:t>i</m:t>
                      </m:r>
                      <w:proofErr w:type="spellEnd"/>
                    </m:sub>
                  </m:sSub>
                  <m:r>
                    <m:rPr>
                      <m:nor/>
                    </m:rPr>
                    <w:rPr>
                      <w:rStyle w:val="PlaceholderText"/>
                      <w:color w:val="auto"/>
                    </w:rPr>
                    <m:t>&gt;</m:t>
                  </m:r>
                  <m:sSub>
                    <m:sSubPr>
                      <m:ctrlPr>
                        <w:rPr>
                          <w:rStyle w:val="PlaceholderText"/>
                          <w:rFonts w:ascii="Cambria Math" w:hAnsi="Cambria Math"/>
                          <w:color w:val="auto"/>
                        </w:rPr>
                      </m:ctrlPr>
                    </m:sSubPr>
                    <m:e>
                      <m:r>
                        <m:rPr>
                          <m:nor/>
                        </m:rPr>
                        <w:rPr>
                          <w:rStyle w:val="PlaceholderText"/>
                          <w:color w:val="auto"/>
                        </w:rPr>
                        <m:t>f</m:t>
                      </m:r>
                    </m:e>
                    <m:sub>
                      <m:r>
                        <m:rPr>
                          <m:nor/>
                        </m:rPr>
                        <w:rPr>
                          <w:rStyle w:val="PlaceholderText"/>
                          <w:color w:val="auto"/>
                        </w:rPr>
                        <m:t>g</m:t>
                      </m:r>
                    </m:sub>
                  </m:sSub>
                </m:e>
              </m:mr>
              <m:mr>
                <m:e>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r>
                    <m:rPr>
                      <m:nor/>
                    </m:rPr>
                    <w:rPr>
                      <w:rStyle w:val="PlaceholderText"/>
                      <w:color w:val="auto"/>
                    </w:rPr>
                    <m:t>+K∙</m:t>
                  </m:r>
                  <m:d>
                    <m:dPr>
                      <m:begChr m:val="["/>
                      <m:endChr m:val="]"/>
                      <m:ctrlPr>
                        <w:rPr>
                          <w:rStyle w:val="PlaceholderText"/>
                          <w:rFonts w:ascii="Cambria Math" w:hAnsi="Cambria Math"/>
                          <w:color w:val="auto"/>
                        </w:rPr>
                      </m:ctrlPr>
                    </m:dPr>
                    <m:e>
                      <m:d>
                        <m:dPr>
                          <m:ctrlPr>
                            <w:rPr>
                              <w:rStyle w:val="PlaceholderText"/>
                              <w:rFonts w:ascii="Cambria Math" w:hAnsi="Cambria Math"/>
                              <w:color w:val="auto"/>
                            </w:rPr>
                          </m:ctrlPr>
                        </m:dPr>
                        <m:e>
                          <m:sSubSup>
                            <m:sSubSupPr>
                              <m:ctrlPr>
                                <w:rPr>
                                  <w:rStyle w:val="PlaceholderText"/>
                                  <w:rFonts w:ascii="Cambria Math" w:hAnsi="Cambria Math"/>
                                  <w:color w:val="auto"/>
                                </w:rPr>
                              </m:ctrlPr>
                            </m:sSubSupPr>
                            <m:e>
                              <m:sSubSup>
                                <m:sSubSupPr>
                                  <m:ctrlPr>
                                    <w:rPr>
                                      <w:rStyle w:val="PlaceholderText"/>
                                      <w:rFonts w:ascii="Cambria Math" w:hAnsi="Cambria Math"/>
                                      <w:color w:val="auto"/>
                                    </w:rPr>
                                  </m:ctrlPr>
                                </m:sSubSupPr>
                                <m:e>
                                  <m:r>
                                    <m:rPr>
                                      <m:nor/>
                                    </m:rPr>
                                    <w:rPr>
                                      <w:rStyle w:val="PlaceholderText"/>
                                      <w:color w:val="auto"/>
                                    </w:rPr>
                                    <m:t>x</m:t>
                                  </m:r>
                                </m:e>
                                <m:sub>
                                  <w:proofErr w:type="spellStart"/>
                                  <m:r>
                                    <m:rPr>
                                      <m:nor/>
                                    </m:rPr>
                                    <w:rPr>
                                      <w:rStyle w:val="PlaceholderText"/>
                                      <w:color w:val="auto"/>
                                    </w:rPr>
                                    <m:t>i,j</m:t>
                                  </m:r>
                                  <w:proofErr w:type="spellEnd"/>
                                </m:sub>
                                <m:sup>
                                  <m:r>
                                    <m:rPr>
                                      <m:nor/>
                                    </m:rPr>
                                    <w:rPr>
                                      <w:rStyle w:val="PlaceholderText"/>
                                      <w:color w:val="auto"/>
                                    </w:rPr>
                                    <m:t>t</m:t>
                                  </m:r>
                                </m:sup>
                              </m:sSubSup>
                              <m:r>
                                <m:rPr>
                                  <m:nor/>
                                </m:rPr>
                                <w:rPr>
                                  <w:rStyle w:val="PlaceholderText"/>
                                  <w:color w:val="auto"/>
                                </w:rPr>
                                <m:t>-x</m:t>
                              </m:r>
                            </m:e>
                            <m:sub>
                              <m:r>
                                <m:rPr>
                                  <m:nor/>
                                </m:rPr>
                                <w:rPr>
                                  <w:rStyle w:val="PlaceholderText"/>
                                  <w:color w:val="auto"/>
                                </w:rPr>
                                <m:t>worst</m:t>
                              </m:r>
                            </m:sub>
                            <m:sup>
                              <m:r>
                                <m:rPr>
                                  <m:nor/>
                                </m:rPr>
                                <w:rPr>
                                  <w:rStyle w:val="PlaceholderText"/>
                                  <w:color w:val="auto"/>
                                </w:rPr>
                                <m:t>t</m:t>
                              </m:r>
                            </m:sup>
                          </m:sSubSup>
                        </m:e>
                      </m:d>
                      <m:r>
                        <m:rPr>
                          <m:nor/>
                        </m:rPr>
                        <w:rPr>
                          <w:rStyle w:val="PlaceholderText"/>
                          <w:color w:val="auto"/>
                        </w:rPr>
                        <m:t>/</m:t>
                      </m:r>
                      <m:d>
                        <m:dPr>
                          <m:ctrlPr>
                            <w:rPr>
                              <w:rStyle w:val="PlaceholderText"/>
                              <w:rFonts w:ascii="Cambria Math" w:hAnsi="Cambria Math"/>
                              <w:color w:val="auto"/>
                            </w:rPr>
                          </m:ctrlPr>
                        </m:dPr>
                        <m:e>
                          <m:sSub>
                            <m:sSubPr>
                              <m:ctrlPr>
                                <w:rPr>
                                  <w:rStyle w:val="PlaceholderText"/>
                                  <w:rFonts w:ascii="Cambria Math" w:hAnsi="Cambria Math"/>
                                  <w:color w:val="auto"/>
                                </w:rPr>
                              </m:ctrlPr>
                            </m:sSubPr>
                            <m:e>
                              <m:r>
                                <m:rPr>
                                  <m:nor/>
                                </m:rPr>
                                <w:rPr>
                                  <w:rStyle w:val="PlaceholderText"/>
                                  <w:color w:val="auto"/>
                                </w:rPr>
                                <m:t>f</m:t>
                              </m:r>
                            </m:e>
                            <m:sub>
                              <w:proofErr w:type="spellStart"/>
                              <m:r>
                                <m:rPr>
                                  <m:nor/>
                                </m:rPr>
                                <w:rPr>
                                  <w:rStyle w:val="PlaceholderText"/>
                                  <w:color w:val="auto"/>
                                </w:rPr>
                                <m:t>i</m:t>
                              </m:r>
                              <w:proofErr w:type="spellEnd"/>
                            </m:sub>
                          </m:sSub>
                          <m:r>
                            <m:rPr>
                              <m:nor/>
                            </m:rPr>
                            <w:rPr>
                              <w:rStyle w:val="PlaceholderText"/>
                              <w:color w:val="auto"/>
                            </w:rPr>
                            <m:t>-</m:t>
                          </m:r>
                          <m:sSub>
                            <m:sSubPr>
                              <m:ctrlPr>
                                <w:rPr>
                                  <w:rStyle w:val="PlaceholderText"/>
                                  <w:rFonts w:ascii="Cambria Math" w:hAnsi="Cambria Math"/>
                                  <w:color w:val="auto"/>
                                </w:rPr>
                              </m:ctrlPr>
                            </m:sSubPr>
                            <m:e>
                              <m:r>
                                <m:rPr>
                                  <m:nor/>
                                </m:rPr>
                                <w:rPr>
                                  <w:rStyle w:val="PlaceholderText"/>
                                  <w:color w:val="auto"/>
                                </w:rPr>
                                <m:t>f</m:t>
                              </m:r>
                            </m:e>
                            <m:sub>
                              <m:r>
                                <m:rPr>
                                  <m:nor/>
                                </m:rPr>
                                <w:rPr>
                                  <w:rStyle w:val="PlaceholderText"/>
                                  <w:color w:val="auto"/>
                                </w:rPr>
                                <m:t>w</m:t>
                              </m:r>
                            </m:sub>
                          </m:sSub>
                          <m:r>
                            <m:rPr>
                              <m:nor/>
                            </m:rPr>
                            <w:rPr>
                              <w:rStyle w:val="PlaceholderText"/>
                              <w:color w:val="auto"/>
                            </w:rPr>
                            <m:t>+ε</m:t>
                          </m:r>
                        </m:e>
                      </m:d>
                    </m:e>
                  </m:d>
                </m:e>
                <m:e>
                  <m:sSub>
                    <m:sSubPr>
                      <m:ctrlPr>
                        <w:rPr>
                          <w:rStyle w:val="PlaceholderText"/>
                          <w:rFonts w:ascii="Cambria Math" w:hAnsi="Cambria Math"/>
                          <w:color w:val="auto"/>
                        </w:rPr>
                      </m:ctrlPr>
                    </m:sSubPr>
                    <m:e>
                      <m:r>
                        <m:rPr>
                          <m:nor/>
                        </m:rPr>
                        <w:rPr>
                          <w:rStyle w:val="PlaceholderText"/>
                          <w:color w:val="auto"/>
                        </w:rPr>
                        <m:t>f</m:t>
                      </m:r>
                    </m:e>
                    <m:sub>
                      <w:proofErr w:type="spellStart"/>
                      <m:r>
                        <m:rPr>
                          <m:nor/>
                        </m:rPr>
                        <w:rPr>
                          <w:rStyle w:val="PlaceholderText"/>
                          <w:color w:val="auto"/>
                        </w:rPr>
                        <m:t>i</m:t>
                      </m:r>
                      <w:proofErr w:type="spellEnd"/>
                    </m:sub>
                  </m:sSub>
                  <m:r>
                    <m:rPr>
                      <m:nor/>
                    </m:rPr>
                    <w:rPr>
                      <w:rStyle w:val="PlaceholderText"/>
                      <w:color w:val="auto"/>
                    </w:rPr>
                    <m:t>=</m:t>
                  </m:r>
                  <m:sSub>
                    <m:sSubPr>
                      <m:ctrlPr>
                        <w:rPr>
                          <w:rStyle w:val="PlaceholderText"/>
                          <w:rFonts w:ascii="Cambria Math" w:hAnsi="Cambria Math"/>
                          <w:color w:val="auto"/>
                        </w:rPr>
                      </m:ctrlPr>
                    </m:sSubPr>
                    <m:e>
                      <m:r>
                        <m:rPr>
                          <m:nor/>
                        </m:rPr>
                        <w:rPr>
                          <w:rStyle w:val="PlaceholderText"/>
                          <w:color w:val="auto"/>
                        </w:rPr>
                        <m:t>f</m:t>
                      </m:r>
                    </m:e>
                    <m:sub>
                      <m:r>
                        <m:rPr>
                          <m:nor/>
                        </m:rPr>
                        <w:rPr>
                          <w:rStyle w:val="PlaceholderText"/>
                          <w:color w:val="auto"/>
                        </w:rPr>
                        <m:t>g</m:t>
                      </m:r>
                    </m:sub>
                  </m:sSub>
                </m:e>
              </m:mr>
            </m:m>
          </m:e>
        </m:d>
      </m:oMath>
      <w:r w:rsidRPr="000C5CB9">
        <w:rPr>
          <w:szCs w:val="20"/>
        </w:rPr>
        <w:tab/>
      </w:r>
      <w:r w:rsidRPr="000C5CB9">
        <w:rPr>
          <w:i w:val="0"/>
          <w:iCs/>
          <w:szCs w:val="20"/>
        </w:rPr>
        <w:t>(</w:t>
      </w:r>
      <w:r>
        <w:rPr>
          <w:rFonts w:hint="eastAsia"/>
          <w:i w:val="0"/>
          <w:iCs/>
          <w:szCs w:val="20"/>
        </w:rPr>
        <w:t>A</w:t>
      </w:r>
      <w:r>
        <w:rPr>
          <w:i w:val="0"/>
          <w:iCs/>
          <w:szCs w:val="20"/>
        </w:rPr>
        <w:t>.</w:t>
      </w:r>
      <w:r>
        <w:rPr>
          <w:i w:val="0"/>
          <w:iCs/>
          <w:szCs w:val="20"/>
        </w:rPr>
        <w:t>6</w:t>
      </w:r>
      <w:r w:rsidRPr="000C5CB9">
        <w:rPr>
          <w:i w:val="0"/>
          <w:iCs/>
          <w:szCs w:val="20"/>
        </w:rPr>
        <w:t>)</w:t>
      </w:r>
    </w:p>
    <w:p w14:paraId="5D530C0A" w14:textId="33600C5A" w:rsidR="00530F70" w:rsidRPr="000C5CB9" w:rsidRDefault="00530F70" w:rsidP="00530F70">
      <w:pPr>
        <w:ind w:firstLine="400"/>
        <w:rPr>
          <w:rFonts w:cs="Times New Roman"/>
        </w:rPr>
      </w:pPr>
      <w:r w:rsidRPr="000C5CB9">
        <w:rPr>
          <w:rFonts w:cs="Times New Roman" w:hint="eastAsia"/>
        </w:rPr>
        <w:lastRenderedPageBreak/>
        <w:t>In the Equal (</w:t>
      </w:r>
      <w:r w:rsidRPr="00530F70">
        <w:rPr>
          <w:rFonts w:hint="eastAsia"/>
          <w:szCs w:val="20"/>
        </w:rPr>
        <w:t>A</w:t>
      </w:r>
      <w:r w:rsidRPr="00530F70">
        <w:rPr>
          <w:szCs w:val="20"/>
        </w:rPr>
        <w:t>.</w:t>
      </w:r>
      <w:r w:rsidRPr="00530F70">
        <w:rPr>
          <w:szCs w:val="20"/>
        </w:rPr>
        <w:t>6</w:t>
      </w:r>
      <w:r w:rsidRPr="000C5CB9">
        <w:rPr>
          <w:rFonts w:cs="Times New Roman" w:hint="eastAsia"/>
        </w:rPr>
        <w:t xml:space="preserve">), </w:t>
      </w:r>
      <w:proofErr w:type="spellStart"/>
      <w:r w:rsidRPr="000C5CB9">
        <w:rPr>
          <w:rFonts w:cs="Times New Roman"/>
          <w:i/>
          <w:iCs/>
        </w:rPr>
        <w:t>x</w:t>
      </w:r>
      <w:r w:rsidRPr="000C5CB9">
        <w:rPr>
          <w:rFonts w:cs="Times New Roman" w:hint="eastAsia"/>
          <w:i/>
          <w:iCs/>
          <w:vertAlign w:val="subscript"/>
        </w:rPr>
        <w:t>be</w:t>
      </w:r>
      <w:r w:rsidRPr="000C5CB9">
        <w:rPr>
          <w:rFonts w:cs="Times New Roman"/>
          <w:i/>
          <w:iCs/>
          <w:vertAlign w:val="subscript"/>
        </w:rPr>
        <w:t>st</w:t>
      </w:r>
      <w:proofErr w:type="spellEnd"/>
      <w:r w:rsidRPr="000C5CB9">
        <w:rPr>
          <w:rFonts w:cs="Times New Roman" w:hint="eastAsia"/>
        </w:rPr>
        <w:t xml:space="preserve"> </w:t>
      </w:r>
      <w:r w:rsidRPr="000C5CB9">
        <w:t xml:space="preserve">denotes the current global optimal position, </w:t>
      </w:r>
      <w:r w:rsidRPr="000C5CB9">
        <w:rPr>
          <w:rStyle w:val="mord"/>
          <w:i/>
          <w:iCs/>
        </w:rPr>
        <w:t>β</w:t>
      </w:r>
      <w:r w:rsidRPr="000C5CB9">
        <w:t xml:space="preserve"> is the step control parameter,</w:t>
      </w:r>
      <w:r w:rsidRPr="000C5CB9">
        <w:rPr>
          <w:rFonts w:hint="eastAsia"/>
        </w:rPr>
        <w:t xml:space="preserve"> </w:t>
      </w:r>
      <w:r w:rsidRPr="000C5CB9">
        <w:rPr>
          <w:rFonts w:hint="eastAsia"/>
          <w:i/>
          <w:iCs/>
        </w:rPr>
        <w:t>K</w:t>
      </w:r>
      <w:r w:rsidRPr="000C5CB9">
        <w:t xml:space="preserve"> is a random number in the interval [-1,1],</w:t>
      </w:r>
      <w:r w:rsidRPr="000C5CB9">
        <w:rPr>
          <w:rFonts w:hint="eastAsia"/>
        </w:rPr>
        <w:t xml:space="preserve"> </w:t>
      </w:r>
      <w:r w:rsidRPr="000C5CB9">
        <w:rPr>
          <w:rFonts w:hint="eastAsia"/>
          <w:i/>
          <w:iCs/>
        </w:rPr>
        <w:t>f</w:t>
      </w:r>
      <w:r w:rsidRPr="000C5CB9">
        <w:rPr>
          <w:rFonts w:hint="eastAsia"/>
          <w:i/>
          <w:iCs/>
          <w:vertAlign w:val="subscript"/>
        </w:rPr>
        <w:t>i</w:t>
      </w:r>
      <w:r w:rsidRPr="000C5CB9">
        <w:rPr>
          <w:rFonts w:hint="eastAsia"/>
        </w:rPr>
        <w:t xml:space="preserve"> </w:t>
      </w:r>
      <w:r w:rsidRPr="000C5CB9">
        <w:t>represents the fitness value of the</w:t>
      </w:r>
      <w:r w:rsidRPr="000C5CB9">
        <w:rPr>
          <w:rFonts w:hint="eastAsia"/>
        </w:rPr>
        <w:t xml:space="preserve"> </w:t>
      </w:r>
      <w:r w:rsidRPr="000C5CB9">
        <w:t>sparrow</w:t>
      </w:r>
      <w:r w:rsidRPr="000C5CB9">
        <w:rPr>
          <w:rFonts w:hint="eastAsia"/>
        </w:rPr>
        <w:t xml:space="preserve"> </w:t>
      </w:r>
      <w:proofErr w:type="spellStart"/>
      <w:r w:rsidRPr="000C5CB9">
        <w:rPr>
          <w:rFonts w:hint="eastAsia"/>
          <w:i/>
          <w:iCs/>
        </w:rPr>
        <w:t>i</w:t>
      </w:r>
      <w:proofErr w:type="spellEnd"/>
      <w:r w:rsidRPr="000C5CB9">
        <w:t>, and</w:t>
      </w:r>
      <w:r w:rsidRPr="000C5CB9">
        <w:rPr>
          <w:rFonts w:hint="eastAsia"/>
        </w:rPr>
        <w:t xml:space="preserve"> </w:t>
      </w:r>
      <w:proofErr w:type="spellStart"/>
      <w:r w:rsidRPr="000C5CB9">
        <w:rPr>
          <w:rFonts w:hint="eastAsia"/>
          <w:i/>
          <w:iCs/>
        </w:rPr>
        <w:t>f</w:t>
      </w:r>
      <w:r w:rsidRPr="000C5CB9">
        <w:rPr>
          <w:rFonts w:hint="eastAsia"/>
          <w:i/>
          <w:iCs/>
          <w:vertAlign w:val="subscript"/>
        </w:rPr>
        <w:t>g</w:t>
      </w:r>
      <w:proofErr w:type="spellEnd"/>
      <w:r w:rsidRPr="000C5CB9">
        <w:rPr>
          <w:rFonts w:hint="eastAsia"/>
          <w:i/>
          <w:iCs/>
        </w:rPr>
        <w:t xml:space="preserve"> </w:t>
      </w:r>
      <w:r w:rsidRPr="000C5CB9">
        <w:rPr>
          <w:rFonts w:hint="eastAsia"/>
        </w:rPr>
        <w:t xml:space="preserve">and </w:t>
      </w:r>
      <w:proofErr w:type="spellStart"/>
      <w:r w:rsidRPr="000C5CB9">
        <w:rPr>
          <w:rFonts w:hint="eastAsia"/>
          <w:i/>
          <w:iCs/>
        </w:rPr>
        <w:t>f</w:t>
      </w:r>
      <w:r w:rsidRPr="000C5CB9">
        <w:rPr>
          <w:rFonts w:hint="eastAsia"/>
          <w:i/>
          <w:iCs/>
          <w:vertAlign w:val="subscript"/>
        </w:rPr>
        <w:t>w</w:t>
      </w:r>
      <w:proofErr w:type="spellEnd"/>
      <w:r w:rsidRPr="000C5CB9">
        <w:rPr>
          <w:rFonts w:hint="eastAsia"/>
        </w:rPr>
        <w:t xml:space="preserve"> are the</w:t>
      </w:r>
      <w:r w:rsidRPr="000C5CB9">
        <w:t xml:space="preserve"> global best and worst fitness values, respectively.</w:t>
      </w:r>
    </w:p>
    <w:p w14:paraId="5601B74E" w14:textId="77777777" w:rsidR="00530F70" w:rsidRPr="000C5CB9" w:rsidRDefault="00530F70" w:rsidP="00530F70">
      <w:pPr>
        <w:ind w:firstLine="400"/>
        <w:rPr>
          <w:rFonts w:cs="Times New Roman"/>
          <w:i/>
        </w:rPr>
      </w:pPr>
      <w:r w:rsidRPr="000C5CB9">
        <w:t>Upon completing the specified number of iterations, the final optimal solution is derived and subsequently integrated into the GRU neural network for parameter optimization and testing</w:t>
      </w:r>
      <w:r w:rsidRPr="000C5CB9">
        <w:rPr>
          <w:rFonts w:hint="eastAsia"/>
        </w:rPr>
        <w:t xml:space="preserve">. </w:t>
      </w:r>
    </w:p>
    <w:p w14:paraId="1A862E89" w14:textId="77777777" w:rsidR="00530F70" w:rsidRDefault="00530F70">
      <w:pPr>
        <w:rPr>
          <w:rFonts w:hint="eastAsia"/>
        </w:rPr>
      </w:pPr>
    </w:p>
    <w:p w14:paraId="736E45F3" w14:textId="566F1641" w:rsidR="004324F2" w:rsidRPr="003F2970" w:rsidRDefault="00530F70" w:rsidP="003F2970">
      <w:pPr>
        <w:pStyle w:val="Heading1"/>
        <w:rPr>
          <w:rFonts w:hint="eastAsia"/>
        </w:rPr>
      </w:pPr>
      <w:r>
        <w:rPr>
          <w:rFonts w:hint="eastAsia"/>
        </w:rPr>
        <w:t>3</w:t>
      </w:r>
      <w:r w:rsidR="003F2970">
        <w:rPr>
          <w:rFonts w:hint="eastAsia"/>
        </w:rPr>
        <w:t xml:space="preserve">. </w:t>
      </w:r>
      <w:r w:rsidR="003F2970" w:rsidRPr="00C73C51">
        <w:t>Validation</w:t>
      </w:r>
      <w:r w:rsidR="003F2970">
        <w:rPr>
          <w:rFonts w:hint="eastAsia"/>
        </w:rPr>
        <w:t xml:space="preserve"> Tests</w:t>
      </w:r>
      <w:r w:rsidR="003F2970">
        <w:rPr>
          <w:rFonts w:hint="eastAsia"/>
        </w:rPr>
        <w:t xml:space="preserve"> of Predict Models</w:t>
      </w:r>
    </w:p>
    <w:p w14:paraId="2A93ADBF" w14:textId="29C35FB9" w:rsidR="003F2970" w:rsidRDefault="003F2970" w:rsidP="003F2970">
      <w:pPr>
        <w:ind w:firstLineChars="200" w:firstLine="440"/>
      </w:pPr>
      <w:r w:rsidRPr="003F2970">
        <w:t xml:space="preserve">Table A.2 reports the validation performance of the two SSA-based recurrent architectures considered in this study (SSA-LSTM and SSA-GRU) using RMSE, MAE, and </w:t>
      </w:r>
      <w:r w:rsidRPr="00600487">
        <w:rPr>
          <w:rFonts w:eastAsia="SimSun" w:cs="Times New Roman"/>
          <w:color w:val="000000" w:themeColor="text1"/>
        </w:rPr>
        <w:t>R</w:t>
      </w:r>
      <w:r w:rsidRPr="00600487">
        <w:rPr>
          <w:rFonts w:eastAsia="SimSun" w:cs="Times New Roman"/>
          <w:color w:val="000000" w:themeColor="text1"/>
          <w:vertAlign w:val="superscript"/>
        </w:rPr>
        <w:t>2</w:t>
      </w:r>
      <w:r w:rsidRPr="003F2970">
        <w:t>. The SSA-GRU achieves substantially lower prediction errors (RMSE = 0.017; MAE = 0.013) than the SSA-LSTM (RMSE = 0.060; MAE = 0.047), indicating more accurate and stable out-of-sample fitting. In addition, SSA-GRU yields a positive coefficient of determination (</w:t>
      </w:r>
      <w:r w:rsidRPr="00600487">
        <w:rPr>
          <w:rFonts w:eastAsia="SimSun" w:cs="Times New Roman"/>
          <w:color w:val="000000" w:themeColor="text1"/>
        </w:rPr>
        <w:t>R</w:t>
      </w:r>
      <w:r w:rsidRPr="00600487">
        <w:rPr>
          <w:rFonts w:eastAsia="SimSun" w:cs="Times New Roman"/>
          <w:color w:val="000000" w:themeColor="text1"/>
          <w:vertAlign w:val="superscript"/>
        </w:rPr>
        <w:t>2</w:t>
      </w:r>
      <w:r w:rsidRPr="003F2970">
        <w:t xml:space="preserve"> = 0.625), whereas SSA-LSTM produces a negative </w:t>
      </w:r>
      <w:r w:rsidRPr="00600487">
        <w:rPr>
          <w:rFonts w:eastAsia="SimSun" w:cs="Times New Roman"/>
          <w:color w:val="000000" w:themeColor="text1"/>
        </w:rPr>
        <w:t>R</w:t>
      </w:r>
      <w:r w:rsidRPr="00600487">
        <w:rPr>
          <w:rFonts w:eastAsia="SimSun" w:cs="Times New Roman"/>
          <w:color w:val="000000" w:themeColor="text1"/>
          <w:vertAlign w:val="superscript"/>
        </w:rPr>
        <w:t>2</w:t>
      </w:r>
      <w:r w:rsidRPr="003F2970">
        <w:t xml:space="preserve"> (</w:t>
      </w:r>
      <w:r>
        <w:rPr>
          <w:rFonts w:hint="eastAsia"/>
        </w:rPr>
        <w:t>-</w:t>
      </w:r>
      <w:r w:rsidRPr="003F2970">
        <w:t>4.102), implying that the latter performs worse than a mean-baseline predictor on the validation set. These validation results support our selection of SSA-GRU for the subsequent forecasting analysis.</w:t>
      </w:r>
    </w:p>
    <w:p w14:paraId="3337316E" w14:textId="77777777" w:rsidR="003F2970" w:rsidRDefault="003F2970" w:rsidP="003F2970">
      <w:pPr>
        <w:ind w:firstLineChars="200" w:firstLine="440"/>
        <w:rPr>
          <w:rFonts w:hint="eastAsia"/>
        </w:rPr>
      </w:pPr>
    </w:p>
    <w:p w14:paraId="0BC3C51D" w14:textId="06379F21" w:rsidR="00373ABF" w:rsidRPr="008B681B" w:rsidRDefault="00373ABF" w:rsidP="00373ABF">
      <w:pPr>
        <w:jc w:val="left"/>
        <w:rPr>
          <w:rFonts w:cs="Times New Roman"/>
          <w:b/>
          <w:bCs/>
          <w:sz w:val="24"/>
        </w:rPr>
      </w:pPr>
      <w:r w:rsidRPr="008B681B">
        <w:rPr>
          <w:rFonts w:cs="Times New Roman"/>
          <w:b/>
          <w:bCs/>
          <w:sz w:val="24"/>
        </w:rPr>
        <w:t xml:space="preserve">Table </w:t>
      </w:r>
      <w:r>
        <w:rPr>
          <w:rFonts w:cs="Times New Roman"/>
          <w:b/>
          <w:bCs/>
          <w:sz w:val="24"/>
        </w:rPr>
        <w:t>A.</w:t>
      </w:r>
      <w:r>
        <w:rPr>
          <w:rFonts w:cs="Times New Roman" w:hint="eastAsia"/>
          <w:b/>
          <w:bCs/>
          <w:sz w:val="24"/>
        </w:rPr>
        <w:t>2</w:t>
      </w:r>
      <w:r w:rsidRPr="008B681B">
        <w:rPr>
          <w:rFonts w:cs="Times New Roman"/>
          <w:b/>
          <w:bCs/>
          <w:sz w:val="24"/>
        </w:rPr>
        <w:t xml:space="preserve"> </w:t>
      </w:r>
    </w:p>
    <w:p w14:paraId="03F5E7A1" w14:textId="09470D71" w:rsidR="00373ABF" w:rsidRDefault="00C73C51">
      <w:pPr>
        <w:rPr>
          <w:rFonts w:hint="eastAsia"/>
        </w:rPr>
      </w:pPr>
      <w:r w:rsidRPr="00C73C51">
        <w:t>Validation</w:t>
      </w:r>
      <w:r>
        <w:rPr>
          <w:rFonts w:hint="eastAsia"/>
        </w:rPr>
        <w:t xml:space="preserve"> Tests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9"/>
        <w:gridCol w:w="2742"/>
        <w:gridCol w:w="2388"/>
        <w:gridCol w:w="2637"/>
      </w:tblGrid>
      <w:tr w:rsidR="00506CAA" w:rsidRPr="00506CAA" w14:paraId="690C2D56" w14:textId="77777777" w:rsidTr="003D254C">
        <w:tc>
          <w:tcPr>
            <w:tcW w:w="1289" w:type="pct"/>
            <w:tcBorders>
              <w:top w:val="single" w:sz="4" w:space="0" w:color="auto"/>
              <w:bottom w:val="single" w:sz="4" w:space="0" w:color="auto"/>
            </w:tcBorders>
            <w:vAlign w:val="bottom"/>
          </w:tcPr>
          <w:p w14:paraId="64A6DD6B"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p>
        </w:tc>
        <w:tc>
          <w:tcPr>
            <w:tcW w:w="1310" w:type="pct"/>
            <w:tcBorders>
              <w:top w:val="single" w:sz="4" w:space="0" w:color="auto"/>
              <w:bottom w:val="single" w:sz="4" w:space="0" w:color="auto"/>
            </w:tcBorders>
            <w:vAlign w:val="bottom"/>
          </w:tcPr>
          <w:p w14:paraId="70893380"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RMSE</w:t>
            </w:r>
          </w:p>
        </w:tc>
        <w:tc>
          <w:tcPr>
            <w:tcW w:w="1141" w:type="pct"/>
            <w:tcBorders>
              <w:top w:val="single" w:sz="4" w:space="0" w:color="auto"/>
              <w:bottom w:val="single" w:sz="4" w:space="0" w:color="auto"/>
            </w:tcBorders>
            <w:vAlign w:val="bottom"/>
          </w:tcPr>
          <w:p w14:paraId="5A89A956"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MAE</w:t>
            </w:r>
          </w:p>
        </w:tc>
        <w:tc>
          <w:tcPr>
            <w:tcW w:w="1260" w:type="pct"/>
            <w:tcBorders>
              <w:top w:val="single" w:sz="4" w:space="0" w:color="auto"/>
              <w:bottom w:val="single" w:sz="4" w:space="0" w:color="auto"/>
            </w:tcBorders>
            <w:vAlign w:val="bottom"/>
          </w:tcPr>
          <w:p w14:paraId="6E324166"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R</w:t>
            </w:r>
            <w:r w:rsidRPr="00600487">
              <w:rPr>
                <w:rFonts w:eastAsia="SimSun" w:cs="Times New Roman"/>
                <w:color w:val="000000" w:themeColor="text1"/>
                <w:vertAlign w:val="superscript"/>
              </w:rPr>
              <w:t>2</w:t>
            </w:r>
          </w:p>
        </w:tc>
      </w:tr>
      <w:tr w:rsidR="00506CAA" w:rsidRPr="00506CAA" w14:paraId="03218B72" w14:textId="77777777" w:rsidTr="003D254C">
        <w:tc>
          <w:tcPr>
            <w:tcW w:w="1289" w:type="pct"/>
            <w:tcBorders>
              <w:top w:val="single" w:sz="4" w:space="0" w:color="auto"/>
            </w:tcBorders>
            <w:vAlign w:val="bottom"/>
          </w:tcPr>
          <w:p w14:paraId="13342CDD" w14:textId="126153B7" w:rsidR="00506CAA" w:rsidRPr="00506CAA" w:rsidRDefault="003F2970" w:rsidP="00CA7D64">
            <w:pPr>
              <w:autoSpaceDE w:val="0"/>
              <w:autoSpaceDN w:val="0"/>
              <w:adjustRightInd w:val="0"/>
              <w:spacing w:line="360" w:lineRule="auto"/>
              <w:rPr>
                <w:rFonts w:eastAsia="SimSun" w:cs="Times New Roman" w:hint="eastAsia"/>
                <w:color w:val="000000" w:themeColor="text1"/>
              </w:rPr>
            </w:pPr>
            <w:r>
              <w:rPr>
                <w:rFonts w:eastAsia="SimSun" w:cs="Times New Roman" w:hint="eastAsia"/>
                <w:color w:val="000000" w:themeColor="text1"/>
              </w:rPr>
              <w:t>SSA-</w:t>
            </w:r>
            <w:r w:rsidR="00506CAA" w:rsidRPr="00600487">
              <w:rPr>
                <w:rFonts w:eastAsia="SimSun" w:cs="Times New Roman"/>
                <w:color w:val="000000" w:themeColor="text1"/>
              </w:rPr>
              <w:t>LSTM</w:t>
            </w:r>
          </w:p>
        </w:tc>
        <w:tc>
          <w:tcPr>
            <w:tcW w:w="1310" w:type="pct"/>
            <w:tcBorders>
              <w:top w:val="single" w:sz="4" w:space="0" w:color="auto"/>
            </w:tcBorders>
            <w:vAlign w:val="bottom"/>
          </w:tcPr>
          <w:p w14:paraId="53A9CDFC"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0.06</w:t>
            </w:r>
          </w:p>
        </w:tc>
        <w:tc>
          <w:tcPr>
            <w:tcW w:w="1141" w:type="pct"/>
            <w:tcBorders>
              <w:top w:val="single" w:sz="4" w:space="0" w:color="auto"/>
            </w:tcBorders>
            <w:vAlign w:val="bottom"/>
          </w:tcPr>
          <w:p w14:paraId="34502320"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0.047</w:t>
            </w:r>
          </w:p>
        </w:tc>
        <w:tc>
          <w:tcPr>
            <w:tcW w:w="1260" w:type="pct"/>
            <w:tcBorders>
              <w:top w:val="single" w:sz="4" w:space="0" w:color="auto"/>
            </w:tcBorders>
            <w:vAlign w:val="bottom"/>
          </w:tcPr>
          <w:p w14:paraId="01604FA8"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-4.102</w:t>
            </w:r>
          </w:p>
        </w:tc>
      </w:tr>
      <w:tr w:rsidR="00506CAA" w:rsidRPr="00506CAA" w14:paraId="3A61E18A" w14:textId="77777777" w:rsidTr="003D254C">
        <w:tc>
          <w:tcPr>
            <w:tcW w:w="1289" w:type="pct"/>
            <w:vAlign w:val="bottom"/>
          </w:tcPr>
          <w:p w14:paraId="38EF547A" w14:textId="26B34CC7" w:rsidR="00506CAA" w:rsidRPr="00506CAA" w:rsidRDefault="003F2970" w:rsidP="00CA7D64">
            <w:pPr>
              <w:autoSpaceDE w:val="0"/>
              <w:autoSpaceDN w:val="0"/>
              <w:adjustRightInd w:val="0"/>
              <w:spacing w:line="360" w:lineRule="auto"/>
              <w:rPr>
                <w:rFonts w:eastAsia="SimSun" w:cs="Times New Roman" w:hint="eastAsia"/>
                <w:color w:val="000000" w:themeColor="text1"/>
              </w:rPr>
            </w:pPr>
            <w:r>
              <w:rPr>
                <w:rFonts w:eastAsia="SimSun" w:cs="Times New Roman" w:hint="eastAsia"/>
                <w:color w:val="000000" w:themeColor="text1"/>
              </w:rPr>
              <w:t>SSA-</w:t>
            </w:r>
            <w:r w:rsidR="00506CAA" w:rsidRPr="00600487">
              <w:rPr>
                <w:rFonts w:eastAsia="SimSun" w:cs="Times New Roman"/>
                <w:color w:val="000000" w:themeColor="text1"/>
              </w:rPr>
              <w:t>GRU</w:t>
            </w:r>
          </w:p>
        </w:tc>
        <w:tc>
          <w:tcPr>
            <w:tcW w:w="1310" w:type="pct"/>
            <w:vAlign w:val="bottom"/>
          </w:tcPr>
          <w:p w14:paraId="5088B1C6"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0.017</w:t>
            </w:r>
          </w:p>
        </w:tc>
        <w:tc>
          <w:tcPr>
            <w:tcW w:w="1141" w:type="pct"/>
            <w:vAlign w:val="bottom"/>
          </w:tcPr>
          <w:p w14:paraId="2718E787"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0.013</w:t>
            </w:r>
          </w:p>
        </w:tc>
        <w:tc>
          <w:tcPr>
            <w:tcW w:w="1260" w:type="pct"/>
            <w:vAlign w:val="bottom"/>
          </w:tcPr>
          <w:p w14:paraId="0176DD6B" w14:textId="77777777" w:rsidR="00506CAA" w:rsidRPr="00506CAA" w:rsidRDefault="00506CAA" w:rsidP="00CA7D64">
            <w:pPr>
              <w:autoSpaceDE w:val="0"/>
              <w:autoSpaceDN w:val="0"/>
              <w:adjustRightInd w:val="0"/>
              <w:spacing w:line="360" w:lineRule="auto"/>
              <w:rPr>
                <w:rFonts w:eastAsia="SimSun" w:cs="Times New Roman" w:hint="eastAsia"/>
                <w:color w:val="000000" w:themeColor="text1"/>
              </w:rPr>
            </w:pPr>
            <w:r w:rsidRPr="00600487">
              <w:rPr>
                <w:rFonts w:eastAsia="SimSun" w:cs="Times New Roman"/>
                <w:color w:val="000000" w:themeColor="text1"/>
              </w:rPr>
              <w:t>0.625</w:t>
            </w:r>
          </w:p>
        </w:tc>
      </w:tr>
    </w:tbl>
    <w:p w14:paraId="532F3F13" w14:textId="77777777" w:rsidR="004324F2" w:rsidRDefault="004324F2">
      <w:pPr>
        <w:rPr>
          <w:rFonts w:hint="eastAsia"/>
        </w:rPr>
      </w:pPr>
    </w:p>
    <w:p w14:paraId="1DC8448D" w14:textId="77777777" w:rsidR="009E4470" w:rsidRPr="002F6A36" w:rsidRDefault="009E4470">
      <w:pPr>
        <w:rPr>
          <w:b/>
          <w:bCs/>
        </w:rPr>
      </w:pPr>
      <w:r w:rsidRPr="002F6A36">
        <w:rPr>
          <w:b/>
          <w:bCs/>
        </w:rPr>
        <w:t>References</w:t>
      </w:r>
    </w:p>
    <w:p w14:paraId="0D3EBAE7" w14:textId="77777777" w:rsidR="009E2B67" w:rsidRPr="009E2B67" w:rsidRDefault="009E4470" w:rsidP="009E2B67">
      <w:pPr>
        <w:pStyle w:val="Bibliography0"/>
        <w:rPr>
          <w:rFonts w:cs="Times New Roman"/>
        </w:rPr>
      </w:pPr>
      <w:r>
        <w:fldChar w:fldCharType="begin"/>
      </w:r>
      <w:r w:rsidR="009E2B67">
        <w:instrText xml:space="preserve"> ADDIN ZOTERO_BIBL {"uncited":[],"omitted":[],"custom":[]} CSL_BIBLIOGRAPHY </w:instrText>
      </w:r>
      <w:r>
        <w:fldChar w:fldCharType="separate"/>
      </w:r>
      <w:r w:rsidR="009E2B67" w:rsidRPr="009E2B67">
        <w:rPr>
          <w:rFonts w:cs="Times New Roman"/>
        </w:rPr>
        <w:t xml:space="preserve">Ding, N., Liu, J., Yang, J., &amp; Lu, B. (2018). Water footprints of energy sources in China: Exploring options to improve water efficiency. </w:t>
      </w:r>
      <w:r w:rsidR="009E2B67" w:rsidRPr="009E2B67">
        <w:rPr>
          <w:rFonts w:cs="Times New Roman"/>
          <w:i/>
          <w:iCs/>
        </w:rPr>
        <w:t>Journal of Cleaner Production</w:t>
      </w:r>
      <w:r w:rsidR="009E2B67" w:rsidRPr="009E2B67">
        <w:rPr>
          <w:rFonts w:cs="Times New Roman"/>
        </w:rPr>
        <w:t xml:space="preserve">, </w:t>
      </w:r>
      <w:r w:rsidR="009E2B67" w:rsidRPr="009E2B67">
        <w:rPr>
          <w:rFonts w:cs="Times New Roman"/>
          <w:i/>
          <w:iCs/>
        </w:rPr>
        <w:t>174</w:t>
      </w:r>
      <w:r w:rsidR="009E2B67" w:rsidRPr="009E2B67">
        <w:rPr>
          <w:rFonts w:cs="Times New Roman"/>
        </w:rPr>
        <w:t>, 1021–1031. https://doi.org/10.1016/j.jclepro.2017.10.273</w:t>
      </w:r>
    </w:p>
    <w:p w14:paraId="3A94E771" w14:textId="77777777" w:rsidR="009E2B67" w:rsidRPr="009E2B67" w:rsidRDefault="009E2B67" w:rsidP="009E2B67">
      <w:pPr>
        <w:pStyle w:val="Bibliography0"/>
        <w:rPr>
          <w:rFonts w:cs="Times New Roman"/>
        </w:rPr>
      </w:pPr>
      <w:r w:rsidRPr="009E2B67">
        <w:rPr>
          <w:rFonts w:cs="Times New Roman"/>
        </w:rPr>
        <w:t xml:space="preserve">Fthenakis, V., &amp; Kim, H. C. (2010). Life-cycle uses of water in U.S. electricity generation. </w:t>
      </w:r>
      <w:r w:rsidRPr="009E2B67">
        <w:rPr>
          <w:rFonts w:cs="Times New Roman"/>
          <w:i/>
          <w:iCs/>
        </w:rPr>
        <w:t>Renewable and Sustainable Energy Reviews</w:t>
      </w:r>
      <w:r w:rsidRPr="009E2B67">
        <w:rPr>
          <w:rFonts w:cs="Times New Roman"/>
        </w:rPr>
        <w:t xml:space="preserve">, </w:t>
      </w:r>
      <w:r w:rsidRPr="009E2B67">
        <w:rPr>
          <w:rFonts w:cs="Times New Roman"/>
          <w:i/>
          <w:iCs/>
        </w:rPr>
        <w:t>14</w:t>
      </w:r>
      <w:r w:rsidRPr="009E2B67">
        <w:rPr>
          <w:rFonts w:cs="Times New Roman"/>
        </w:rPr>
        <w:t>(7), 2039–2048. https://doi.org/10.1016/j.rser.2010.03.008</w:t>
      </w:r>
    </w:p>
    <w:p w14:paraId="7D7FA460" w14:textId="77777777" w:rsidR="009E2B67" w:rsidRPr="009E2B67" w:rsidRDefault="009E2B67" w:rsidP="009E2B67">
      <w:pPr>
        <w:pStyle w:val="Bibliography0"/>
        <w:rPr>
          <w:rFonts w:cs="Times New Roman"/>
        </w:rPr>
      </w:pPr>
      <w:r w:rsidRPr="009E2B67">
        <w:rPr>
          <w:rFonts w:cs="Times New Roman"/>
        </w:rPr>
        <w:t xml:space="preserve">Gerbens-Leenes, P. W., Hoekstra, A. Y., &amp; Meer, Th. V. der. (2008). </w:t>
      </w:r>
      <w:r w:rsidRPr="009E2B67">
        <w:rPr>
          <w:rFonts w:cs="Times New Roman"/>
          <w:i/>
          <w:iCs/>
        </w:rPr>
        <w:t>Water Footprint of Bio-energy and other primary energy carriers</w:t>
      </w:r>
      <w:r w:rsidRPr="009E2B67">
        <w:rPr>
          <w:rFonts w:cs="Times New Roman"/>
        </w:rPr>
        <w:t xml:space="preserve"> (NameValue of Water Report Series). https://research.rug.nl/en/publications/water-footprint-of-bio-energy-and-other-primary-energy-carriers</w:t>
      </w:r>
    </w:p>
    <w:p w14:paraId="24D1FE46" w14:textId="77777777" w:rsidR="009E2B67" w:rsidRPr="009E2B67" w:rsidRDefault="009E2B67" w:rsidP="009E2B67">
      <w:pPr>
        <w:pStyle w:val="Bibliography0"/>
        <w:rPr>
          <w:rFonts w:cs="Times New Roman"/>
        </w:rPr>
      </w:pPr>
      <w:r w:rsidRPr="009E2B67">
        <w:rPr>
          <w:rFonts w:cs="Times New Roman"/>
        </w:rPr>
        <w:t xml:space="preserve">Guan, W., Zhao, X., &amp; Xu, S. (2019). Spatiotemporal feature of the water footprint of energy and its relationship with water resources in China (In Chinese). </w:t>
      </w:r>
      <w:r w:rsidRPr="009E2B67">
        <w:rPr>
          <w:rFonts w:cs="Times New Roman"/>
          <w:i/>
          <w:iCs/>
        </w:rPr>
        <w:t>Resources Science</w:t>
      </w:r>
      <w:r w:rsidRPr="009E2B67">
        <w:rPr>
          <w:rFonts w:cs="Times New Roman"/>
        </w:rPr>
        <w:t xml:space="preserve">, </w:t>
      </w:r>
      <w:r w:rsidRPr="009E2B67">
        <w:rPr>
          <w:rFonts w:cs="Times New Roman"/>
          <w:i/>
          <w:iCs/>
        </w:rPr>
        <w:t>41</w:t>
      </w:r>
      <w:r w:rsidRPr="009E2B67">
        <w:rPr>
          <w:rFonts w:cs="Times New Roman"/>
        </w:rPr>
        <w:t>(11). https://doi.org/10.18402/resci.2019.11.05</w:t>
      </w:r>
    </w:p>
    <w:p w14:paraId="27147F99" w14:textId="77777777" w:rsidR="009E2B67" w:rsidRPr="009E2B67" w:rsidRDefault="009E2B67" w:rsidP="009E2B67">
      <w:pPr>
        <w:pStyle w:val="Bibliography0"/>
        <w:rPr>
          <w:rFonts w:cs="Times New Roman"/>
        </w:rPr>
      </w:pPr>
      <w:r w:rsidRPr="009E2B67">
        <w:rPr>
          <w:rFonts w:cs="Times New Roman"/>
        </w:rPr>
        <w:t xml:space="preserve">MEPC. (2002). </w:t>
      </w:r>
      <w:r w:rsidRPr="009E2B67">
        <w:rPr>
          <w:rFonts w:cs="Times New Roman"/>
          <w:i/>
          <w:iCs/>
        </w:rPr>
        <w:t>Ministry of environmental protection of China.,GB3838-2002 quality standard of surface water in China. In: Ministry of Environmental Protection of China.</w:t>
      </w:r>
    </w:p>
    <w:p w14:paraId="586FE4F3" w14:textId="77777777" w:rsidR="009E2B67" w:rsidRPr="009E2B67" w:rsidRDefault="009E2B67" w:rsidP="009E2B67">
      <w:pPr>
        <w:pStyle w:val="Bibliography0"/>
        <w:rPr>
          <w:rFonts w:cs="Times New Roman"/>
        </w:rPr>
      </w:pPr>
      <w:r w:rsidRPr="009E2B67">
        <w:rPr>
          <w:rFonts w:cs="Times New Roman"/>
        </w:rPr>
        <w:t xml:space="preserve">MEPC. (2006). </w:t>
      </w:r>
      <w:r w:rsidRPr="009E2B67">
        <w:rPr>
          <w:rFonts w:cs="Times New Roman"/>
          <w:i/>
          <w:iCs/>
        </w:rPr>
        <w:t>Ministry of environmental protection of China.,GB20246-2006: Emission standard for pollutants from coal industry. In: Ministry of Environmental Protection of China. Beijing.</w:t>
      </w:r>
    </w:p>
    <w:p w14:paraId="57AF2C59" w14:textId="77777777" w:rsidR="009E2B67" w:rsidRPr="009E2B67" w:rsidRDefault="009E2B67" w:rsidP="009E2B67">
      <w:pPr>
        <w:pStyle w:val="Bibliography0"/>
        <w:rPr>
          <w:rFonts w:cs="Times New Roman"/>
        </w:rPr>
      </w:pPr>
      <w:r w:rsidRPr="009E2B67">
        <w:rPr>
          <w:rFonts w:cs="Times New Roman"/>
        </w:rPr>
        <w:lastRenderedPageBreak/>
        <w:t xml:space="preserve">MEPC. (2008). </w:t>
      </w:r>
      <w:r w:rsidRPr="009E2B67">
        <w:rPr>
          <w:rFonts w:cs="Times New Roman"/>
          <w:i/>
          <w:iCs/>
        </w:rPr>
        <w:t>Ministry of environmental protection of China.,HJ 446-2008: Cleaner production standardeCoal mining and processing industry. In: Ministry of Environmental Protection of China. Beijing.</w:t>
      </w:r>
    </w:p>
    <w:p w14:paraId="764525A6" w14:textId="77777777" w:rsidR="009E2B67" w:rsidRPr="009E2B67" w:rsidRDefault="009E2B67" w:rsidP="009E2B67">
      <w:pPr>
        <w:pStyle w:val="Bibliography0"/>
        <w:rPr>
          <w:rFonts w:cs="Times New Roman"/>
        </w:rPr>
      </w:pPr>
      <w:r w:rsidRPr="009E2B67">
        <w:rPr>
          <w:rFonts w:cs="Times New Roman"/>
        </w:rPr>
        <w:t xml:space="preserve">Zhang, J., Lei, X., Chen, B., &amp; Song, Y. (2019). Analysis of blue water footprint of hydropower considering allocation coefficients for multi-purpose reservoirs. </w:t>
      </w:r>
      <w:r w:rsidRPr="009E2B67">
        <w:rPr>
          <w:rFonts w:cs="Times New Roman"/>
          <w:i/>
          <w:iCs/>
        </w:rPr>
        <w:t>Energy</w:t>
      </w:r>
      <w:r w:rsidRPr="009E2B67">
        <w:rPr>
          <w:rFonts w:cs="Times New Roman"/>
        </w:rPr>
        <w:t xml:space="preserve">, </w:t>
      </w:r>
      <w:r w:rsidRPr="009E2B67">
        <w:rPr>
          <w:rFonts w:cs="Times New Roman"/>
          <w:i/>
          <w:iCs/>
        </w:rPr>
        <w:t>188</w:t>
      </w:r>
      <w:r w:rsidRPr="009E2B67">
        <w:rPr>
          <w:rFonts w:cs="Times New Roman"/>
        </w:rPr>
        <w:t>, 116086. https://doi.org/10.1016/j.energy.2019.116086</w:t>
      </w:r>
    </w:p>
    <w:p w14:paraId="480CC38B" w14:textId="55C250E8" w:rsidR="009E4470" w:rsidRDefault="009E4470" w:rsidP="009E2B67">
      <w:pPr>
        <w:pStyle w:val="Bibliography0"/>
        <w:spacing w:line="240" w:lineRule="auto"/>
      </w:pPr>
      <w:r>
        <w:fldChar w:fldCharType="end"/>
      </w:r>
    </w:p>
    <w:sectPr w:rsidR="009E4470" w:rsidSect="00863058">
      <w:footerReference w:type="even" r:id="rId7"/>
      <w:footerReference w:type="default" r:id="rId8"/>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7678" w14:textId="77777777" w:rsidR="00300F59" w:rsidRDefault="00300F59" w:rsidP="00703C8D">
      <w:r>
        <w:separator/>
      </w:r>
    </w:p>
  </w:endnote>
  <w:endnote w:type="continuationSeparator" w:id="0">
    <w:p w14:paraId="75918587" w14:textId="77777777" w:rsidR="00300F59" w:rsidRDefault="00300F59" w:rsidP="0070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ExtB">
    <w:panose1 w:val="02010609060101010101"/>
    <w:charset w:val="86"/>
    <w:family w:val="modern"/>
    <w:pitch w:val="fixed"/>
    <w:sig w:usb0="00000001" w:usb1="0A0E0000" w:usb2="00000010"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25992448"/>
      <w:docPartObj>
        <w:docPartGallery w:val="Page Numbers (Bottom of Page)"/>
        <w:docPartUnique/>
      </w:docPartObj>
    </w:sdtPr>
    <w:sdtContent>
      <w:p w14:paraId="7756D953" w14:textId="73C7B582" w:rsidR="003917C8" w:rsidRDefault="003917C8" w:rsidP="00E05A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93A611" w14:textId="77777777" w:rsidR="003917C8" w:rsidRDefault="003917C8" w:rsidP="003917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3503628"/>
      <w:docPartObj>
        <w:docPartGallery w:val="Page Numbers (Bottom of Page)"/>
        <w:docPartUnique/>
      </w:docPartObj>
    </w:sdtPr>
    <w:sdtContent>
      <w:p w14:paraId="53939480" w14:textId="68A7C97C" w:rsidR="003917C8" w:rsidRDefault="003917C8" w:rsidP="00E05A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06C3D5" w14:textId="77777777" w:rsidR="003917C8" w:rsidRDefault="003917C8" w:rsidP="003917C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95333" w14:textId="77777777" w:rsidR="00300F59" w:rsidRDefault="00300F59" w:rsidP="00703C8D">
      <w:r>
        <w:separator/>
      </w:r>
    </w:p>
  </w:footnote>
  <w:footnote w:type="continuationSeparator" w:id="0">
    <w:p w14:paraId="61B0F4A4" w14:textId="77777777" w:rsidR="00300F59" w:rsidRDefault="00300F59" w:rsidP="00703C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4F"/>
    <w:rsid w:val="000150FC"/>
    <w:rsid w:val="00016570"/>
    <w:rsid w:val="00037019"/>
    <w:rsid w:val="00083067"/>
    <w:rsid w:val="000837CE"/>
    <w:rsid w:val="00087EA9"/>
    <w:rsid w:val="000B23B3"/>
    <w:rsid w:val="000C5CB9"/>
    <w:rsid w:val="00186AD4"/>
    <w:rsid w:val="001A1487"/>
    <w:rsid w:val="001F2427"/>
    <w:rsid w:val="002F6A36"/>
    <w:rsid w:val="00300F59"/>
    <w:rsid w:val="00314AC1"/>
    <w:rsid w:val="00373ABF"/>
    <w:rsid w:val="003774C4"/>
    <w:rsid w:val="003917C8"/>
    <w:rsid w:val="003B450B"/>
    <w:rsid w:val="003D254C"/>
    <w:rsid w:val="003E157D"/>
    <w:rsid w:val="003F2970"/>
    <w:rsid w:val="004324F2"/>
    <w:rsid w:val="0043559B"/>
    <w:rsid w:val="00461BE9"/>
    <w:rsid w:val="004729E0"/>
    <w:rsid w:val="004979C1"/>
    <w:rsid w:val="00497B88"/>
    <w:rsid w:val="004A41C0"/>
    <w:rsid w:val="004B6E8E"/>
    <w:rsid w:val="004D1BE8"/>
    <w:rsid w:val="00506CAA"/>
    <w:rsid w:val="00530F70"/>
    <w:rsid w:val="005342AA"/>
    <w:rsid w:val="00574923"/>
    <w:rsid w:val="00577959"/>
    <w:rsid w:val="005F0F98"/>
    <w:rsid w:val="00622F74"/>
    <w:rsid w:val="00666080"/>
    <w:rsid w:val="006B22B3"/>
    <w:rsid w:val="006C5BF1"/>
    <w:rsid w:val="006D7C1D"/>
    <w:rsid w:val="00703C8D"/>
    <w:rsid w:val="00703FD7"/>
    <w:rsid w:val="007B50BF"/>
    <w:rsid w:val="007F31B4"/>
    <w:rsid w:val="0083328C"/>
    <w:rsid w:val="00840656"/>
    <w:rsid w:val="00863058"/>
    <w:rsid w:val="00864586"/>
    <w:rsid w:val="008664CB"/>
    <w:rsid w:val="00874261"/>
    <w:rsid w:val="008B681B"/>
    <w:rsid w:val="009206A9"/>
    <w:rsid w:val="009A4C18"/>
    <w:rsid w:val="009C6933"/>
    <w:rsid w:val="009E2B67"/>
    <w:rsid w:val="009E4470"/>
    <w:rsid w:val="00A07D4F"/>
    <w:rsid w:val="00A12DA7"/>
    <w:rsid w:val="00A26B6F"/>
    <w:rsid w:val="00A92E6C"/>
    <w:rsid w:val="00B0636D"/>
    <w:rsid w:val="00B12935"/>
    <w:rsid w:val="00B37AB9"/>
    <w:rsid w:val="00C37570"/>
    <w:rsid w:val="00C73C51"/>
    <w:rsid w:val="00CA11EE"/>
    <w:rsid w:val="00CE0F67"/>
    <w:rsid w:val="00DC0F1A"/>
    <w:rsid w:val="00E55B08"/>
    <w:rsid w:val="00E639AA"/>
    <w:rsid w:val="00EB6F91"/>
    <w:rsid w:val="00ED4BCC"/>
    <w:rsid w:val="00F4742E"/>
    <w:rsid w:val="00F53C5A"/>
    <w:rsid w:val="00F7676F"/>
    <w:rsid w:val="00F92F3C"/>
    <w:rsid w:val="00FB0027"/>
    <w:rsid w:val="00FD2907"/>
    <w:rsid w:val="00FD3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A6FAD"/>
  <w15:docId w15:val="{0E8B2866-5D24-3A46-A247-A270AE375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4F"/>
    <w:pPr>
      <w:widowControl w:val="0"/>
      <w:jc w:val="both"/>
    </w:pPr>
    <w:rPr>
      <w:rFonts w:ascii="Times New Roman" w:eastAsia="SimSun-ExtB" w:hAnsi="Times New Roman"/>
    </w:rPr>
  </w:style>
  <w:style w:type="paragraph" w:styleId="Heading1">
    <w:name w:val="heading 1"/>
    <w:basedOn w:val="Normal"/>
    <w:next w:val="Normal"/>
    <w:link w:val="Heading1Char"/>
    <w:uiPriority w:val="9"/>
    <w:qFormat/>
    <w:rsid w:val="001A1487"/>
    <w:pPr>
      <w:jc w:val="left"/>
      <w:outlineLvl w:val="0"/>
    </w:pPr>
    <w:rPr>
      <w:rFonts w:cs="Times New Roman"/>
      <w:b/>
      <w:bCs/>
      <w:sz w:val="24"/>
    </w:rPr>
  </w:style>
  <w:style w:type="paragraph" w:styleId="Heading2">
    <w:name w:val="heading 2"/>
    <w:basedOn w:val="Normal"/>
    <w:next w:val="Normal"/>
    <w:link w:val="Heading2Char"/>
    <w:uiPriority w:val="9"/>
    <w:semiHidden/>
    <w:unhideWhenUsed/>
    <w:qFormat/>
    <w:rsid w:val="00A12DA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Heading2"/>
    <w:next w:val="Normal"/>
    <w:link w:val="Heading3Char"/>
    <w:uiPriority w:val="9"/>
    <w:unhideWhenUsed/>
    <w:qFormat/>
    <w:rsid w:val="00A12DA7"/>
    <w:pPr>
      <w:keepNext w:val="0"/>
      <w:keepLines w:val="0"/>
      <w:spacing w:before="0" w:after="0" w:line="240" w:lineRule="auto"/>
      <w:outlineLvl w:val="2"/>
    </w:pPr>
    <w:rPr>
      <w:rFonts w:ascii="Times New Roman" w:eastAsia="SimSun" w:hAnsi="Times New Roman" w:cs="Times New Roman"/>
      <w:b w:val="0"/>
      <w:bCs w:val="0"/>
      <w:i/>
      <w:iCs/>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A07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书目1"/>
    <w:basedOn w:val="Normal"/>
    <w:link w:val="Bibliography"/>
    <w:rsid w:val="009E4470"/>
    <w:pPr>
      <w:tabs>
        <w:tab w:val="left" w:pos="260"/>
      </w:tabs>
      <w:spacing w:after="240"/>
      <w:ind w:left="720" w:hanging="720"/>
    </w:pPr>
  </w:style>
  <w:style w:type="character" w:customStyle="1" w:styleId="Bibliography">
    <w:name w:val="Bibliography 字符"/>
    <w:basedOn w:val="DefaultParagraphFont"/>
    <w:link w:val="1"/>
    <w:rsid w:val="009E4470"/>
    <w:rPr>
      <w:rFonts w:ascii="Times New Roman" w:eastAsia="SimSun-ExtB" w:hAnsi="Times New Roman"/>
    </w:rPr>
  </w:style>
  <w:style w:type="paragraph" w:customStyle="1" w:styleId="2">
    <w:name w:val="样式2"/>
    <w:basedOn w:val="Normal"/>
    <w:link w:val="20"/>
    <w:qFormat/>
    <w:rsid w:val="007F31B4"/>
    <w:pPr>
      <w:ind w:firstLineChars="200" w:firstLine="420"/>
      <w:jc w:val="center"/>
    </w:pPr>
    <w:rPr>
      <w:rFonts w:eastAsia="SimSun"/>
      <w:sz w:val="20"/>
      <w:szCs w:val="21"/>
      <w14:ligatures w14:val="none"/>
    </w:rPr>
  </w:style>
  <w:style w:type="character" w:customStyle="1" w:styleId="20">
    <w:name w:val="样式2 字符"/>
    <w:basedOn w:val="DefaultParagraphFont"/>
    <w:link w:val="2"/>
    <w:rsid w:val="007F31B4"/>
    <w:rPr>
      <w:rFonts w:ascii="Times New Roman" w:eastAsia="SimSun" w:hAnsi="Times New Roman"/>
      <w:sz w:val="20"/>
      <w:szCs w:val="21"/>
      <w14:ligatures w14:val="none"/>
    </w:rPr>
  </w:style>
  <w:style w:type="character" w:styleId="PlaceholderText">
    <w:name w:val="Placeholder Text"/>
    <w:basedOn w:val="DefaultParagraphFont"/>
    <w:uiPriority w:val="99"/>
    <w:semiHidden/>
    <w:rsid w:val="007F31B4"/>
    <w:rPr>
      <w:color w:val="666666"/>
    </w:rPr>
  </w:style>
  <w:style w:type="paragraph" w:styleId="Header">
    <w:name w:val="header"/>
    <w:basedOn w:val="Normal"/>
    <w:link w:val="HeaderChar"/>
    <w:uiPriority w:val="99"/>
    <w:unhideWhenUsed/>
    <w:rsid w:val="00703C8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703C8D"/>
    <w:rPr>
      <w:rFonts w:ascii="Times New Roman" w:eastAsia="SimSun-ExtB" w:hAnsi="Times New Roman"/>
      <w:sz w:val="18"/>
      <w:szCs w:val="18"/>
    </w:rPr>
  </w:style>
  <w:style w:type="paragraph" w:styleId="Footer">
    <w:name w:val="footer"/>
    <w:basedOn w:val="Normal"/>
    <w:link w:val="FooterChar"/>
    <w:uiPriority w:val="99"/>
    <w:unhideWhenUsed/>
    <w:rsid w:val="00703C8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703C8D"/>
    <w:rPr>
      <w:rFonts w:ascii="Times New Roman" w:eastAsia="SimSun-ExtB" w:hAnsi="Times New Roman"/>
      <w:sz w:val="18"/>
      <w:szCs w:val="18"/>
    </w:rPr>
  </w:style>
  <w:style w:type="paragraph" w:customStyle="1" w:styleId="MTDisplayEquation">
    <w:name w:val="MTDisplayEquation"/>
    <w:basedOn w:val="Normal"/>
    <w:next w:val="Normal"/>
    <w:link w:val="MTDisplayEquation0"/>
    <w:qFormat/>
    <w:rsid w:val="00703C8D"/>
    <w:pPr>
      <w:tabs>
        <w:tab w:val="center" w:pos="4160"/>
        <w:tab w:val="right" w:pos="8300"/>
      </w:tabs>
      <w:ind w:firstLineChars="200" w:firstLine="420"/>
    </w:pPr>
    <w:rPr>
      <w:rFonts w:eastAsia="SimSun" w:cs="Times New Roman"/>
      <w:i/>
      <w:sz w:val="20"/>
      <w:szCs w:val="22"/>
      <w14:ligatures w14:val="none"/>
    </w:rPr>
  </w:style>
  <w:style w:type="character" w:customStyle="1" w:styleId="MTDisplayEquation0">
    <w:name w:val="MTDisplayEquation 字符"/>
    <w:basedOn w:val="DefaultParagraphFont"/>
    <w:link w:val="MTDisplayEquation"/>
    <w:qFormat/>
    <w:rsid w:val="00703C8D"/>
    <w:rPr>
      <w:rFonts w:ascii="Times New Roman" w:eastAsia="SimSun" w:hAnsi="Times New Roman" w:cs="Times New Roman"/>
      <w:i/>
      <w:sz w:val="20"/>
      <w:szCs w:val="22"/>
      <w14:ligatures w14:val="none"/>
    </w:rPr>
  </w:style>
  <w:style w:type="paragraph" w:styleId="Bibliography0">
    <w:name w:val="Bibliography"/>
    <w:basedOn w:val="Normal"/>
    <w:next w:val="Normal"/>
    <w:uiPriority w:val="37"/>
    <w:unhideWhenUsed/>
    <w:rsid w:val="00703C8D"/>
    <w:pPr>
      <w:spacing w:line="480" w:lineRule="auto"/>
      <w:ind w:left="720" w:hanging="720"/>
    </w:pPr>
  </w:style>
  <w:style w:type="character" w:customStyle="1" w:styleId="Heading3Char">
    <w:name w:val="Heading 3 Char"/>
    <w:basedOn w:val="DefaultParagraphFont"/>
    <w:link w:val="Heading3"/>
    <w:uiPriority w:val="9"/>
    <w:qFormat/>
    <w:rsid w:val="00A12DA7"/>
    <w:rPr>
      <w:rFonts w:ascii="Times New Roman" w:eastAsia="SimSun" w:hAnsi="Times New Roman" w:cs="Times New Roman"/>
      <w:i/>
      <w:iCs/>
      <w:sz w:val="20"/>
      <w:szCs w:val="20"/>
      <w14:ligatures w14:val="none"/>
    </w:rPr>
  </w:style>
  <w:style w:type="character" w:customStyle="1" w:styleId="Heading2Char">
    <w:name w:val="Heading 2 Char"/>
    <w:basedOn w:val="DefaultParagraphFont"/>
    <w:link w:val="Heading2"/>
    <w:uiPriority w:val="9"/>
    <w:semiHidden/>
    <w:rsid w:val="00A12DA7"/>
    <w:rPr>
      <w:rFonts w:asciiTheme="majorHAnsi" w:eastAsiaTheme="majorEastAsia" w:hAnsiTheme="majorHAnsi" w:cstheme="majorBidi"/>
      <w:b/>
      <w:bCs/>
      <w:sz w:val="32"/>
      <w:szCs w:val="32"/>
    </w:rPr>
  </w:style>
  <w:style w:type="character" w:customStyle="1" w:styleId="katex-mathml">
    <w:name w:val="katex-mathml"/>
    <w:basedOn w:val="DefaultParagraphFont"/>
    <w:rsid w:val="000C5CB9"/>
  </w:style>
  <w:style w:type="character" w:customStyle="1" w:styleId="mord">
    <w:name w:val="mord"/>
    <w:basedOn w:val="DefaultParagraphFont"/>
    <w:rsid w:val="000C5CB9"/>
  </w:style>
  <w:style w:type="character" w:customStyle="1" w:styleId="Heading1Char">
    <w:name w:val="Heading 1 Char"/>
    <w:basedOn w:val="DefaultParagraphFont"/>
    <w:link w:val="Heading1"/>
    <w:uiPriority w:val="9"/>
    <w:rsid w:val="001A1487"/>
    <w:rPr>
      <w:rFonts w:ascii="Times New Roman" w:eastAsia="SimSun-ExtB" w:hAnsi="Times New Roman" w:cs="Times New Roman"/>
      <w:b/>
      <w:bCs/>
      <w:sz w:val="24"/>
    </w:rPr>
  </w:style>
  <w:style w:type="character" w:styleId="PageNumber">
    <w:name w:val="page number"/>
    <w:basedOn w:val="DefaultParagraphFont"/>
    <w:uiPriority w:val="99"/>
    <w:semiHidden/>
    <w:unhideWhenUsed/>
    <w:rsid w:val="00391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10673</Words>
  <Characters>11315</Characters>
  <Application>Microsoft Office Word</Application>
  <DocSecurity>0</DocSecurity>
  <Lines>353</Lines>
  <Paragraphs>181</Paragraphs>
  <ScaleCrop>false</ScaleCrop>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秋雅 赵</cp:lastModifiedBy>
  <cp:revision>2</cp:revision>
  <dcterms:created xsi:type="dcterms:W3CDTF">2026-01-06T12:17:00Z</dcterms:created>
  <dcterms:modified xsi:type="dcterms:W3CDTF">2026-01-06T12:17:00Z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zotero-version="7.0.18"&gt;&lt;session id="WXjWP938"/&gt;&lt;style id="http://www.zotero.org/styles/apa" locale="en-US" hasBibliography="1" bibliographyStyleHasBeenSet="1"/&gt;&lt;prefs&gt;&lt;pref name="fieldType" value="Field"/&gt;&lt;/prefs&gt;&lt;/data&gt;</vt:lpwstr>
  </property>
</Properties>
</file>