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5BC00">
      <w:pPr>
        <w:ind w:firstLine="480"/>
        <w:rPr>
          <w:rFonts w:cs="Times New Roman"/>
          <w:szCs w:val="21"/>
        </w:rPr>
      </w:pPr>
      <w:bookmarkStart w:id="0" w:name="_Hlk209630123"/>
      <w:r>
        <w:rPr>
          <w:rFonts w:cs="Times New Roman"/>
          <w:szCs w:val="21"/>
        </w:rPr>
        <w:t>Appendix table1</w:t>
      </w:r>
    </w:p>
    <w:tbl>
      <w:tblPr>
        <w:tblStyle w:val="16"/>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9"/>
        <w:gridCol w:w="2895"/>
        <w:gridCol w:w="2818"/>
      </w:tblGrid>
      <w:tr w14:paraId="42BEA8BF">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Borders>
              <w:top w:val="single" w:color="000000" w:sz="4" w:space="0"/>
              <w:bottom w:val="single" w:color="000000" w:sz="4" w:space="0"/>
            </w:tcBorders>
          </w:tcPr>
          <w:p w14:paraId="236A349A">
            <w:pPr>
              <w:ind w:firstLine="360"/>
              <w:jc w:val="left"/>
              <w:rPr>
                <w:rFonts w:cs="Times New Roman"/>
                <w:sz w:val="18"/>
                <w:szCs w:val="18"/>
              </w:rPr>
            </w:pPr>
            <w:r>
              <w:rPr>
                <w:rFonts w:cs="Times New Roman"/>
                <w:sz w:val="18"/>
                <w:szCs w:val="18"/>
              </w:rPr>
              <w:t>VARIABLES</w:t>
            </w:r>
          </w:p>
        </w:tc>
        <w:tc>
          <w:tcPr>
            <w:tcW w:w="2895" w:type="dxa"/>
            <w:tcBorders>
              <w:top w:val="single" w:color="000000" w:sz="4" w:space="0"/>
              <w:bottom w:val="single" w:color="000000" w:sz="4" w:space="0"/>
            </w:tcBorders>
          </w:tcPr>
          <w:p w14:paraId="3C70C14D">
            <w:pPr>
              <w:ind w:firstLine="360"/>
              <w:jc w:val="left"/>
              <w:rPr>
                <w:rFonts w:cs="Times New Roman"/>
                <w:sz w:val="18"/>
                <w:szCs w:val="18"/>
              </w:rPr>
            </w:pPr>
            <w:r>
              <w:rPr>
                <w:rFonts w:cs="Times New Roman"/>
                <w:sz w:val="18"/>
                <w:szCs w:val="18"/>
              </w:rPr>
              <w:t>Description</w:t>
            </w:r>
          </w:p>
        </w:tc>
        <w:tc>
          <w:tcPr>
            <w:tcW w:w="2818" w:type="dxa"/>
            <w:tcBorders>
              <w:top w:val="single" w:color="000000" w:sz="4" w:space="0"/>
              <w:bottom w:val="single" w:color="000000" w:sz="4" w:space="0"/>
            </w:tcBorders>
          </w:tcPr>
          <w:p w14:paraId="4CB47A25">
            <w:pPr>
              <w:ind w:firstLine="360"/>
              <w:jc w:val="left"/>
              <w:rPr>
                <w:rFonts w:cs="Times New Roman"/>
                <w:sz w:val="18"/>
                <w:szCs w:val="18"/>
              </w:rPr>
            </w:pPr>
            <w:r>
              <w:rPr>
                <w:rFonts w:cs="Times New Roman"/>
                <w:sz w:val="18"/>
                <w:szCs w:val="18"/>
              </w:rPr>
              <w:t>Data source</w:t>
            </w:r>
          </w:p>
        </w:tc>
      </w:tr>
      <w:tr w14:paraId="20E2B2E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Borders>
              <w:top w:val="single" w:color="000000" w:sz="4" w:space="0"/>
            </w:tcBorders>
            <w:vAlign w:val="center"/>
          </w:tcPr>
          <w:p w14:paraId="275C6FEB">
            <w:pPr>
              <w:ind w:firstLine="360"/>
              <w:jc w:val="left"/>
              <w:rPr>
                <w:rFonts w:cs="Times New Roman"/>
                <w:sz w:val="18"/>
                <w:szCs w:val="18"/>
              </w:rPr>
            </w:pPr>
            <w:r>
              <w:rPr>
                <w:rFonts w:hint="eastAsia" w:cs="Times New Roman"/>
                <w:sz w:val="18"/>
                <w:szCs w:val="18"/>
              </w:rPr>
              <w:t>CRD</w:t>
            </w:r>
          </w:p>
        </w:tc>
        <w:tc>
          <w:tcPr>
            <w:tcW w:w="2895" w:type="dxa"/>
            <w:tcBorders>
              <w:top w:val="single" w:color="000000" w:sz="4" w:space="0"/>
            </w:tcBorders>
            <w:vAlign w:val="center"/>
          </w:tcPr>
          <w:p w14:paraId="203E5D9E">
            <w:pPr>
              <w:ind w:firstLine="0" w:firstLineChars="0"/>
              <w:jc w:val="left"/>
              <w:rPr>
                <w:rFonts w:cs="Times New Roman"/>
                <w:sz w:val="18"/>
                <w:szCs w:val="18"/>
              </w:rPr>
            </w:pPr>
            <w:r>
              <w:rPr>
                <w:rFonts w:cs="Times New Roman"/>
                <w:sz w:val="18"/>
                <w:szCs w:val="18"/>
              </w:rPr>
              <w:t>Corporate Climate Risk Disclosure</w:t>
            </w:r>
          </w:p>
        </w:tc>
        <w:tc>
          <w:tcPr>
            <w:tcW w:w="2818" w:type="dxa"/>
            <w:tcBorders>
              <w:top w:val="single" w:color="000000" w:sz="4" w:space="0"/>
            </w:tcBorders>
            <w:vAlign w:val="center"/>
          </w:tcPr>
          <w:p w14:paraId="139A48AC">
            <w:pPr>
              <w:ind w:firstLine="0" w:firstLineChars="0"/>
              <w:jc w:val="center"/>
              <w:rPr>
                <w:rFonts w:hint="default" w:cs="Times New Roman" w:eastAsiaTheme="minorEastAsia"/>
                <w:sz w:val="18"/>
                <w:szCs w:val="18"/>
                <w:lang w:val="en-US" w:eastAsia="zh-CN"/>
              </w:rPr>
            </w:pPr>
            <w:r>
              <w:rPr>
                <w:rFonts w:hint="eastAsia" w:cs="Times New Roman"/>
                <w:sz w:val="18"/>
                <w:szCs w:val="18"/>
                <w:lang w:val="en-US" w:eastAsia="zh-CN"/>
              </w:rPr>
              <w:t>CNINFO network</w:t>
            </w:r>
          </w:p>
        </w:tc>
      </w:tr>
      <w:tr w14:paraId="4C42A41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33F5CED0">
            <w:pPr>
              <w:ind w:firstLine="360"/>
              <w:jc w:val="left"/>
              <w:rPr>
                <w:rFonts w:cs="Times New Roman"/>
                <w:sz w:val="18"/>
                <w:szCs w:val="18"/>
              </w:rPr>
            </w:pPr>
            <w:r>
              <w:rPr>
                <w:rFonts w:hint="eastAsia" w:cs="Times New Roman"/>
                <w:sz w:val="18"/>
                <w:szCs w:val="18"/>
              </w:rPr>
              <w:t>Treat*Post</w:t>
            </w:r>
          </w:p>
        </w:tc>
        <w:tc>
          <w:tcPr>
            <w:tcW w:w="2895" w:type="dxa"/>
          </w:tcPr>
          <w:p w14:paraId="780BD04F">
            <w:pPr>
              <w:ind w:firstLine="360"/>
              <w:rPr>
                <w:rFonts w:cs="Times New Roman"/>
                <w:sz w:val="18"/>
                <w:szCs w:val="18"/>
              </w:rPr>
            </w:pPr>
            <w:r>
              <w:rPr>
                <w:rFonts w:cs="Times New Roman"/>
                <w:sz w:val="18"/>
                <w:szCs w:val="18"/>
              </w:rPr>
              <w:t>Dummy variable, which takes the value of 1 after the environmental protection court is established in the region and after its establishment, otherwise it takes the value of 0.</w:t>
            </w:r>
          </w:p>
        </w:tc>
        <w:tc>
          <w:tcPr>
            <w:tcW w:w="2818" w:type="dxa"/>
          </w:tcPr>
          <w:p w14:paraId="7843633A">
            <w:pPr>
              <w:ind w:firstLine="360"/>
              <w:jc w:val="left"/>
              <w:rPr>
                <w:rFonts w:cs="Times New Roman"/>
                <w:sz w:val="18"/>
                <w:szCs w:val="18"/>
              </w:rPr>
            </w:pPr>
            <w:r>
              <w:rPr>
                <w:rFonts w:cs="Times New Roman"/>
                <w:sz w:val="18"/>
                <w:szCs w:val="18"/>
              </w:rPr>
              <w:t>Legal website and official websites of provincial and municipal intermediate people's courts</w:t>
            </w:r>
            <w:bookmarkStart w:id="1" w:name="_GoBack"/>
            <w:bookmarkEnd w:id="1"/>
          </w:p>
        </w:tc>
      </w:tr>
      <w:tr w14:paraId="00510D64">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339D5E6B">
            <w:pPr>
              <w:ind w:firstLine="360"/>
              <w:jc w:val="left"/>
              <w:rPr>
                <w:rFonts w:cs="Times New Roman"/>
                <w:sz w:val="18"/>
                <w:szCs w:val="18"/>
              </w:rPr>
            </w:pPr>
            <w:r>
              <w:rPr>
                <w:rFonts w:cs="Times New Roman"/>
                <w:sz w:val="18"/>
                <w:szCs w:val="18"/>
              </w:rPr>
              <w:t>Size</w:t>
            </w:r>
          </w:p>
        </w:tc>
        <w:tc>
          <w:tcPr>
            <w:tcW w:w="2895" w:type="dxa"/>
          </w:tcPr>
          <w:p w14:paraId="373C0FD4">
            <w:pPr>
              <w:ind w:firstLine="360"/>
              <w:jc w:val="left"/>
              <w:rPr>
                <w:rFonts w:cs="Times New Roman"/>
                <w:sz w:val="18"/>
                <w:szCs w:val="18"/>
              </w:rPr>
            </w:pPr>
            <w:r>
              <w:rPr>
                <w:rFonts w:cs="Times New Roman"/>
                <w:sz w:val="18"/>
                <w:szCs w:val="18"/>
              </w:rPr>
              <w:t>Firm Size, The natural log of total assets</w:t>
            </w:r>
          </w:p>
        </w:tc>
        <w:tc>
          <w:tcPr>
            <w:tcW w:w="2818" w:type="dxa"/>
          </w:tcPr>
          <w:p w14:paraId="16381382">
            <w:pPr>
              <w:ind w:firstLine="360"/>
              <w:jc w:val="left"/>
              <w:rPr>
                <w:rFonts w:cs="Times New Roman"/>
                <w:sz w:val="18"/>
                <w:szCs w:val="18"/>
              </w:rPr>
            </w:pPr>
            <w:r>
              <w:rPr>
                <w:rFonts w:cs="Times New Roman"/>
                <w:sz w:val="18"/>
                <w:szCs w:val="18"/>
              </w:rPr>
              <w:t>CSMAR database</w:t>
            </w:r>
          </w:p>
        </w:tc>
      </w:tr>
      <w:tr w14:paraId="152CF7D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407B5A6B">
            <w:pPr>
              <w:ind w:firstLine="360"/>
              <w:jc w:val="left"/>
              <w:rPr>
                <w:rFonts w:cs="Times New Roman"/>
                <w:sz w:val="18"/>
                <w:szCs w:val="18"/>
              </w:rPr>
            </w:pPr>
            <w:r>
              <w:rPr>
                <w:rFonts w:cs="Times New Roman"/>
                <w:sz w:val="18"/>
                <w:szCs w:val="18"/>
              </w:rPr>
              <w:t>Lev</w:t>
            </w:r>
          </w:p>
        </w:tc>
        <w:tc>
          <w:tcPr>
            <w:tcW w:w="2895" w:type="dxa"/>
          </w:tcPr>
          <w:p w14:paraId="57489157">
            <w:pPr>
              <w:ind w:firstLine="360"/>
              <w:jc w:val="left"/>
              <w:rPr>
                <w:rFonts w:cs="Times New Roman"/>
                <w:sz w:val="18"/>
                <w:szCs w:val="18"/>
              </w:rPr>
            </w:pPr>
            <w:r>
              <w:rPr>
                <w:rFonts w:cs="Times New Roman"/>
                <w:sz w:val="18"/>
                <w:szCs w:val="18"/>
              </w:rPr>
              <w:t>Asset liability ratio, Total liabilities divided by total assets at the end of the year</w:t>
            </w:r>
          </w:p>
        </w:tc>
        <w:tc>
          <w:tcPr>
            <w:tcW w:w="2818" w:type="dxa"/>
          </w:tcPr>
          <w:p w14:paraId="15FC8FFF">
            <w:pPr>
              <w:ind w:firstLine="360"/>
              <w:jc w:val="left"/>
              <w:rPr>
                <w:rFonts w:cs="Times New Roman"/>
                <w:sz w:val="18"/>
                <w:szCs w:val="18"/>
              </w:rPr>
            </w:pPr>
            <w:r>
              <w:rPr>
                <w:rFonts w:cs="Times New Roman"/>
                <w:sz w:val="18"/>
                <w:szCs w:val="18"/>
              </w:rPr>
              <w:t>CSMAR database</w:t>
            </w:r>
          </w:p>
        </w:tc>
      </w:tr>
      <w:tr w14:paraId="1F5D94D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792DA509">
            <w:pPr>
              <w:ind w:firstLine="360"/>
              <w:jc w:val="left"/>
              <w:rPr>
                <w:rFonts w:cs="Times New Roman"/>
                <w:sz w:val="18"/>
                <w:szCs w:val="18"/>
              </w:rPr>
            </w:pPr>
            <w:r>
              <w:rPr>
                <w:rFonts w:cs="Times New Roman"/>
                <w:sz w:val="18"/>
                <w:szCs w:val="18"/>
              </w:rPr>
              <w:t>ROA</w:t>
            </w:r>
          </w:p>
        </w:tc>
        <w:tc>
          <w:tcPr>
            <w:tcW w:w="2895" w:type="dxa"/>
          </w:tcPr>
          <w:p w14:paraId="67213C9C">
            <w:pPr>
              <w:ind w:firstLine="360"/>
              <w:jc w:val="left"/>
              <w:rPr>
                <w:rFonts w:cs="Times New Roman"/>
                <w:sz w:val="18"/>
                <w:szCs w:val="18"/>
              </w:rPr>
            </w:pPr>
            <w:r>
              <w:rPr>
                <w:rFonts w:cs="Times New Roman"/>
                <w:sz w:val="18"/>
                <w:szCs w:val="18"/>
              </w:rPr>
              <w:t>Net interest rate on total assets, Net profit divided by total assets</w:t>
            </w:r>
          </w:p>
        </w:tc>
        <w:tc>
          <w:tcPr>
            <w:tcW w:w="2818" w:type="dxa"/>
          </w:tcPr>
          <w:p w14:paraId="011F0DB5">
            <w:pPr>
              <w:ind w:firstLine="360"/>
              <w:jc w:val="left"/>
              <w:rPr>
                <w:rFonts w:cs="Times New Roman"/>
                <w:sz w:val="18"/>
                <w:szCs w:val="18"/>
              </w:rPr>
            </w:pPr>
            <w:r>
              <w:rPr>
                <w:rFonts w:cs="Times New Roman"/>
                <w:sz w:val="18"/>
                <w:szCs w:val="18"/>
              </w:rPr>
              <w:t>CSMAR database</w:t>
            </w:r>
          </w:p>
        </w:tc>
      </w:tr>
      <w:tr w14:paraId="2577559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6424163B">
            <w:pPr>
              <w:ind w:firstLine="360"/>
              <w:jc w:val="left"/>
              <w:rPr>
                <w:rFonts w:cs="Times New Roman"/>
                <w:sz w:val="18"/>
                <w:szCs w:val="18"/>
              </w:rPr>
            </w:pPr>
            <w:r>
              <w:rPr>
                <w:rFonts w:cs="Times New Roman"/>
                <w:sz w:val="18"/>
                <w:szCs w:val="18"/>
              </w:rPr>
              <w:t>Top1</w:t>
            </w:r>
          </w:p>
        </w:tc>
        <w:tc>
          <w:tcPr>
            <w:tcW w:w="2895" w:type="dxa"/>
          </w:tcPr>
          <w:p w14:paraId="5775D320">
            <w:pPr>
              <w:ind w:firstLine="360"/>
              <w:jc w:val="left"/>
              <w:rPr>
                <w:rFonts w:cs="Times New Roman"/>
                <w:sz w:val="18"/>
                <w:szCs w:val="18"/>
              </w:rPr>
            </w:pPr>
            <w:r>
              <w:rPr>
                <w:rFonts w:cs="Times New Roman"/>
                <w:sz w:val="18"/>
                <w:szCs w:val="18"/>
              </w:rPr>
              <w:t>the proportion of the largest shareholder</w:t>
            </w:r>
          </w:p>
        </w:tc>
        <w:tc>
          <w:tcPr>
            <w:tcW w:w="2818" w:type="dxa"/>
          </w:tcPr>
          <w:p w14:paraId="5E31542E">
            <w:pPr>
              <w:ind w:firstLine="360"/>
              <w:jc w:val="left"/>
              <w:rPr>
                <w:rFonts w:cs="Times New Roman"/>
                <w:sz w:val="18"/>
                <w:szCs w:val="18"/>
              </w:rPr>
            </w:pPr>
            <w:r>
              <w:rPr>
                <w:rFonts w:cs="Times New Roman"/>
                <w:sz w:val="18"/>
                <w:szCs w:val="18"/>
              </w:rPr>
              <w:t>CSMAR database</w:t>
            </w:r>
          </w:p>
        </w:tc>
      </w:tr>
      <w:tr w14:paraId="1630EE69">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6E1B0C0B">
            <w:pPr>
              <w:ind w:firstLine="360"/>
              <w:jc w:val="left"/>
              <w:rPr>
                <w:rFonts w:cs="Times New Roman"/>
                <w:sz w:val="18"/>
                <w:szCs w:val="18"/>
              </w:rPr>
            </w:pPr>
            <w:r>
              <w:rPr>
                <w:rFonts w:cs="Times New Roman"/>
                <w:sz w:val="18"/>
                <w:szCs w:val="18"/>
              </w:rPr>
              <w:t>Growth</w:t>
            </w:r>
          </w:p>
        </w:tc>
        <w:tc>
          <w:tcPr>
            <w:tcW w:w="2895" w:type="dxa"/>
          </w:tcPr>
          <w:p w14:paraId="1EA9F6D0">
            <w:pPr>
              <w:ind w:firstLine="360"/>
              <w:jc w:val="left"/>
              <w:rPr>
                <w:rFonts w:cs="Times New Roman"/>
                <w:sz w:val="18"/>
                <w:szCs w:val="18"/>
              </w:rPr>
            </w:pPr>
            <w:r>
              <w:rPr>
                <w:rFonts w:cs="Times New Roman"/>
                <w:sz w:val="18"/>
                <w:szCs w:val="18"/>
              </w:rPr>
              <w:t>operating income growth rate</w:t>
            </w:r>
          </w:p>
        </w:tc>
        <w:tc>
          <w:tcPr>
            <w:tcW w:w="2818" w:type="dxa"/>
          </w:tcPr>
          <w:p w14:paraId="796E43EE">
            <w:pPr>
              <w:ind w:firstLine="360"/>
              <w:jc w:val="left"/>
              <w:rPr>
                <w:rFonts w:cs="Times New Roman"/>
                <w:sz w:val="18"/>
                <w:szCs w:val="18"/>
              </w:rPr>
            </w:pPr>
            <w:r>
              <w:rPr>
                <w:rFonts w:cs="Times New Roman"/>
                <w:sz w:val="18"/>
                <w:szCs w:val="18"/>
              </w:rPr>
              <w:t>CSMAR database</w:t>
            </w:r>
          </w:p>
        </w:tc>
      </w:tr>
      <w:tr w14:paraId="4F683AC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6E36E9D0">
            <w:pPr>
              <w:ind w:firstLine="360"/>
              <w:jc w:val="left"/>
              <w:rPr>
                <w:rFonts w:cs="Times New Roman"/>
                <w:sz w:val="18"/>
                <w:szCs w:val="18"/>
              </w:rPr>
            </w:pPr>
            <w:r>
              <w:rPr>
                <w:rFonts w:cs="Times New Roman"/>
                <w:sz w:val="18"/>
                <w:szCs w:val="18"/>
              </w:rPr>
              <w:t>ListAge</w:t>
            </w:r>
          </w:p>
        </w:tc>
        <w:tc>
          <w:tcPr>
            <w:tcW w:w="2895" w:type="dxa"/>
          </w:tcPr>
          <w:p w14:paraId="4BB4CF31">
            <w:pPr>
              <w:ind w:firstLine="360"/>
              <w:jc w:val="left"/>
              <w:rPr>
                <w:rFonts w:cs="Times New Roman"/>
                <w:sz w:val="18"/>
                <w:szCs w:val="18"/>
              </w:rPr>
            </w:pPr>
            <w:r>
              <w:rPr>
                <w:rFonts w:cs="Times New Roman"/>
                <w:sz w:val="18"/>
                <w:szCs w:val="18"/>
              </w:rPr>
              <w:t>The listing age is determined by taking the natural logarithm of the current year minus the year of listing, plus 1</w:t>
            </w:r>
          </w:p>
        </w:tc>
        <w:tc>
          <w:tcPr>
            <w:tcW w:w="2818" w:type="dxa"/>
          </w:tcPr>
          <w:p w14:paraId="727D63BD">
            <w:pPr>
              <w:ind w:firstLine="360"/>
              <w:jc w:val="left"/>
              <w:rPr>
                <w:rFonts w:cs="Times New Roman"/>
                <w:sz w:val="18"/>
                <w:szCs w:val="18"/>
              </w:rPr>
            </w:pPr>
            <w:r>
              <w:rPr>
                <w:rFonts w:cs="Times New Roman"/>
                <w:sz w:val="18"/>
                <w:szCs w:val="18"/>
              </w:rPr>
              <w:t>CSMAR database</w:t>
            </w:r>
          </w:p>
        </w:tc>
      </w:tr>
      <w:tr w14:paraId="59E09CE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6CA4AF19">
            <w:pPr>
              <w:ind w:firstLine="360"/>
              <w:jc w:val="left"/>
              <w:rPr>
                <w:rFonts w:cs="Times New Roman"/>
                <w:sz w:val="18"/>
                <w:szCs w:val="18"/>
              </w:rPr>
            </w:pPr>
            <w:r>
              <w:rPr>
                <w:rFonts w:cs="Times New Roman"/>
                <w:sz w:val="18"/>
                <w:szCs w:val="18"/>
              </w:rPr>
              <w:t>TobinQ</w:t>
            </w:r>
          </w:p>
        </w:tc>
        <w:tc>
          <w:tcPr>
            <w:tcW w:w="2895" w:type="dxa"/>
          </w:tcPr>
          <w:p w14:paraId="04DE501E">
            <w:pPr>
              <w:ind w:firstLine="360"/>
              <w:jc w:val="left"/>
              <w:rPr>
                <w:rFonts w:cs="Times New Roman"/>
                <w:sz w:val="18"/>
                <w:szCs w:val="18"/>
              </w:rPr>
            </w:pPr>
            <w:r>
              <w:rPr>
                <w:rFonts w:cs="Times New Roman"/>
                <w:sz w:val="18"/>
                <w:szCs w:val="18"/>
              </w:rPr>
              <w:t>Tobin's Q ratio, the formula you provided calculates the ratio of (market value of outstanding shares + number of non-tradable shares</w:t>
            </w:r>
          </w:p>
          <w:p w14:paraId="5FB43017">
            <w:pPr>
              <w:ind w:firstLine="360"/>
              <w:jc w:val="left"/>
              <w:rPr>
                <w:rFonts w:cs="Times New Roman"/>
                <w:sz w:val="18"/>
                <w:szCs w:val="18"/>
              </w:rPr>
            </w:pPr>
            <w:r>
              <w:rPr>
                <w:rFonts w:cs="Times New Roman"/>
                <w:sz w:val="18"/>
                <w:szCs w:val="18"/>
              </w:rPr>
              <w:t>multiplied by net asset value per share + book value of liabilities) to total assets.</w:t>
            </w:r>
          </w:p>
        </w:tc>
        <w:tc>
          <w:tcPr>
            <w:tcW w:w="2818" w:type="dxa"/>
          </w:tcPr>
          <w:p w14:paraId="1EA5CE1B">
            <w:pPr>
              <w:ind w:firstLine="360"/>
              <w:jc w:val="left"/>
              <w:rPr>
                <w:rFonts w:cs="Times New Roman"/>
                <w:sz w:val="18"/>
                <w:szCs w:val="18"/>
              </w:rPr>
            </w:pPr>
            <w:r>
              <w:rPr>
                <w:rFonts w:cs="Times New Roman"/>
                <w:sz w:val="18"/>
                <w:szCs w:val="18"/>
              </w:rPr>
              <w:t>CSMAR database</w:t>
            </w:r>
          </w:p>
        </w:tc>
      </w:tr>
      <w:tr w14:paraId="26745E1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18F11601">
            <w:pPr>
              <w:ind w:firstLine="360"/>
              <w:jc w:val="left"/>
              <w:rPr>
                <w:rFonts w:cs="Times New Roman"/>
                <w:sz w:val="18"/>
                <w:szCs w:val="18"/>
              </w:rPr>
            </w:pPr>
            <w:r>
              <w:rPr>
                <w:rFonts w:hint="eastAsia" w:cs="Times New Roman"/>
                <w:sz w:val="18"/>
                <w:szCs w:val="18"/>
              </w:rPr>
              <w:t>Big4</w:t>
            </w:r>
          </w:p>
        </w:tc>
        <w:tc>
          <w:tcPr>
            <w:tcW w:w="2895" w:type="dxa"/>
          </w:tcPr>
          <w:p w14:paraId="73E5D909">
            <w:pPr>
              <w:ind w:firstLine="360"/>
              <w:jc w:val="left"/>
              <w:rPr>
                <w:rFonts w:cs="Times New Roman"/>
                <w:sz w:val="18"/>
                <w:szCs w:val="18"/>
              </w:rPr>
            </w:pPr>
            <w:r>
              <w:rPr>
                <w:rFonts w:cs="Times New Roman"/>
                <w:sz w:val="18"/>
                <w:szCs w:val="18"/>
              </w:rPr>
              <w:t>Dummy variable, whether audited by the Big Four international accounting firms, takes 1 otherwise takes 0</w:t>
            </w:r>
          </w:p>
        </w:tc>
        <w:tc>
          <w:tcPr>
            <w:tcW w:w="2818" w:type="dxa"/>
          </w:tcPr>
          <w:p w14:paraId="53C422B5">
            <w:pPr>
              <w:ind w:firstLine="360"/>
              <w:jc w:val="left"/>
              <w:rPr>
                <w:rFonts w:cs="Times New Roman"/>
                <w:sz w:val="18"/>
                <w:szCs w:val="18"/>
              </w:rPr>
            </w:pPr>
            <w:r>
              <w:rPr>
                <w:rFonts w:cs="Times New Roman"/>
                <w:sz w:val="18"/>
                <w:szCs w:val="18"/>
              </w:rPr>
              <w:t>CSMAR database</w:t>
            </w:r>
          </w:p>
        </w:tc>
      </w:tr>
      <w:tr w14:paraId="65AD8FA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594A2DC9">
            <w:pPr>
              <w:ind w:firstLine="360"/>
              <w:jc w:val="left"/>
              <w:rPr>
                <w:rFonts w:cs="Times New Roman"/>
                <w:sz w:val="18"/>
                <w:szCs w:val="18"/>
              </w:rPr>
            </w:pPr>
            <w:r>
              <w:rPr>
                <w:rFonts w:cs="Times New Roman"/>
                <w:sz w:val="18"/>
                <w:szCs w:val="18"/>
              </w:rPr>
              <w:t>Dual</w:t>
            </w:r>
          </w:p>
          <w:p w14:paraId="0DCB4FEA">
            <w:pPr>
              <w:ind w:firstLine="360"/>
              <w:jc w:val="left"/>
              <w:rPr>
                <w:rFonts w:cs="Times New Roman"/>
                <w:sz w:val="18"/>
                <w:szCs w:val="18"/>
              </w:rPr>
            </w:pPr>
          </w:p>
        </w:tc>
        <w:tc>
          <w:tcPr>
            <w:tcW w:w="2895" w:type="dxa"/>
          </w:tcPr>
          <w:p w14:paraId="4BC579F5">
            <w:pPr>
              <w:ind w:firstLine="360"/>
              <w:jc w:val="left"/>
              <w:rPr>
                <w:rFonts w:cs="Times New Roman"/>
                <w:sz w:val="18"/>
                <w:szCs w:val="18"/>
              </w:rPr>
            </w:pPr>
            <w:r>
              <w:rPr>
                <w:rFonts w:cs="Times New Roman"/>
                <w:sz w:val="18"/>
                <w:szCs w:val="18"/>
              </w:rPr>
              <w:t>Dual positions, where the chairman and CEO are the same person, are assigned a value of 1, otherwise 0</w:t>
            </w:r>
          </w:p>
        </w:tc>
        <w:tc>
          <w:tcPr>
            <w:tcW w:w="2818" w:type="dxa"/>
          </w:tcPr>
          <w:p w14:paraId="71E47D73">
            <w:pPr>
              <w:ind w:firstLine="360"/>
              <w:jc w:val="left"/>
              <w:rPr>
                <w:rFonts w:cs="Times New Roman"/>
                <w:sz w:val="18"/>
                <w:szCs w:val="18"/>
              </w:rPr>
            </w:pPr>
            <w:r>
              <w:rPr>
                <w:rFonts w:cs="Times New Roman"/>
                <w:sz w:val="18"/>
                <w:szCs w:val="18"/>
              </w:rPr>
              <w:t>CSMAR database</w:t>
            </w:r>
          </w:p>
        </w:tc>
      </w:tr>
      <w:tr w14:paraId="4AE1D8DB">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4E6BC7DD">
            <w:pPr>
              <w:ind w:firstLine="360"/>
              <w:jc w:val="left"/>
              <w:rPr>
                <w:rFonts w:cs="Times New Roman"/>
                <w:sz w:val="18"/>
                <w:szCs w:val="18"/>
              </w:rPr>
            </w:pPr>
            <w:r>
              <w:rPr>
                <w:rFonts w:cs="Times New Roman"/>
                <w:sz w:val="18"/>
                <w:szCs w:val="18"/>
              </w:rPr>
              <w:t>Balance1</w:t>
            </w:r>
          </w:p>
        </w:tc>
        <w:tc>
          <w:tcPr>
            <w:tcW w:w="2895" w:type="dxa"/>
          </w:tcPr>
          <w:p w14:paraId="17DF41DA">
            <w:pPr>
              <w:ind w:firstLine="360"/>
              <w:jc w:val="left"/>
              <w:rPr>
                <w:rFonts w:cs="Times New Roman"/>
                <w:sz w:val="18"/>
                <w:szCs w:val="18"/>
              </w:rPr>
            </w:pPr>
            <w:r>
              <w:rPr>
                <w:rFonts w:cs="Times New Roman"/>
                <w:sz w:val="18"/>
                <w:szCs w:val="18"/>
              </w:rPr>
              <w:t>Audit opinion: assigned a value of 1 if the company received an unqualified audit opinion for the year, otherwise 0</w:t>
            </w:r>
          </w:p>
        </w:tc>
        <w:tc>
          <w:tcPr>
            <w:tcW w:w="2818" w:type="dxa"/>
          </w:tcPr>
          <w:p w14:paraId="6AEE167E">
            <w:pPr>
              <w:ind w:firstLine="360"/>
              <w:jc w:val="left"/>
              <w:rPr>
                <w:rFonts w:cs="Times New Roman"/>
                <w:sz w:val="18"/>
                <w:szCs w:val="18"/>
              </w:rPr>
            </w:pPr>
            <w:r>
              <w:rPr>
                <w:rFonts w:cs="Times New Roman"/>
                <w:sz w:val="18"/>
                <w:szCs w:val="18"/>
              </w:rPr>
              <w:t>CSMAR database</w:t>
            </w:r>
          </w:p>
        </w:tc>
      </w:tr>
      <w:tr w14:paraId="1A69D3D3">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554937C7">
            <w:pPr>
              <w:ind w:firstLine="360"/>
              <w:jc w:val="left"/>
              <w:rPr>
                <w:rFonts w:cs="Times New Roman"/>
                <w:sz w:val="18"/>
                <w:szCs w:val="18"/>
              </w:rPr>
            </w:pPr>
            <w:r>
              <w:rPr>
                <w:rFonts w:hint="eastAsia" w:cs="Times New Roman"/>
                <w:sz w:val="18"/>
                <w:szCs w:val="18"/>
              </w:rPr>
              <w:t>INST</w:t>
            </w:r>
          </w:p>
        </w:tc>
        <w:tc>
          <w:tcPr>
            <w:tcW w:w="2895" w:type="dxa"/>
          </w:tcPr>
          <w:p w14:paraId="74EDAE8C">
            <w:pPr>
              <w:ind w:firstLine="360"/>
              <w:jc w:val="left"/>
              <w:rPr>
                <w:rFonts w:cs="Times New Roman"/>
                <w:sz w:val="18"/>
                <w:szCs w:val="18"/>
              </w:rPr>
            </w:pPr>
            <w:r>
              <w:rPr>
                <w:rFonts w:cs="Times New Roman"/>
                <w:sz w:val="18"/>
                <w:szCs w:val="18"/>
              </w:rPr>
              <w:t>Institutional investors shareholding ratio</w:t>
            </w:r>
          </w:p>
        </w:tc>
        <w:tc>
          <w:tcPr>
            <w:tcW w:w="2818" w:type="dxa"/>
          </w:tcPr>
          <w:p w14:paraId="5D4E2838">
            <w:pPr>
              <w:ind w:firstLine="360"/>
              <w:jc w:val="left"/>
              <w:rPr>
                <w:rFonts w:cs="Times New Roman"/>
                <w:sz w:val="18"/>
                <w:szCs w:val="18"/>
              </w:rPr>
            </w:pPr>
            <w:r>
              <w:rPr>
                <w:rFonts w:cs="Times New Roman"/>
                <w:sz w:val="18"/>
                <w:szCs w:val="18"/>
              </w:rPr>
              <w:t>CSMAR database</w:t>
            </w:r>
          </w:p>
        </w:tc>
      </w:tr>
      <w:tr w14:paraId="3B25213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68EFF335">
            <w:pPr>
              <w:ind w:firstLine="360"/>
              <w:jc w:val="left"/>
              <w:rPr>
                <w:rFonts w:cs="Times New Roman"/>
                <w:sz w:val="18"/>
                <w:szCs w:val="18"/>
              </w:rPr>
            </w:pPr>
            <w:r>
              <w:rPr>
                <w:rFonts w:hint="eastAsia" w:cs="Times New Roman"/>
                <w:sz w:val="18"/>
                <w:szCs w:val="18"/>
              </w:rPr>
              <w:t>Mshare</w:t>
            </w:r>
          </w:p>
        </w:tc>
        <w:tc>
          <w:tcPr>
            <w:tcW w:w="2895" w:type="dxa"/>
          </w:tcPr>
          <w:p w14:paraId="585222E0">
            <w:pPr>
              <w:ind w:firstLine="360"/>
              <w:jc w:val="left"/>
              <w:rPr>
                <w:rFonts w:cs="Times New Roman"/>
                <w:sz w:val="18"/>
                <w:szCs w:val="18"/>
              </w:rPr>
            </w:pPr>
            <w:r>
              <w:rPr>
                <w:rFonts w:cs="Times New Roman"/>
                <w:sz w:val="18"/>
                <w:szCs w:val="18"/>
              </w:rPr>
              <w:t>Management shareholding ratio</w:t>
            </w:r>
          </w:p>
        </w:tc>
        <w:tc>
          <w:tcPr>
            <w:tcW w:w="2818" w:type="dxa"/>
          </w:tcPr>
          <w:p w14:paraId="6210D76B">
            <w:pPr>
              <w:ind w:firstLine="360"/>
              <w:jc w:val="left"/>
              <w:rPr>
                <w:rFonts w:cs="Times New Roman"/>
                <w:sz w:val="18"/>
                <w:szCs w:val="18"/>
              </w:rPr>
            </w:pPr>
            <w:r>
              <w:rPr>
                <w:rFonts w:cs="Times New Roman"/>
                <w:sz w:val="18"/>
                <w:szCs w:val="18"/>
              </w:rPr>
              <w:t>CSMAR database</w:t>
            </w:r>
          </w:p>
        </w:tc>
      </w:tr>
      <w:tr w14:paraId="332A6F30">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1A78837E">
            <w:pPr>
              <w:ind w:firstLine="360"/>
              <w:jc w:val="left"/>
              <w:rPr>
                <w:rFonts w:cs="Times New Roman"/>
                <w:sz w:val="18"/>
                <w:szCs w:val="18"/>
              </w:rPr>
            </w:pPr>
            <w:r>
              <w:rPr>
                <w:rFonts w:hint="eastAsia" w:cs="Times New Roman"/>
                <w:sz w:val="18"/>
                <w:szCs w:val="18"/>
              </w:rPr>
              <w:t>Media</w:t>
            </w:r>
          </w:p>
        </w:tc>
        <w:tc>
          <w:tcPr>
            <w:tcW w:w="2895" w:type="dxa"/>
          </w:tcPr>
          <w:p w14:paraId="1C592EF3">
            <w:pPr>
              <w:ind w:firstLine="360"/>
              <w:jc w:val="left"/>
              <w:rPr>
                <w:rFonts w:cs="Times New Roman"/>
                <w:sz w:val="18"/>
                <w:szCs w:val="18"/>
              </w:rPr>
            </w:pPr>
            <w:r>
              <w:rPr>
                <w:rFonts w:cs="Times New Roman"/>
                <w:sz w:val="18"/>
                <w:szCs w:val="18"/>
              </w:rPr>
              <w:t>Total number of headlines reported by newspapers, periodicals and online media</w:t>
            </w:r>
          </w:p>
        </w:tc>
        <w:tc>
          <w:tcPr>
            <w:tcW w:w="2818" w:type="dxa"/>
          </w:tcPr>
          <w:p w14:paraId="246AE045">
            <w:pPr>
              <w:ind w:firstLine="360"/>
              <w:jc w:val="left"/>
              <w:rPr>
                <w:rFonts w:cs="Times New Roman"/>
                <w:sz w:val="18"/>
                <w:szCs w:val="18"/>
              </w:rPr>
            </w:pPr>
            <w:r>
              <w:rPr>
                <w:rFonts w:cs="Times New Roman"/>
                <w:sz w:val="18"/>
                <w:szCs w:val="18"/>
              </w:rPr>
              <w:t>CNRDS</w:t>
            </w:r>
            <w:r>
              <w:rPr>
                <w:rFonts w:hint="eastAsia" w:cs="Times New Roman"/>
                <w:sz w:val="18"/>
                <w:szCs w:val="18"/>
              </w:rPr>
              <w:t xml:space="preserve"> </w:t>
            </w:r>
            <w:r>
              <w:rPr>
                <w:rFonts w:cs="Times New Roman"/>
                <w:sz w:val="18"/>
                <w:szCs w:val="18"/>
              </w:rPr>
              <w:t>database</w:t>
            </w:r>
          </w:p>
        </w:tc>
      </w:tr>
      <w:tr w14:paraId="30AA3FE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7DF86025">
            <w:pPr>
              <w:ind w:firstLine="360"/>
              <w:jc w:val="left"/>
              <w:rPr>
                <w:rFonts w:cs="Times New Roman"/>
                <w:sz w:val="18"/>
                <w:szCs w:val="18"/>
              </w:rPr>
            </w:pPr>
            <w:r>
              <w:rPr>
                <w:rFonts w:hint="eastAsia" w:cs="Times New Roman"/>
                <w:sz w:val="18"/>
                <w:szCs w:val="18"/>
              </w:rPr>
              <w:t>Investor</w:t>
            </w:r>
          </w:p>
        </w:tc>
        <w:tc>
          <w:tcPr>
            <w:tcW w:w="2895" w:type="dxa"/>
          </w:tcPr>
          <w:p w14:paraId="3C8D783B">
            <w:pPr>
              <w:ind w:firstLine="360"/>
              <w:jc w:val="left"/>
              <w:rPr>
                <w:rFonts w:cs="Times New Roman"/>
                <w:sz w:val="18"/>
                <w:szCs w:val="18"/>
              </w:rPr>
            </w:pPr>
            <w:r>
              <w:rPr>
                <w:rFonts w:cs="Times New Roman"/>
                <w:sz w:val="18"/>
                <w:szCs w:val="18"/>
              </w:rPr>
              <w:t>Investor attention, stock code, company abbreviation, company full name, etc. are the sum of the search values ​​​​of keywords and take the logarithm</w:t>
            </w:r>
          </w:p>
        </w:tc>
        <w:tc>
          <w:tcPr>
            <w:tcW w:w="2818" w:type="dxa"/>
          </w:tcPr>
          <w:p w14:paraId="1A4A54F7">
            <w:pPr>
              <w:ind w:firstLine="360"/>
              <w:jc w:val="left"/>
              <w:rPr>
                <w:rFonts w:cs="Times New Roman"/>
                <w:sz w:val="18"/>
                <w:szCs w:val="18"/>
              </w:rPr>
            </w:pPr>
            <w:r>
              <w:rPr>
                <w:rFonts w:cs="Times New Roman"/>
                <w:sz w:val="18"/>
                <w:szCs w:val="18"/>
              </w:rPr>
              <w:t>CNRDS</w:t>
            </w:r>
            <w:r>
              <w:rPr>
                <w:rFonts w:hint="eastAsia" w:cs="Times New Roman"/>
                <w:sz w:val="18"/>
                <w:szCs w:val="18"/>
              </w:rPr>
              <w:t xml:space="preserve"> </w:t>
            </w:r>
            <w:r>
              <w:rPr>
                <w:rFonts w:cs="Times New Roman"/>
                <w:sz w:val="18"/>
                <w:szCs w:val="18"/>
              </w:rPr>
              <w:t>database</w:t>
            </w:r>
          </w:p>
        </w:tc>
      </w:tr>
      <w:tr w14:paraId="73D5F83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0E6349C8">
            <w:pPr>
              <w:ind w:firstLine="360"/>
              <w:jc w:val="left"/>
              <w:rPr>
                <w:rFonts w:cs="Times New Roman"/>
                <w:sz w:val="18"/>
                <w:szCs w:val="18"/>
              </w:rPr>
            </w:pPr>
            <w:r>
              <w:rPr>
                <w:rFonts w:hint="eastAsia" w:cs="Times New Roman"/>
                <w:sz w:val="18"/>
                <w:szCs w:val="18"/>
              </w:rPr>
              <w:t>Abs</w:t>
            </w:r>
          </w:p>
        </w:tc>
        <w:tc>
          <w:tcPr>
            <w:tcW w:w="2895" w:type="dxa"/>
          </w:tcPr>
          <w:p w14:paraId="1212399A">
            <w:pPr>
              <w:ind w:firstLine="360"/>
              <w:jc w:val="left"/>
              <w:rPr>
                <w:rFonts w:cs="Times New Roman"/>
                <w:sz w:val="18"/>
                <w:szCs w:val="18"/>
              </w:rPr>
            </w:pPr>
            <w:r>
              <w:rPr>
                <w:rFonts w:cs="Times New Roman"/>
                <w:sz w:val="18"/>
                <w:szCs w:val="18"/>
              </w:rPr>
              <w:t>Accrual earnings management is calculated using the modified Jones model. The larger the value, the greater the earnings management space and the lower the quality of accounting information.</w:t>
            </w:r>
          </w:p>
        </w:tc>
        <w:tc>
          <w:tcPr>
            <w:tcW w:w="2818" w:type="dxa"/>
          </w:tcPr>
          <w:p w14:paraId="60388868">
            <w:pPr>
              <w:ind w:firstLine="360"/>
              <w:jc w:val="left"/>
              <w:rPr>
                <w:rFonts w:cs="Times New Roman"/>
                <w:sz w:val="18"/>
                <w:szCs w:val="18"/>
              </w:rPr>
            </w:pPr>
            <w:r>
              <w:rPr>
                <w:rFonts w:cs="Times New Roman"/>
                <w:sz w:val="18"/>
                <w:szCs w:val="18"/>
              </w:rPr>
              <w:t>CSMAR database</w:t>
            </w:r>
          </w:p>
        </w:tc>
      </w:tr>
      <w:tr w14:paraId="0915C19A">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72A0282D">
            <w:pPr>
              <w:ind w:firstLine="360"/>
              <w:jc w:val="left"/>
              <w:rPr>
                <w:rFonts w:cs="Times New Roman"/>
                <w:sz w:val="18"/>
                <w:szCs w:val="18"/>
              </w:rPr>
            </w:pPr>
            <w:r>
              <w:rPr>
                <w:rFonts w:cs="Times New Roman"/>
                <w:sz w:val="18"/>
                <w:szCs w:val="18"/>
              </w:rPr>
              <w:t>SA</w:t>
            </w:r>
          </w:p>
        </w:tc>
        <w:tc>
          <w:tcPr>
            <w:tcW w:w="2895" w:type="dxa"/>
          </w:tcPr>
          <w:p w14:paraId="05322A3B">
            <w:pPr>
              <w:ind w:firstLine="360"/>
              <w:jc w:val="left"/>
              <w:rPr>
                <w:rFonts w:cs="Times New Roman"/>
                <w:sz w:val="18"/>
                <w:szCs w:val="18"/>
              </w:rPr>
            </w:pPr>
            <w:r>
              <w:rPr>
                <w:rFonts w:cs="Times New Roman"/>
                <w:sz w:val="18"/>
                <w:szCs w:val="18"/>
              </w:rPr>
              <w:t>The measurement of financial constraints, SA = -0.737*Size+0.043*Size2</w:t>
            </w:r>
          </w:p>
          <w:p w14:paraId="708AD1DA">
            <w:pPr>
              <w:ind w:firstLine="360"/>
              <w:jc w:val="left"/>
              <w:rPr>
                <w:rFonts w:cs="Times New Roman"/>
                <w:sz w:val="18"/>
                <w:szCs w:val="18"/>
              </w:rPr>
            </w:pPr>
            <w:r>
              <w:rPr>
                <w:rFonts w:cs="Times New Roman"/>
                <w:sz w:val="18"/>
                <w:szCs w:val="18"/>
              </w:rPr>
              <w:t>–0.040Age</w:t>
            </w:r>
          </w:p>
        </w:tc>
        <w:tc>
          <w:tcPr>
            <w:tcW w:w="2818" w:type="dxa"/>
          </w:tcPr>
          <w:p w14:paraId="18A18FC9">
            <w:pPr>
              <w:ind w:firstLine="360"/>
              <w:jc w:val="left"/>
              <w:rPr>
                <w:rFonts w:cs="Times New Roman"/>
                <w:sz w:val="18"/>
                <w:szCs w:val="18"/>
              </w:rPr>
            </w:pPr>
            <w:r>
              <w:rPr>
                <w:rFonts w:cs="Times New Roman"/>
                <w:sz w:val="18"/>
                <w:szCs w:val="18"/>
              </w:rPr>
              <w:t>CSMAR database</w:t>
            </w:r>
          </w:p>
        </w:tc>
      </w:tr>
      <w:tr w14:paraId="4C44E53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Borders>
              <w:bottom w:val="single" w:color="000000" w:sz="4" w:space="0"/>
            </w:tcBorders>
          </w:tcPr>
          <w:p w14:paraId="22B0F189">
            <w:pPr>
              <w:ind w:firstLine="360"/>
              <w:jc w:val="left"/>
              <w:rPr>
                <w:rFonts w:cs="Times New Roman"/>
                <w:sz w:val="18"/>
                <w:szCs w:val="18"/>
              </w:rPr>
            </w:pPr>
            <w:r>
              <w:rPr>
                <w:rFonts w:hint="eastAsia" w:cs="Times New Roman"/>
                <w:sz w:val="18"/>
                <w:szCs w:val="18"/>
              </w:rPr>
              <w:t>RF</w:t>
            </w:r>
          </w:p>
        </w:tc>
        <w:tc>
          <w:tcPr>
            <w:tcW w:w="2895" w:type="dxa"/>
            <w:tcBorders>
              <w:bottom w:val="single" w:color="000000" w:sz="4" w:space="0"/>
            </w:tcBorders>
          </w:tcPr>
          <w:p w14:paraId="792EDE45">
            <w:pPr>
              <w:ind w:firstLine="360"/>
              <w:jc w:val="left"/>
              <w:rPr>
                <w:rFonts w:cs="Times New Roman"/>
                <w:sz w:val="18"/>
                <w:szCs w:val="18"/>
              </w:rPr>
            </w:pPr>
            <w:r>
              <w:rPr>
                <w:rFonts w:cs="Times New Roman"/>
                <w:sz w:val="18"/>
                <w:szCs w:val="18"/>
              </w:rPr>
              <w:t>Proportion of female executives</w:t>
            </w:r>
          </w:p>
        </w:tc>
        <w:tc>
          <w:tcPr>
            <w:tcW w:w="2818" w:type="dxa"/>
            <w:tcBorders>
              <w:bottom w:val="single" w:color="000000" w:sz="4" w:space="0"/>
            </w:tcBorders>
          </w:tcPr>
          <w:p w14:paraId="1612048A">
            <w:pPr>
              <w:ind w:firstLine="360"/>
              <w:jc w:val="left"/>
              <w:rPr>
                <w:rFonts w:cs="Times New Roman"/>
                <w:sz w:val="18"/>
                <w:szCs w:val="18"/>
              </w:rPr>
            </w:pPr>
            <w:r>
              <w:rPr>
                <w:rFonts w:cs="Times New Roman"/>
                <w:sz w:val="18"/>
                <w:szCs w:val="18"/>
              </w:rPr>
              <w:t>CSMAR database</w:t>
            </w:r>
          </w:p>
        </w:tc>
      </w:tr>
    </w:tbl>
    <w:p w14:paraId="0A197873">
      <w:pPr>
        <w:ind w:firstLine="480"/>
      </w:pPr>
    </w:p>
    <w:p w14:paraId="0E2E799F">
      <w:pPr>
        <w:ind w:firstLine="480"/>
      </w:pPr>
    </w:p>
    <w:p w14:paraId="27FC71D3">
      <w:pPr>
        <w:ind w:firstLine="480"/>
      </w:pPr>
    </w:p>
    <w:p w14:paraId="1AA773D0">
      <w:pPr>
        <w:ind w:firstLine="480"/>
      </w:pPr>
    </w:p>
    <w:p w14:paraId="2512A2F8">
      <w:pPr>
        <w:ind w:firstLine="480"/>
      </w:pPr>
    </w:p>
    <w:p w14:paraId="5702C49B">
      <w:pPr>
        <w:ind w:firstLine="480"/>
      </w:pPr>
    </w:p>
    <w:p w14:paraId="203D5736">
      <w:pPr>
        <w:ind w:firstLine="480"/>
      </w:pPr>
    </w:p>
    <w:p w14:paraId="6C47717B">
      <w:pPr>
        <w:ind w:firstLine="480"/>
      </w:pPr>
    </w:p>
    <w:p w14:paraId="0BD964BD">
      <w:pPr>
        <w:ind w:firstLine="480"/>
      </w:pPr>
    </w:p>
    <w:p w14:paraId="2DFA4D40">
      <w:pPr>
        <w:ind w:firstLine="480"/>
      </w:pPr>
    </w:p>
    <w:p w14:paraId="767258A1">
      <w:pPr>
        <w:ind w:firstLine="480"/>
      </w:pPr>
    </w:p>
    <w:p w14:paraId="1BBF042A">
      <w:pPr>
        <w:ind w:firstLine="480"/>
      </w:pPr>
    </w:p>
    <w:p w14:paraId="0A0F737D">
      <w:pPr>
        <w:ind w:firstLine="480"/>
      </w:pPr>
      <w:r>
        <w:t xml:space="preserve">Appendix </w:t>
      </w:r>
      <w:r>
        <w:rPr>
          <w:rFonts w:hint="eastAsia"/>
        </w:rPr>
        <w:t>t</w:t>
      </w:r>
      <w:r>
        <w:t>able</w:t>
      </w:r>
      <w:r>
        <w:rPr>
          <w:rFonts w:hint="eastAsia"/>
        </w:rPr>
        <w:t>2</w:t>
      </w:r>
    </w:p>
    <w:tbl>
      <w:tblPr>
        <w:tblStyle w:val="1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38AE91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op w:val="single" w:color="auto" w:sz="4" w:space="0"/>
              <w:bottom w:val="single" w:color="auto" w:sz="4" w:space="0"/>
            </w:tcBorders>
          </w:tcPr>
          <w:p w14:paraId="0DCE26AE">
            <w:pPr>
              <w:ind w:firstLine="480"/>
              <w:jc w:val="center"/>
              <w:rPr>
                <w:rFonts w:cs="Times New Roman"/>
                <w:szCs w:val="21"/>
              </w:rPr>
            </w:pPr>
            <w:r>
              <w:rPr>
                <w:rFonts w:cs="Times New Roman"/>
                <w:szCs w:val="21"/>
              </w:rPr>
              <w:t>climate risk keywords</w:t>
            </w:r>
          </w:p>
        </w:tc>
      </w:tr>
      <w:tr w14:paraId="25E307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Borders>
              <w:top w:val="single" w:color="auto" w:sz="4" w:space="0"/>
            </w:tcBorders>
          </w:tcPr>
          <w:p w14:paraId="1C0C7B4D">
            <w:pPr>
              <w:ind w:firstLine="480"/>
              <w:rPr>
                <w:rFonts w:cs="Times New Roman"/>
                <w:szCs w:val="21"/>
              </w:rPr>
            </w:pPr>
            <w:r>
              <w:rPr>
                <w:rFonts w:cs="Times New Roman"/>
                <w:szCs w:val="21"/>
              </w:rPr>
              <w:t>Energy efficiency improvement, fuel efficiency, renewable energy, low-carbon, green, low-emission, reducing consumption, fuel, conserving water, photovoltaic, electricity, clean energy, environment, ecology, solar energy, upgrading, recycling, rate of utilization, wind, nuclear, and natural gas, intensive, wind power, photovoltaic, fuel consumption, electricity consumption, energy consumption, high efficiency, and refurbishment Climate, weather, humidity, temperature of the water, cooling, cold, temperature, rainfall, temperature, rainwater, rainy season, conditions of the rainfall, precipitation, overcast rain, rainy, extreme cold, winter, flood season, high humidity, water parameters, sunlight, water scarcity, high altitude, and cold wave</w:t>
            </w:r>
            <w:r>
              <w:rPr>
                <w:rFonts w:hint="eastAsia" w:cs="Times New Roman"/>
                <w:szCs w:val="21"/>
              </w:rPr>
              <w:t>,</w:t>
            </w:r>
            <w:r>
              <w:rPr>
                <w:rFonts w:cs="Times New Roman"/>
                <w:szCs w:val="21"/>
              </w:rPr>
              <w:t xml:space="preserve"> Subsidence, surface water, flood conditions, storm, storm, mudslide, landslide, hurricane, typhoon, tsunami, drought and flood, extreme, severe, waterlogging, powerful wind, freezing, snow disaster, drought, flood and waterlogging, heavy rain, tornado, hail, flood disaster, rain and snow, freezing, blizzard, freeze damage, drought, drought conditions, heavy rainfall, flood, severe cold, sandstorm.</w:t>
            </w:r>
          </w:p>
        </w:tc>
      </w:tr>
    </w:tbl>
    <w:p w14:paraId="11B1DA1E">
      <w:pPr>
        <w:ind w:firstLine="0" w:firstLineChars="0"/>
      </w:pPr>
    </w:p>
    <w:p w14:paraId="6F097E26">
      <w:pPr>
        <w:ind w:firstLine="0" w:firstLineChars="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tbl>
      <w:tblPr>
        <w:tblStyle w:val="15"/>
        <w:tblpPr w:leftFromText="180" w:rightFromText="180" w:tblpY="750"/>
        <w:tblW w:w="9590" w:type="dxa"/>
        <w:tblInd w:w="0" w:type="dxa"/>
        <w:tblLayout w:type="fixed"/>
        <w:tblCellMar>
          <w:top w:w="0" w:type="dxa"/>
          <w:left w:w="108" w:type="dxa"/>
          <w:bottom w:w="0" w:type="dxa"/>
          <w:right w:w="108" w:type="dxa"/>
        </w:tblCellMar>
      </w:tblPr>
      <w:tblGrid>
        <w:gridCol w:w="951"/>
        <w:gridCol w:w="183"/>
        <w:gridCol w:w="3179"/>
        <w:gridCol w:w="1758"/>
        <w:gridCol w:w="1758"/>
        <w:gridCol w:w="1761"/>
      </w:tblGrid>
      <w:tr w14:paraId="3C4FC4FE">
        <w:tblPrEx>
          <w:tblCellMar>
            <w:top w:w="0" w:type="dxa"/>
            <w:left w:w="108" w:type="dxa"/>
            <w:bottom w:w="0" w:type="dxa"/>
            <w:right w:w="108" w:type="dxa"/>
          </w:tblCellMar>
        </w:tblPrEx>
        <w:trPr>
          <w:trHeight w:val="257" w:hRule="atLeast"/>
        </w:trPr>
        <w:tc>
          <w:tcPr>
            <w:tcW w:w="1134" w:type="dxa"/>
            <w:gridSpan w:val="2"/>
            <w:tcBorders>
              <w:top w:val="single" w:color="auto" w:sz="4" w:space="0"/>
              <w:left w:val="nil"/>
              <w:bottom w:val="single" w:color="auto" w:sz="12" w:space="0"/>
              <w:right w:val="nil"/>
            </w:tcBorders>
            <w:vAlign w:val="center"/>
          </w:tcPr>
          <w:p w14:paraId="5A395C0F">
            <w:pPr>
              <w:ind w:firstLine="0" w:firstLineChars="0"/>
              <w:rPr>
                <w:rFonts w:cs="Times New Roman"/>
                <w:szCs w:val="21"/>
              </w:rPr>
            </w:pPr>
            <w:r>
              <w:rPr>
                <w:rFonts w:cs="Times New Roman"/>
                <w:szCs w:val="21"/>
              </w:rPr>
              <w:t>Industry code</w:t>
            </w:r>
          </w:p>
        </w:tc>
        <w:tc>
          <w:tcPr>
            <w:tcW w:w="3179" w:type="dxa"/>
            <w:tcBorders>
              <w:top w:val="single" w:color="auto" w:sz="4" w:space="0"/>
              <w:left w:val="nil"/>
              <w:bottom w:val="single" w:color="auto" w:sz="12" w:space="0"/>
              <w:right w:val="nil"/>
            </w:tcBorders>
            <w:vAlign w:val="center"/>
          </w:tcPr>
          <w:p w14:paraId="658D86C9">
            <w:pPr>
              <w:ind w:firstLine="420" w:firstLineChars="0"/>
              <w:jc w:val="center"/>
              <w:rPr>
                <w:rFonts w:cs="Times New Roman"/>
                <w:szCs w:val="21"/>
              </w:rPr>
            </w:pPr>
            <w:r>
              <w:rPr>
                <w:rFonts w:cs="Times New Roman"/>
                <w:szCs w:val="21"/>
              </w:rPr>
              <w:t>Industry Name</w:t>
            </w:r>
          </w:p>
        </w:tc>
        <w:tc>
          <w:tcPr>
            <w:tcW w:w="1758" w:type="dxa"/>
            <w:tcBorders>
              <w:top w:val="single" w:color="auto" w:sz="4" w:space="0"/>
              <w:left w:val="nil"/>
              <w:bottom w:val="single" w:color="auto" w:sz="12" w:space="0"/>
              <w:right w:val="nil"/>
            </w:tcBorders>
            <w:vAlign w:val="center"/>
          </w:tcPr>
          <w:p w14:paraId="0178B6F9">
            <w:pPr>
              <w:ind w:firstLine="420" w:firstLineChars="0"/>
              <w:jc w:val="center"/>
              <w:rPr>
                <w:rFonts w:cs="Times New Roman"/>
                <w:szCs w:val="21"/>
              </w:rPr>
            </w:pPr>
            <w:r>
              <w:rPr>
                <w:rFonts w:cs="Times New Roman"/>
                <w:szCs w:val="21"/>
              </w:rPr>
              <w:t>Freq.</w:t>
            </w:r>
          </w:p>
        </w:tc>
        <w:tc>
          <w:tcPr>
            <w:tcW w:w="1758" w:type="dxa"/>
            <w:tcBorders>
              <w:top w:val="single" w:color="auto" w:sz="4" w:space="0"/>
              <w:left w:val="nil"/>
              <w:bottom w:val="single" w:color="auto" w:sz="12" w:space="0"/>
              <w:right w:val="nil"/>
            </w:tcBorders>
            <w:vAlign w:val="center"/>
          </w:tcPr>
          <w:p w14:paraId="0F101BCB">
            <w:pPr>
              <w:ind w:firstLine="420" w:firstLineChars="0"/>
              <w:jc w:val="center"/>
              <w:rPr>
                <w:rFonts w:cs="Times New Roman"/>
                <w:szCs w:val="21"/>
              </w:rPr>
            </w:pPr>
            <w:r>
              <w:rPr>
                <w:rFonts w:cs="Times New Roman"/>
                <w:szCs w:val="21"/>
              </w:rPr>
              <w:t>Percent</w:t>
            </w:r>
          </w:p>
        </w:tc>
        <w:tc>
          <w:tcPr>
            <w:tcW w:w="1761" w:type="dxa"/>
            <w:tcBorders>
              <w:top w:val="single" w:color="auto" w:sz="4" w:space="0"/>
              <w:left w:val="nil"/>
              <w:bottom w:val="single" w:color="auto" w:sz="12" w:space="0"/>
              <w:right w:val="nil"/>
            </w:tcBorders>
            <w:vAlign w:val="center"/>
          </w:tcPr>
          <w:p w14:paraId="7806EA19">
            <w:pPr>
              <w:ind w:firstLine="420" w:firstLineChars="0"/>
              <w:jc w:val="center"/>
              <w:rPr>
                <w:rFonts w:cs="Times New Roman"/>
                <w:szCs w:val="21"/>
              </w:rPr>
            </w:pPr>
            <w:r>
              <w:rPr>
                <w:rFonts w:cs="Times New Roman"/>
                <w:szCs w:val="21"/>
              </w:rPr>
              <w:t>Cum.</w:t>
            </w:r>
          </w:p>
        </w:tc>
      </w:tr>
      <w:tr w14:paraId="2CB1C462">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5B4528E7">
            <w:pPr>
              <w:ind w:firstLine="420" w:firstLineChars="0"/>
              <w:jc w:val="center"/>
              <w:rPr>
                <w:rFonts w:cs="Times New Roman"/>
                <w:szCs w:val="21"/>
              </w:rPr>
            </w:pPr>
            <w:r>
              <w:rPr>
                <w:rFonts w:cs="Times New Roman"/>
                <w:szCs w:val="21"/>
              </w:rPr>
              <w:t>A</w:t>
            </w:r>
          </w:p>
        </w:tc>
        <w:tc>
          <w:tcPr>
            <w:tcW w:w="3179" w:type="dxa"/>
            <w:tcBorders>
              <w:top w:val="nil"/>
              <w:left w:val="nil"/>
              <w:bottom w:val="nil"/>
              <w:right w:val="nil"/>
            </w:tcBorders>
            <w:vAlign w:val="center"/>
          </w:tcPr>
          <w:p w14:paraId="073EFD96">
            <w:pPr>
              <w:ind w:firstLine="420" w:firstLineChars="0"/>
              <w:jc w:val="center"/>
              <w:rPr>
                <w:rFonts w:cs="Times New Roman"/>
                <w:szCs w:val="21"/>
              </w:rPr>
            </w:pPr>
            <w:r>
              <w:rPr>
                <w:rFonts w:cs="Times New Roman"/>
                <w:szCs w:val="21"/>
              </w:rPr>
              <w:t>Agriculture, Forestry, Animal Husbandry, and Fishery</w:t>
            </w:r>
          </w:p>
        </w:tc>
        <w:tc>
          <w:tcPr>
            <w:tcW w:w="1758" w:type="dxa"/>
            <w:tcBorders>
              <w:top w:val="nil"/>
              <w:left w:val="nil"/>
              <w:bottom w:val="nil"/>
              <w:right w:val="nil"/>
            </w:tcBorders>
            <w:vAlign w:val="center"/>
          </w:tcPr>
          <w:p w14:paraId="16932AE7">
            <w:pPr>
              <w:ind w:firstLine="420" w:firstLineChars="0"/>
              <w:jc w:val="center"/>
              <w:rPr>
                <w:rFonts w:cs="Times New Roman"/>
                <w:szCs w:val="21"/>
              </w:rPr>
            </w:pPr>
            <w:r>
              <w:rPr>
                <w:rFonts w:hint="eastAsia" w:cs="Times New Roman"/>
                <w:szCs w:val="21"/>
              </w:rPr>
              <w:t>343</w:t>
            </w:r>
          </w:p>
        </w:tc>
        <w:tc>
          <w:tcPr>
            <w:tcW w:w="1758" w:type="dxa"/>
            <w:tcBorders>
              <w:top w:val="nil"/>
              <w:left w:val="nil"/>
              <w:bottom w:val="nil"/>
              <w:right w:val="nil"/>
            </w:tcBorders>
            <w:vAlign w:val="center"/>
          </w:tcPr>
          <w:p w14:paraId="26E1975E">
            <w:pPr>
              <w:ind w:firstLine="420" w:firstLineChars="0"/>
              <w:jc w:val="center"/>
              <w:rPr>
                <w:rFonts w:cs="Times New Roman"/>
                <w:szCs w:val="21"/>
              </w:rPr>
            </w:pPr>
            <w:r>
              <w:rPr>
                <w:rFonts w:cs="Times New Roman"/>
                <w:szCs w:val="21"/>
              </w:rPr>
              <w:t>1.</w:t>
            </w:r>
            <w:r>
              <w:rPr>
                <w:rFonts w:hint="eastAsia" w:cs="Times New Roman"/>
                <w:szCs w:val="21"/>
              </w:rPr>
              <w:t>1</w:t>
            </w:r>
            <w:r>
              <w:rPr>
                <w:rFonts w:cs="Times New Roman"/>
                <w:szCs w:val="21"/>
              </w:rPr>
              <w:t>5</w:t>
            </w:r>
          </w:p>
        </w:tc>
        <w:tc>
          <w:tcPr>
            <w:tcW w:w="1761" w:type="dxa"/>
            <w:tcBorders>
              <w:top w:val="nil"/>
              <w:left w:val="nil"/>
              <w:bottom w:val="nil"/>
              <w:right w:val="nil"/>
            </w:tcBorders>
            <w:vAlign w:val="center"/>
          </w:tcPr>
          <w:p w14:paraId="3778B483">
            <w:pPr>
              <w:ind w:firstLine="420" w:firstLineChars="0"/>
              <w:jc w:val="center"/>
              <w:rPr>
                <w:rFonts w:cs="Times New Roman"/>
                <w:szCs w:val="21"/>
              </w:rPr>
            </w:pPr>
            <w:r>
              <w:rPr>
                <w:rFonts w:cs="Times New Roman"/>
                <w:szCs w:val="21"/>
              </w:rPr>
              <w:t>1.</w:t>
            </w:r>
            <w:r>
              <w:rPr>
                <w:rFonts w:hint="eastAsia" w:cs="Times New Roman"/>
                <w:szCs w:val="21"/>
              </w:rPr>
              <w:t>1</w:t>
            </w:r>
            <w:r>
              <w:rPr>
                <w:rFonts w:cs="Times New Roman"/>
                <w:szCs w:val="21"/>
              </w:rPr>
              <w:t>5</w:t>
            </w:r>
          </w:p>
        </w:tc>
      </w:tr>
      <w:tr w14:paraId="3A9E423B">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3AC79F52">
            <w:pPr>
              <w:ind w:firstLine="420" w:firstLineChars="0"/>
              <w:jc w:val="center"/>
              <w:rPr>
                <w:rFonts w:cs="Times New Roman"/>
                <w:szCs w:val="21"/>
              </w:rPr>
            </w:pPr>
            <w:r>
              <w:rPr>
                <w:rFonts w:cs="Times New Roman"/>
                <w:szCs w:val="21"/>
              </w:rPr>
              <w:t>B</w:t>
            </w:r>
          </w:p>
        </w:tc>
        <w:tc>
          <w:tcPr>
            <w:tcW w:w="3179" w:type="dxa"/>
            <w:tcBorders>
              <w:top w:val="nil"/>
              <w:left w:val="nil"/>
              <w:bottom w:val="nil"/>
              <w:right w:val="nil"/>
            </w:tcBorders>
            <w:vAlign w:val="center"/>
          </w:tcPr>
          <w:p w14:paraId="1737DDB7">
            <w:pPr>
              <w:ind w:firstLine="420" w:firstLineChars="0"/>
              <w:jc w:val="center"/>
              <w:rPr>
                <w:rFonts w:cs="Times New Roman"/>
                <w:szCs w:val="21"/>
              </w:rPr>
            </w:pPr>
            <w:r>
              <w:rPr>
                <w:rFonts w:cs="Times New Roman"/>
                <w:szCs w:val="21"/>
              </w:rPr>
              <w:t>Mining</w:t>
            </w:r>
          </w:p>
        </w:tc>
        <w:tc>
          <w:tcPr>
            <w:tcW w:w="1758" w:type="dxa"/>
            <w:tcBorders>
              <w:top w:val="nil"/>
              <w:left w:val="nil"/>
              <w:bottom w:val="nil"/>
              <w:right w:val="nil"/>
            </w:tcBorders>
            <w:vAlign w:val="center"/>
          </w:tcPr>
          <w:p w14:paraId="55416F8D">
            <w:pPr>
              <w:ind w:firstLine="420" w:firstLineChars="0"/>
              <w:jc w:val="center"/>
              <w:rPr>
                <w:rFonts w:cs="Times New Roman"/>
                <w:szCs w:val="21"/>
              </w:rPr>
            </w:pPr>
            <w:r>
              <w:rPr>
                <w:rFonts w:hint="eastAsia" w:cs="Times New Roman"/>
                <w:szCs w:val="21"/>
              </w:rPr>
              <w:t>655</w:t>
            </w:r>
          </w:p>
        </w:tc>
        <w:tc>
          <w:tcPr>
            <w:tcW w:w="1758" w:type="dxa"/>
            <w:tcBorders>
              <w:top w:val="nil"/>
              <w:left w:val="nil"/>
              <w:bottom w:val="nil"/>
              <w:right w:val="nil"/>
            </w:tcBorders>
            <w:vAlign w:val="center"/>
          </w:tcPr>
          <w:p w14:paraId="4A61454B">
            <w:pPr>
              <w:ind w:firstLine="420" w:firstLineChars="0"/>
              <w:jc w:val="center"/>
              <w:rPr>
                <w:rFonts w:cs="Times New Roman"/>
                <w:szCs w:val="21"/>
              </w:rPr>
            </w:pPr>
            <w:r>
              <w:rPr>
                <w:rFonts w:cs="Times New Roman"/>
                <w:szCs w:val="21"/>
              </w:rPr>
              <w:t>2.</w:t>
            </w:r>
            <w:r>
              <w:rPr>
                <w:rFonts w:hint="eastAsia" w:cs="Times New Roman"/>
                <w:szCs w:val="21"/>
              </w:rPr>
              <w:t>21</w:t>
            </w:r>
          </w:p>
        </w:tc>
        <w:tc>
          <w:tcPr>
            <w:tcW w:w="1761" w:type="dxa"/>
            <w:tcBorders>
              <w:top w:val="nil"/>
              <w:left w:val="nil"/>
              <w:bottom w:val="nil"/>
              <w:right w:val="nil"/>
            </w:tcBorders>
            <w:vAlign w:val="center"/>
          </w:tcPr>
          <w:p w14:paraId="10AC3C9E">
            <w:pPr>
              <w:ind w:firstLine="420" w:firstLineChars="0"/>
              <w:jc w:val="center"/>
              <w:rPr>
                <w:rFonts w:cs="Times New Roman"/>
                <w:szCs w:val="21"/>
              </w:rPr>
            </w:pPr>
            <w:r>
              <w:rPr>
                <w:rFonts w:cs="Times New Roman"/>
                <w:szCs w:val="21"/>
              </w:rPr>
              <w:t>3.</w:t>
            </w:r>
            <w:r>
              <w:rPr>
                <w:rFonts w:hint="eastAsia" w:cs="Times New Roman"/>
                <w:szCs w:val="21"/>
              </w:rPr>
              <w:t>36</w:t>
            </w:r>
          </w:p>
        </w:tc>
      </w:tr>
      <w:tr w14:paraId="40355624">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645F9A30">
            <w:pPr>
              <w:ind w:firstLine="420" w:firstLineChars="0"/>
              <w:jc w:val="center"/>
              <w:rPr>
                <w:rFonts w:cs="Times New Roman"/>
                <w:szCs w:val="21"/>
              </w:rPr>
            </w:pPr>
            <w:r>
              <w:rPr>
                <w:rFonts w:cs="Times New Roman"/>
                <w:szCs w:val="21"/>
              </w:rPr>
              <w:t>C</w:t>
            </w:r>
          </w:p>
        </w:tc>
        <w:tc>
          <w:tcPr>
            <w:tcW w:w="3179" w:type="dxa"/>
            <w:tcBorders>
              <w:top w:val="nil"/>
              <w:left w:val="nil"/>
              <w:bottom w:val="nil"/>
              <w:right w:val="nil"/>
            </w:tcBorders>
            <w:vAlign w:val="center"/>
          </w:tcPr>
          <w:p w14:paraId="42AB0B97">
            <w:pPr>
              <w:ind w:firstLine="420" w:firstLineChars="0"/>
              <w:jc w:val="center"/>
              <w:rPr>
                <w:rFonts w:cs="Times New Roman"/>
                <w:szCs w:val="21"/>
              </w:rPr>
            </w:pPr>
            <w:r>
              <w:rPr>
                <w:rFonts w:cs="Times New Roman"/>
                <w:szCs w:val="21"/>
              </w:rPr>
              <w:t>Manufacturing</w:t>
            </w:r>
          </w:p>
        </w:tc>
        <w:tc>
          <w:tcPr>
            <w:tcW w:w="1758" w:type="dxa"/>
            <w:tcBorders>
              <w:top w:val="nil"/>
              <w:left w:val="nil"/>
              <w:bottom w:val="nil"/>
              <w:right w:val="nil"/>
            </w:tcBorders>
            <w:vAlign w:val="center"/>
          </w:tcPr>
          <w:p w14:paraId="36E865C4">
            <w:pPr>
              <w:ind w:firstLine="420" w:firstLineChars="0"/>
              <w:jc w:val="center"/>
              <w:rPr>
                <w:rFonts w:cs="Times New Roman"/>
                <w:szCs w:val="21"/>
              </w:rPr>
            </w:pPr>
            <w:r>
              <w:rPr>
                <w:rFonts w:cs="Times New Roman"/>
                <w:szCs w:val="21"/>
              </w:rPr>
              <w:t>18,948</w:t>
            </w:r>
          </w:p>
        </w:tc>
        <w:tc>
          <w:tcPr>
            <w:tcW w:w="1758" w:type="dxa"/>
            <w:tcBorders>
              <w:top w:val="nil"/>
              <w:left w:val="nil"/>
              <w:bottom w:val="nil"/>
              <w:right w:val="nil"/>
            </w:tcBorders>
            <w:vAlign w:val="center"/>
          </w:tcPr>
          <w:p w14:paraId="0C94D5BD">
            <w:pPr>
              <w:ind w:firstLine="420" w:firstLineChars="0"/>
              <w:jc w:val="center"/>
              <w:rPr>
                <w:rFonts w:cs="Times New Roman"/>
                <w:szCs w:val="21"/>
              </w:rPr>
            </w:pPr>
            <w:r>
              <w:rPr>
                <w:rFonts w:cs="Times New Roman"/>
                <w:szCs w:val="21"/>
              </w:rPr>
              <w:t>63.79</w:t>
            </w:r>
          </w:p>
        </w:tc>
        <w:tc>
          <w:tcPr>
            <w:tcW w:w="1761" w:type="dxa"/>
            <w:tcBorders>
              <w:top w:val="nil"/>
              <w:left w:val="nil"/>
              <w:bottom w:val="nil"/>
              <w:right w:val="nil"/>
            </w:tcBorders>
            <w:vAlign w:val="center"/>
          </w:tcPr>
          <w:p w14:paraId="44D87CB7">
            <w:pPr>
              <w:ind w:firstLine="420" w:firstLineChars="0"/>
              <w:jc w:val="center"/>
              <w:rPr>
                <w:rFonts w:cs="Times New Roman"/>
                <w:szCs w:val="21"/>
              </w:rPr>
            </w:pPr>
            <w:r>
              <w:rPr>
                <w:rFonts w:cs="Times New Roman"/>
                <w:szCs w:val="21"/>
              </w:rPr>
              <w:t>67.15</w:t>
            </w:r>
          </w:p>
        </w:tc>
      </w:tr>
      <w:tr w14:paraId="65A6FA34">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59367EDD">
            <w:pPr>
              <w:ind w:firstLine="420" w:firstLineChars="0"/>
              <w:jc w:val="center"/>
              <w:rPr>
                <w:rFonts w:cs="Times New Roman"/>
                <w:szCs w:val="21"/>
              </w:rPr>
            </w:pPr>
            <w:r>
              <w:rPr>
                <w:rFonts w:cs="Times New Roman"/>
                <w:szCs w:val="21"/>
              </w:rPr>
              <w:t>D</w:t>
            </w:r>
          </w:p>
        </w:tc>
        <w:tc>
          <w:tcPr>
            <w:tcW w:w="3179" w:type="dxa"/>
            <w:tcBorders>
              <w:top w:val="nil"/>
              <w:left w:val="nil"/>
              <w:bottom w:val="nil"/>
              <w:right w:val="nil"/>
            </w:tcBorders>
            <w:vAlign w:val="center"/>
          </w:tcPr>
          <w:p w14:paraId="1AADD1AF">
            <w:pPr>
              <w:ind w:firstLine="420" w:firstLineChars="0"/>
              <w:jc w:val="center"/>
              <w:rPr>
                <w:rFonts w:cs="Times New Roman"/>
                <w:szCs w:val="21"/>
              </w:rPr>
            </w:pPr>
            <w:r>
              <w:rPr>
                <w:rFonts w:cs="Times New Roman"/>
                <w:szCs w:val="21"/>
              </w:rPr>
              <w:t>Electricity, Heat, Gas, and Water Production and Supply</w:t>
            </w:r>
          </w:p>
        </w:tc>
        <w:tc>
          <w:tcPr>
            <w:tcW w:w="1758" w:type="dxa"/>
            <w:tcBorders>
              <w:top w:val="nil"/>
              <w:left w:val="nil"/>
              <w:bottom w:val="nil"/>
              <w:right w:val="nil"/>
            </w:tcBorders>
            <w:vAlign w:val="center"/>
          </w:tcPr>
          <w:p w14:paraId="1951E18C">
            <w:pPr>
              <w:ind w:firstLine="420" w:firstLineChars="0"/>
              <w:jc w:val="center"/>
              <w:rPr>
                <w:rFonts w:cs="Times New Roman"/>
                <w:szCs w:val="21"/>
              </w:rPr>
            </w:pPr>
            <w:r>
              <w:rPr>
                <w:rFonts w:hint="eastAsia" w:cs="Times New Roman"/>
                <w:szCs w:val="21"/>
              </w:rPr>
              <w:t>971</w:t>
            </w:r>
          </w:p>
        </w:tc>
        <w:tc>
          <w:tcPr>
            <w:tcW w:w="1758" w:type="dxa"/>
            <w:tcBorders>
              <w:top w:val="nil"/>
              <w:left w:val="nil"/>
              <w:bottom w:val="nil"/>
              <w:right w:val="nil"/>
            </w:tcBorders>
            <w:vAlign w:val="center"/>
          </w:tcPr>
          <w:p w14:paraId="75466975">
            <w:pPr>
              <w:ind w:firstLine="420" w:firstLineChars="0"/>
              <w:jc w:val="center"/>
              <w:rPr>
                <w:rFonts w:cs="Times New Roman"/>
                <w:szCs w:val="21"/>
              </w:rPr>
            </w:pPr>
            <w:r>
              <w:rPr>
                <w:rFonts w:cs="Times New Roman"/>
                <w:szCs w:val="21"/>
              </w:rPr>
              <w:t>3.</w:t>
            </w:r>
            <w:r>
              <w:rPr>
                <w:rFonts w:hint="eastAsia" w:cs="Times New Roman"/>
                <w:szCs w:val="21"/>
              </w:rPr>
              <w:t>27</w:t>
            </w:r>
          </w:p>
        </w:tc>
        <w:tc>
          <w:tcPr>
            <w:tcW w:w="1761" w:type="dxa"/>
            <w:tcBorders>
              <w:top w:val="nil"/>
              <w:left w:val="nil"/>
              <w:bottom w:val="nil"/>
              <w:right w:val="nil"/>
            </w:tcBorders>
            <w:vAlign w:val="center"/>
          </w:tcPr>
          <w:p w14:paraId="2948B726">
            <w:pPr>
              <w:ind w:firstLine="420" w:firstLineChars="0"/>
              <w:jc w:val="center"/>
              <w:rPr>
                <w:rFonts w:cs="Times New Roman"/>
                <w:szCs w:val="21"/>
              </w:rPr>
            </w:pPr>
            <w:r>
              <w:rPr>
                <w:rFonts w:cs="Times New Roman"/>
                <w:szCs w:val="21"/>
              </w:rPr>
              <w:t>70.</w:t>
            </w:r>
            <w:r>
              <w:rPr>
                <w:rFonts w:hint="eastAsia" w:cs="Times New Roman"/>
                <w:szCs w:val="21"/>
              </w:rPr>
              <w:t>42</w:t>
            </w:r>
          </w:p>
        </w:tc>
      </w:tr>
      <w:tr w14:paraId="6ECD24B7">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51D98F15">
            <w:pPr>
              <w:ind w:firstLine="420" w:firstLineChars="0"/>
              <w:jc w:val="center"/>
              <w:rPr>
                <w:rFonts w:cs="Times New Roman"/>
                <w:szCs w:val="21"/>
              </w:rPr>
            </w:pPr>
            <w:r>
              <w:rPr>
                <w:rFonts w:cs="Times New Roman"/>
                <w:szCs w:val="21"/>
              </w:rPr>
              <w:t>E</w:t>
            </w:r>
          </w:p>
        </w:tc>
        <w:tc>
          <w:tcPr>
            <w:tcW w:w="3179" w:type="dxa"/>
            <w:tcBorders>
              <w:top w:val="nil"/>
              <w:left w:val="nil"/>
              <w:bottom w:val="nil"/>
              <w:right w:val="nil"/>
            </w:tcBorders>
            <w:vAlign w:val="center"/>
          </w:tcPr>
          <w:p w14:paraId="2252EB94">
            <w:pPr>
              <w:ind w:firstLine="420" w:firstLineChars="0"/>
              <w:jc w:val="center"/>
              <w:rPr>
                <w:rFonts w:cs="Times New Roman"/>
                <w:szCs w:val="21"/>
              </w:rPr>
            </w:pPr>
            <w:r>
              <w:rPr>
                <w:rFonts w:cs="Times New Roman"/>
                <w:szCs w:val="21"/>
              </w:rPr>
              <w:t>Construction</w:t>
            </w:r>
          </w:p>
        </w:tc>
        <w:tc>
          <w:tcPr>
            <w:tcW w:w="1758" w:type="dxa"/>
            <w:tcBorders>
              <w:top w:val="nil"/>
              <w:left w:val="nil"/>
              <w:bottom w:val="nil"/>
              <w:right w:val="nil"/>
            </w:tcBorders>
            <w:vAlign w:val="center"/>
          </w:tcPr>
          <w:p w14:paraId="62244329">
            <w:pPr>
              <w:ind w:firstLine="420" w:firstLineChars="0"/>
              <w:jc w:val="center"/>
              <w:rPr>
                <w:rFonts w:cs="Times New Roman"/>
                <w:szCs w:val="21"/>
              </w:rPr>
            </w:pPr>
            <w:r>
              <w:rPr>
                <w:rFonts w:hint="eastAsia" w:cs="Times New Roman"/>
                <w:szCs w:val="21"/>
              </w:rPr>
              <w:t>831</w:t>
            </w:r>
          </w:p>
        </w:tc>
        <w:tc>
          <w:tcPr>
            <w:tcW w:w="1758" w:type="dxa"/>
            <w:tcBorders>
              <w:top w:val="nil"/>
              <w:left w:val="nil"/>
              <w:bottom w:val="nil"/>
              <w:right w:val="nil"/>
            </w:tcBorders>
            <w:vAlign w:val="center"/>
          </w:tcPr>
          <w:p w14:paraId="24317727">
            <w:pPr>
              <w:ind w:firstLine="420" w:firstLineChars="0"/>
              <w:jc w:val="center"/>
              <w:rPr>
                <w:rFonts w:cs="Times New Roman"/>
                <w:szCs w:val="21"/>
              </w:rPr>
            </w:pPr>
            <w:r>
              <w:rPr>
                <w:rFonts w:cs="Times New Roman"/>
                <w:szCs w:val="21"/>
              </w:rPr>
              <w:t>2.</w:t>
            </w:r>
            <w:r>
              <w:rPr>
                <w:rFonts w:hint="eastAsia" w:cs="Times New Roman"/>
                <w:szCs w:val="21"/>
              </w:rPr>
              <w:t>80</w:t>
            </w:r>
          </w:p>
        </w:tc>
        <w:tc>
          <w:tcPr>
            <w:tcW w:w="1761" w:type="dxa"/>
            <w:tcBorders>
              <w:top w:val="nil"/>
              <w:left w:val="nil"/>
              <w:bottom w:val="nil"/>
              <w:right w:val="nil"/>
            </w:tcBorders>
            <w:vAlign w:val="center"/>
          </w:tcPr>
          <w:p w14:paraId="18B4E54B">
            <w:pPr>
              <w:ind w:firstLine="420" w:firstLineChars="0"/>
              <w:jc w:val="center"/>
              <w:rPr>
                <w:rFonts w:cs="Times New Roman"/>
                <w:szCs w:val="21"/>
              </w:rPr>
            </w:pPr>
            <w:r>
              <w:rPr>
                <w:rFonts w:cs="Times New Roman"/>
                <w:szCs w:val="21"/>
              </w:rPr>
              <w:t>7</w:t>
            </w:r>
            <w:r>
              <w:rPr>
                <w:rFonts w:hint="eastAsia" w:cs="Times New Roman"/>
                <w:szCs w:val="21"/>
              </w:rPr>
              <w:t>3</w:t>
            </w:r>
            <w:r>
              <w:rPr>
                <w:rFonts w:cs="Times New Roman"/>
                <w:szCs w:val="21"/>
              </w:rPr>
              <w:t>.</w:t>
            </w:r>
            <w:r>
              <w:rPr>
                <w:rFonts w:hint="eastAsia" w:cs="Times New Roman"/>
                <w:szCs w:val="21"/>
              </w:rPr>
              <w:t>21</w:t>
            </w:r>
          </w:p>
        </w:tc>
      </w:tr>
      <w:tr w14:paraId="62DE583A">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4F0682B5">
            <w:pPr>
              <w:ind w:firstLine="420" w:firstLineChars="0"/>
              <w:jc w:val="center"/>
              <w:rPr>
                <w:rFonts w:cs="Times New Roman"/>
                <w:szCs w:val="21"/>
              </w:rPr>
            </w:pPr>
            <w:r>
              <w:rPr>
                <w:rFonts w:cs="Times New Roman"/>
                <w:szCs w:val="21"/>
              </w:rPr>
              <w:t>F</w:t>
            </w:r>
          </w:p>
        </w:tc>
        <w:tc>
          <w:tcPr>
            <w:tcW w:w="3179" w:type="dxa"/>
            <w:tcBorders>
              <w:top w:val="nil"/>
              <w:left w:val="nil"/>
              <w:bottom w:val="nil"/>
              <w:right w:val="nil"/>
            </w:tcBorders>
            <w:vAlign w:val="center"/>
          </w:tcPr>
          <w:p w14:paraId="47D127E7">
            <w:pPr>
              <w:ind w:firstLine="420" w:firstLineChars="0"/>
              <w:jc w:val="center"/>
              <w:rPr>
                <w:rFonts w:cs="Times New Roman"/>
                <w:szCs w:val="21"/>
              </w:rPr>
            </w:pPr>
            <w:r>
              <w:rPr>
                <w:rFonts w:cs="Times New Roman"/>
                <w:szCs w:val="21"/>
              </w:rPr>
              <w:t>Wholesale and Retail Trade</w:t>
            </w:r>
          </w:p>
        </w:tc>
        <w:tc>
          <w:tcPr>
            <w:tcW w:w="1758" w:type="dxa"/>
            <w:tcBorders>
              <w:top w:val="nil"/>
              <w:left w:val="nil"/>
              <w:bottom w:val="nil"/>
              <w:right w:val="nil"/>
            </w:tcBorders>
            <w:vAlign w:val="center"/>
          </w:tcPr>
          <w:p w14:paraId="3DF4B411">
            <w:pPr>
              <w:ind w:firstLine="420" w:firstLineChars="0"/>
              <w:jc w:val="center"/>
              <w:rPr>
                <w:rFonts w:cs="Times New Roman"/>
                <w:szCs w:val="21"/>
              </w:rPr>
            </w:pPr>
            <w:r>
              <w:rPr>
                <w:rFonts w:cs="Times New Roman"/>
                <w:szCs w:val="21"/>
              </w:rPr>
              <w:t>1</w:t>
            </w:r>
            <w:r>
              <w:rPr>
                <w:rFonts w:hint="eastAsia" w:cs="Times New Roman"/>
                <w:szCs w:val="21"/>
              </w:rPr>
              <w:t>565</w:t>
            </w:r>
          </w:p>
        </w:tc>
        <w:tc>
          <w:tcPr>
            <w:tcW w:w="1758" w:type="dxa"/>
            <w:tcBorders>
              <w:top w:val="nil"/>
              <w:left w:val="nil"/>
              <w:bottom w:val="nil"/>
              <w:right w:val="nil"/>
            </w:tcBorders>
            <w:vAlign w:val="center"/>
          </w:tcPr>
          <w:p w14:paraId="6FACC046">
            <w:pPr>
              <w:ind w:firstLine="420" w:firstLineChars="0"/>
              <w:jc w:val="center"/>
              <w:rPr>
                <w:rFonts w:cs="Times New Roman"/>
                <w:szCs w:val="21"/>
              </w:rPr>
            </w:pPr>
            <w:r>
              <w:rPr>
                <w:rFonts w:cs="Times New Roman"/>
                <w:szCs w:val="21"/>
              </w:rPr>
              <w:t>5.</w:t>
            </w:r>
            <w:r>
              <w:rPr>
                <w:rFonts w:hint="eastAsia" w:cs="Times New Roman"/>
                <w:szCs w:val="21"/>
              </w:rPr>
              <w:t>27</w:t>
            </w:r>
          </w:p>
        </w:tc>
        <w:tc>
          <w:tcPr>
            <w:tcW w:w="1761" w:type="dxa"/>
            <w:tcBorders>
              <w:top w:val="nil"/>
              <w:left w:val="nil"/>
              <w:bottom w:val="nil"/>
              <w:right w:val="nil"/>
            </w:tcBorders>
            <w:vAlign w:val="center"/>
          </w:tcPr>
          <w:p w14:paraId="51591DF0">
            <w:pPr>
              <w:ind w:firstLine="420" w:firstLineChars="0"/>
              <w:jc w:val="center"/>
              <w:rPr>
                <w:rFonts w:cs="Times New Roman"/>
                <w:szCs w:val="21"/>
              </w:rPr>
            </w:pPr>
            <w:r>
              <w:rPr>
                <w:rFonts w:cs="Times New Roman"/>
                <w:szCs w:val="21"/>
              </w:rPr>
              <w:t>78.4</w:t>
            </w:r>
            <w:r>
              <w:rPr>
                <w:rFonts w:hint="eastAsia" w:cs="Times New Roman"/>
                <w:szCs w:val="21"/>
              </w:rPr>
              <w:t>8</w:t>
            </w:r>
          </w:p>
        </w:tc>
      </w:tr>
      <w:tr w14:paraId="4C607F39">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06EB9353">
            <w:pPr>
              <w:ind w:firstLine="420" w:firstLineChars="0"/>
              <w:jc w:val="center"/>
              <w:rPr>
                <w:rFonts w:cs="Times New Roman"/>
                <w:szCs w:val="21"/>
              </w:rPr>
            </w:pPr>
            <w:r>
              <w:rPr>
                <w:rFonts w:cs="Times New Roman"/>
                <w:szCs w:val="21"/>
              </w:rPr>
              <w:t>G</w:t>
            </w:r>
          </w:p>
        </w:tc>
        <w:tc>
          <w:tcPr>
            <w:tcW w:w="3179" w:type="dxa"/>
            <w:tcBorders>
              <w:top w:val="nil"/>
              <w:left w:val="nil"/>
              <w:bottom w:val="nil"/>
              <w:right w:val="nil"/>
            </w:tcBorders>
            <w:vAlign w:val="center"/>
          </w:tcPr>
          <w:p w14:paraId="167F79FF">
            <w:pPr>
              <w:ind w:firstLine="420" w:firstLineChars="0"/>
              <w:jc w:val="center"/>
              <w:rPr>
                <w:rFonts w:cs="Times New Roman"/>
                <w:szCs w:val="21"/>
              </w:rPr>
            </w:pPr>
            <w:r>
              <w:rPr>
                <w:rFonts w:cs="Times New Roman"/>
                <w:szCs w:val="21"/>
              </w:rPr>
              <w:t>Transportation, Storage, and Postal Services</w:t>
            </w:r>
          </w:p>
        </w:tc>
        <w:tc>
          <w:tcPr>
            <w:tcW w:w="1758" w:type="dxa"/>
            <w:tcBorders>
              <w:top w:val="nil"/>
              <w:left w:val="nil"/>
              <w:bottom w:val="nil"/>
              <w:right w:val="nil"/>
            </w:tcBorders>
            <w:vAlign w:val="center"/>
          </w:tcPr>
          <w:p w14:paraId="3377F0DF">
            <w:pPr>
              <w:ind w:firstLine="420" w:firstLineChars="0"/>
              <w:jc w:val="center"/>
              <w:rPr>
                <w:rFonts w:cs="Times New Roman"/>
                <w:szCs w:val="21"/>
              </w:rPr>
            </w:pPr>
            <w:r>
              <w:rPr>
                <w:rFonts w:hint="eastAsia" w:cs="Times New Roman"/>
                <w:szCs w:val="21"/>
              </w:rPr>
              <w:t>874</w:t>
            </w:r>
          </w:p>
        </w:tc>
        <w:tc>
          <w:tcPr>
            <w:tcW w:w="1758" w:type="dxa"/>
            <w:tcBorders>
              <w:top w:val="nil"/>
              <w:left w:val="nil"/>
              <w:bottom w:val="nil"/>
              <w:right w:val="nil"/>
            </w:tcBorders>
            <w:vAlign w:val="center"/>
          </w:tcPr>
          <w:p w14:paraId="1B606E8F">
            <w:pPr>
              <w:ind w:firstLine="420" w:firstLineChars="0"/>
              <w:jc w:val="center"/>
              <w:rPr>
                <w:rFonts w:cs="Times New Roman"/>
                <w:szCs w:val="21"/>
              </w:rPr>
            </w:pPr>
            <w:r>
              <w:rPr>
                <w:rFonts w:hint="eastAsia" w:cs="Times New Roman"/>
                <w:szCs w:val="21"/>
              </w:rPr>
              <w:t>2</w:t>
            </w:r>
            <w:r>
              <w:rPr>
                <w:rFonts w:cs="Times New Roman"/>
                <w:szCs w:val="21"/>
              </w:rPr>
              <w:t>.</w:t>
            </w:r>
            <w:r>
              <w:rPr>
                <w:rFonts w:hint="eastAsia" w:cs="Times New Roman"/>
                <w:szCs w:val="21"/>
              </w:rPr>
              <w:t>94</w:t>
            </w:r>
          </w:p>
        </w:tc>
        <w:tc>
          <w:tcPr>
            <w:tcW w:w="1761" w:type="dxa"/>
            <w:tcBorders>
              <w:top w:val="nil"/>
              <w:left w:val="nil"/>
              <w:bottom w:val="nil"/>
              <w:right w:val="nil"/>
            </w:tcBorders>
            <w:vAlign w:val="center"/>
          </w:tcPr>
          <w:p w14:paraId="5D7E2BBB">
            <w:pPr>
              <w:ind w:firstLine="420" w:firstLineChars="0"/>
              <w:jc w:val="center"/>
              <w:rPr>
                <w:rFonts w:cs="Times New Roman"/>
                <w:szCs w:val="21"/>
              </w:rPr>
            </w:pPr>
            <w:r>
              <w:rPr>
                <w:rFonts w:cs="Times New Roman"/>
                <w:szCs w:val="21"/>
              </w:rPr>
              <w:t>81.</w:t>
            </w:r>
            <w:r>
              <w:rPr>
                <w:rFonts w:hint="eastAsia" w:cs="Times New Roman"/>
                <w:szCs w:val="21"/>
              </w:rPr>
              <w:t>42</w:t>
            </w:r>
          </w:p>
        </w:tc>
      </w:tr>
      <w:tr w14:paraId="0F9ACA83">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2CFD82D4">
            <w:pPr>
              <w:ind w:firstLine="420" w:firstLineChars="0"/>
              <w:jc w:val="center"/>
              <w:rPr>
                <w:rFonts w:cs="Times New Roman"/>
                <w:szCs w:val="21"/>
              </w:rPr>
            </w:pPr>
            <w:r>
              <w:rPr>
                <w:rFonts w:cs="Times New Roman"/>
                <w:szCs w:val="21"/>
              </w:rPr>
              <w:t>H</w:t>
            </w:r>
          </w:p>
        </w:tc>
        <w:tc>
          <w:tcPr>
            <w:tcW w:w="3179" w:type="dxa"/>
            <w:tcBorders>
              <w:top w:val="nil"/>
              <w:left w:val="nil"/>
              <w:bottom w:val="nil"/>
              <w:right w:val="nil"/>
            </w:tcBorders>
            <w:vAlign w:val="center"/>
          </w:tcPr>
          <w:p w14:paraId="1490BFAF">
            <w:pPr>
              <w:ind w:firstLine="420" w:firstLineChars="0"/>
              <w:jc w:val="center"/>
              <w:rPr>
                <w:rFonts w:cs="Times New Roman"/>
                <w:szCs w:val="21"/>
              </w:rPr>
            </w:pPr>
            <w:r>
              <w:rPr>
                <w:rFonts w:cs="Times New Roman"/>
                <w:szCs w:val="21"/>
              </w:rPr>
              <w:t>Accommodation and Catering</w:t>
            </w:r>
          </w:p>
        </w:tc>
        <w:tc>
          <w:tcPr>
            <w:tcW w:w="1758" w:type="dxa"/>
            <w:tcBorders>
              <w:top w:val="nil"/>
              <w:left w:val="nil"/>
              <w:bottom w:val="nil"/>
              <w:right w:val="nil"/>
            </w:tcBorders>
            <w:vAlign w:val="center"/>
          </w:tcPr>
          <w:p w14:paraId="101646B0">
            <w:pPr>
              <w:ind w:firstLine="420" w:firstLineChars="0"/>
              <w:jc w:val="center"/>
              <w:rPr>
                <w:rFonts w:cs="Times New Roman"/>
                <w:szCs w:val="21"/>
              </w:rPr>
            </w:pPr>
            <w:r>
              <w:rPr>
                <w:rFonts w:hint="eastAsia" w:cs="Times New Roman"/>
                <w:szCs w:val="21"/>
              </w:rPr>
              <w:t>86</w:t>
            </w:r>
          </w:p>
        </w:tc>
        <w:tc>
          <w:tcPr>
            <w:tcW w:w="1758" w:type="dxa"/>
            <w:tcBorders>
              <w:top w:val="nil"/>
              <w:left w:val="nil"/>
              <w:bottom w:val="nil"/>
              <w:right w:val="nil"/>
            </w:tcBorders>
            <w:vAlign w:val="center"/>
          </w:tcPr>
          <w:p w14:paraId="41A2848F">
            <w:pPr>
              <w:ind w:firstLine="420" w:firstLineChars="0"/>
              <w:jc w:val="center"/>
              <w:rPr>
                <w:rFonts w:cs="Times New Roman"/>
                <w:szCs w:val="21"/>
              </w:rPr>
            </w:pPr>
            <w:r>
              <w:rPr>
                <w:rFonts w:cs="Times New Roman"/>
                <w:szCs w:val="21"/>
              </w:rPr>
              <w:t>0.</w:t>
            </w:r>
            <w:r>
              <w:rPr>
                <w:rFonts w:hint="eastAsia" w:cs="Times New Roman"/>
                <w:szCs w:val="21"/>
              </w:rPr>
              <w:t>29</w:t>
            </w:r>
          </w:p>
        </w:tc>
        <w:tc>
          <w:tcPr>
            <w:tcW w:w="1761" w:type="dxa"/>
            <w:tcBorders>
              <w:top w:val="nil"/>
              <w:left w:val="nil"/>
              <w:bottom w:val="nil"/>
              <w:right w:val="nil"/>
            </w:tcBorders>
            <w:vAlign w:val="center"/>
          </w:tcPr>
          <w:p w14:paraId="12C44BC0">
            <w:pPr>
              <w:ind w:firstLine="420" w:firstLineChars="0"/>
              <w:jc w:val="center"/>
              <w:rPr>
                <w:rFonts w:cs="Times New Roman"/>
                <w:szCs w:val="21"/>
              </w:rPr>
            </w:pPr>
            <w:r>
              <w:rPr>
                <w:rFonts w:cs="Times New Roman"/>
                <w:szCs w:val="21"/>
              </w:rPr>
              <w:t>81.</w:t>
            </w:r>
            <w:r>
              <w:rPr>
                <w:rFonts w:hint="eastAsia" w:cs="Times New Roman"/>
                <w:szCs w:val="21"/>
              </w:rPr>
              <w:t>71</w:t>
            </w:r>
          </w:p>
        </w:tc>
      </w:tr>
      <w:tr w14:paraId="273F17D1">
        <w:tblPrEx>
          <w:tblCellMar>
            <w:top w:w="0" w:type="dxa"/>
            <w:left w:w="108" w:type="dxa"/>
            <w:bottom w:w="0" w:type="dxa"/>
            <w:right w:w="108" w:type="dxa"/>
          </w:tblCellMar>
        </w:tblPrEx>
        <w:trPr>
          <w:trHeight w:val="272" w:hRule="atLeast"/>
        </w:trPr>
        <w:tc>
          <w:tcPr>
            <w:tcW w:w="1134" w:type="dxa"/>
            <w:gridSpan w:val="2"/>
            <w:tcBorders>
              <w:top w:val="nil"/>
              <w:left w:val="nil"/>
              <w:bottom w:val="nil"/>
              <w:right w:val="nil"/>
            </w:tcBorders>
            <w:vAlign w:val="center"/>
          </w:tcPr>
          <w:p w14:paraId="4057BB30">
            <w:pPr>
              <w:ind w:firstLine="420" w:firstLineChars="0"/>
              <w:jc w:val="center"/>
              <w:rPr>
                <w:rFonts w:cs="Times New Roman"/>
                <w:szCs w:val="21"/>
              </w:rPr>
            </w:pPr>
            <w:r>
              <w:rPr>
                <w:rFonts w:cs="Times New Roman"/>
                <w:szCs w:val="21"/>
              </w:rPr>
              <w:t>I</w:t>
            </w:r>
          </w:p>
        </w:tc>
        <w:tc>
          <w:tcPr>
            <w:tcW w:w="3179" w:type="dxa"/>
            <w:tcBorders>
              <w:top w:val="nil"/>
              <w:left w:val="nil"/>
              <w:bottom w:val="nil"/>
              <w:right w:val="nil"/>
            </w:tcBorders>
            <w:vAlign w:val="center"/>
          </w:tcPr>
          <w:p w14:paraId="00B4F1BD">
            <w:pPr>
              <w:ind w:firstLine="420" w:firstLineChars="0"/>
              <w:jc w:val="center"/>
              <w:rPr>
                <w:rFonts w:cs="Times New Roman"/>
                <w:szCs w:val="21"/>
              </w:rPr>
            </w:pPr>
            <w:r>
              <w:rPr>
                <w:rFonts w:cs="Times New Roman"/>
                <w:szCs w:val="21"/>
              </w:rPr>
              <w:t>Information Transmission, Software, and Information Technology Services</w:t>
            </w:r>
          </w:p>
        </w:tc>
        <w:tc>
          <w:tcPr>
            <w:tcW w:w="1758" w:type="dxa"/>
            <w:tcBorders>
              <w:top w:val="nil"/>
              <w:left w:val="nil"/>
              <w:bottom w:val="nil"/>
              <w:right w:val="nil"/>
            </w:tcBorders>
            <w:vAlign w:val="center"/>
          </w:tcPr>
          <w:p w14:paraId="38AA9635">
            <w:pPr>
              <w:ind w:firstLine="420" w:firstLineChars="0"/>
              <w:jc w:val="center"/>
              <w:rPr>
                <w:rFonts w:cs="Times New Roman"/>
                <w:szCs w:val="21"/>
              </w:rPr>
            </w:pPr>
            <w:r>
              <w:rPr>
                <w:rFonts w:cs="Times New Roman"/>
                <w:szCs w:val="21"/>
              </w:rPr>
              <w:t>2</w:t>
            </w:r>
            <w:r>
              <w:rPr>
                <w:rFonts w:hint="eastAsia" w:cs="Times New Roman"/>
                <w:szCs w:val="21"/>
              </w:rPr>
              <w:t>311</w:t>
            </w:r>
          </w:p>
        </w:tc>
        <w:tc>
          <w:tcPr>
            <w:tcW w:w="1758" w:type="dxa"/>
            <w:tcBorders>
              <w:top w:val="nil"/>
              <w:left w:val="nil"/>
              <w:bottom w:val="nil"/>
              <w:right w:val="nil"/>
            </w:tcBorders>
            <w:vAlign w:val="center"/>
          </w:tcPr>
          <w:p w14:paraId="03515217">
            <w:pPr>
              <w:ind w:firstLine="420" w:firstLineChars="0"/>
              <w:jc w:val="center"/>
              <w:rPr>
                <w:rFonts w:cs="Times New Roman"/>
                <w:szCs w:val="21"/>
              </w:rPr>
            </w:pPr>
            <w:r>
              <w:rPr>
                <w:rFonts w:cs="Times New Roman"/>
                <w:szCs w:val="21"/>
              </w:rPr>
              <w:t>7.</w:t>
            </w:r>
            <w:r>
              <w:rPr>
                <w:rFonts w:hint="eastAsia" w:cs="Times New Roman"/>
                <w:szCs w:val="21"/>
              </w:rPr>
              <w:t>78</w:t>
            </w:r>
          </w:p>
        </w:tc>
        <w:tc>
          <w:tcPr>
            <w:tcW w:w="1761" w:type="dxa"/>
            <w:tcBorders>
              <w:top w:val="nil"/>
              <w:left w:val="nil"/>
              <w:bottom w:val="nil"/>
              <w:right w:val="nil"/>
            </w:tcBorders>
            <w:vAlign w:val="center"/>
          </w:tcPr>
          <w:p w14:paraId="61C6EB55">
            <w:pPr>
              <w:ind w:firstLine="420" w:firstLineChars="0"/>
              <w:jc w:val="center"/>
              <w:rPr>
                <w:rFonts w:cs="Times New Roman"/>
                <w:szCs w:val="21"/>
              </w:rPr>
            </w:pPr>
            <w:r>
              <w:rPr>
                <w:rFonts w:cs="Times New Roman"/>
                <w:szCs w:val="21"/>
              </w:rPr>
              <w:t>89.</w:t>
            </w:r>
            <w:r>
              <w:rPr>
                <w:rFonts w:hint="eastAsia" w:cs="Times New Roman"/>
                <w:szCs w:val="21"/>
              </w:rPr>
              <w:t>49</w:t>
            </w:r>
          </w:p>
        </w:tc>
      </w:tr>
      <w:tr w14:paraId="05BA49C6">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3A8161AD">
            <w:pPr>
              <w:ind w:firstLine="420" w:firstLineChars="0"/>
              <w:jc w:val="center"/>
              <w:rPr>
                <w:rFonts w:cs="Times New Roman"/>
                <w:szCs w:val="21"/>
              </w:rPr>
            </w:pPr>
            <w:r>
              <w:rPr>
                <w:rFonts w:cs="Times New Roman"/>
                <w:szCs w:val="21"/>
              </w:rPr>
              <w:t>K</w:t>
            </w:r>
          </w:p>
        </w:tc>
        <w:tc>
          <w:tcPr>
            <w:tcW w:w="3179" w:type="dxa"/>
            <w:tcBorders>
              <w:top w:val="nil"/>
              <w:left w:val="nil"/>
              <w:bottom w:val="nil"/>
              <w:right w:val="nil"/>
            </w:tcBorders>
            <w:vAlign w:val="center"/>
          </w:tcPr>
          <w:p w14:paraId="108CFEE5">
            <w:pPr>
              <w:ind w:firstLine="420" w:firstLineChars="0"/>
              <w:jc w:val="center"/>
              <w:rPr>
                <w:rFonts w:cs="Times New Roman"/>
                <w:szCs w:val="21"/>
              </w:rPr>
            </w:pPr>
            <w:r>
              <w:rPr>
                <w:rFonts w:cs="Times New Roman"/>
                <w:szCs w:val="21"/>
              </w:rPr>
              <w:t>Real Estate</w:t>
            </w:r>
          </w:p>
        </w:tc>
        <w:tc>
          <w:tcPr>
            <w:tcW w:w="1758" w:type="dxa"/>
            <w:tcBorders>
              <w:top w:val="nil"/>
              <w:left w:val="nil"/>
              <w:bottom w:val="nil"/>
              <w:right w:val="nil"/>
            </w:tcBorders>
            <w:vAlign w:val="center"/>
          </w:tcPr>
          <w:p w14:paraId="0C1B50E4">
            <w:pPr>
              <w:ind w:firstLine="420" w:firstLineChars="0"/>
              <w:jc w:val="center"/>
              <w:rPr>
                <w:rFonts w:cs="Times New Roman"/>
                <w:szCs w:val="21"/>
              </w:rPr>
            </w:pPr>
            <w:r>
              <w:rPr>
                <w:rFonts w:cs="Times New Roman"/>
                <w:szCs w:val="21"/>
              </w:rPr>
              <w:t>1</w:t>
            </w:r>
            <w:r>
              <w:rPr>
                <w:rFonts w:hint="eastAsia" w:cs="Times New Roman"/>
                <w:szCs w:val="21"/>
              </w:rPr>
              <w:t>155</w:t>
            </w:r>
          </w:p>
        </w:tc>
        <w:tc>
          <w:tcPr>
            <w:tcW w:w="1758" w:type="dxa"/>
            <w:tcBorders>
              <w:top w:val="nil"/>
              <w:left w:val="nil"/>
              <w:bottom w:val="nil"/>
              <w:right w:val="nil"/>
            </w:tcBorders>
            <w:vAlign w:val="center"/>
          </w:tcPr>
          <w:p w14:paraId="0EFAE910">
            <w:pPr>
              <w:ind w:firstLine="420" w:firstLineChars="0"/>
              <w:jc w:val="center"/>
              <w:rPr>
                <w:rFonts w:cs="Times New Roman"/>
                <w:szCs w:val="21"/>
              </w:rPr>
            </w:pPr>
            <w:r>
              <w:rPr>
                <w:rFonts w:hint="eastAsia" w:cs="Times New Roman"/>
                <w:szCs w:val="21"/>
              </w:rPr>
              <w:t>3</w:t>
            </w:r>
            <w:r>
              <w:rPr>
                <w:rFonts w:cs="Times New Roman"/>
                <w:szCs w:val="21"/>
              </w:rPr>
              <w:t>.</w:t>
            </w:r>
            <w:r>
              <w:rPr>
                <w:rFonts w:hint="eastAsia" w:cs="Times New Roman"/>
                <w:szCs w:val="21"/>
              </w:rPr>
              <w:t>89</w:t>
            </w:r>
          </w:p>
        </w:tc>
        <w:tc>
          <w:tcPr>
            <w:tcW w:w="1761" w:type="dxa"/>
            <w:tcBorders>
              <w:top w:val="nil"/>
              <w:left w:val="nil"/>
              <w:bottom w:val="nil"/>
              <w:right w:val="nil"/>
            </w:tcBorders>
            <w:vAlign w:val="center"/>
          </w:tcPr>
          <w:p w14:paraId="4ACBC10F">
            <w:pPr>
              <w:ind w:firstLine="420" w:firstLineChars="0"/>
              <w:jc w:val="center"/>
              <w:rPr>
                <w:rFonts w:cs="Times New Roman"/>
                <w:szCs w:val="21"/>
              </w:rPr>
            </w:pPr>
            <w:r>
              <w:rPr>
                <w:rFonts w:cs="Times New Roman"/>
                <w:szCs w:val="21"/>
              </w:rPr>
              <w:t>93.</w:t>
            </w:r>
            <w:r>
              <w:rPr>
                <w:rFonts w:hint="eastAsia" w:cs="Times New Roman"/>
                <w:szCs w:val="21"/>
              </w:rPr>
              <w:t>38</w:t>
            </w:r>
          </w:p>
        </w:tc>
      </w:tr>
      <w:tr w14:paraId="34A67D81">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56ACE4EE">
            <w:pPr>
              <w:ind w:firstLine="420" w:firstLineChars="0"/>
              <w:jc w:val="center"/>
              <w:rPr>
                <w:rFonts w:cs="Times New Roman"/>
                <w:szCs w:val="21"/>
              </w:rPr>
            </w:pPr>
            <w:r>
              <w:rPr>
                <w:rFonts w:cs="Times New Roman"/>
                <w:szCs w:val="21"/>
              </w:rPr>
              <w:t>L</w:t>
            </w:r>
          </w:p>
        </w:tc>
        <w:tc>
          <w:tcPr>
            <w:tcW w:w="3179" w:type="dxa"/>
            <w:tcBorders>
              <w:top w:val="nil"/>
              <w:left w:val="nil"/>
              <w:bottom w:val="nil"/>
              <w:right w:val="nil"/>
            </w:tcBorders>
            <w:vAlign w:val="center"/>
          </w:tcPr>
          <w:p w14:paraId="41D75A8C">
            <w:pPr>
              <w:ind w:firstLine="420" w:firstLineChars="0"/>
              <w:jc w:val="center"/>
              <w:rPr>
                <w:rFonts w:cs="Times New Roman"/>
                <w:szCs w:val="21"/>
              </w:rPr>
            </w:pPr>
            <w:r>
              <w:rPr>
                <w:rFonts w:cs="Times New Roman"/>
                <w:szCs w:val="21"/>
              </w:rPr>
              <w:t>Leasing and Business Services</w:t>
            </w:r>
          </w:p>
        </w:tc>
        <w:tc>
          <w:tcPr>
            <w:tcW w:w="1758" w:type="dxa"/>
            <w:tcBorders>
              <w:top w:val="nil"/>
              <w:left w:val="nil"/>
              <w:bottom w:val="nil"/>
              <w:right w:val="nil"/>
            </w:tcBorders>
            <w:vAlign w:val="center"/>
          </w:tcPr>
          <w:p w14:paraId="7DB98FC3">
            <w:pPr>
              <w:ind w:firstLine="420" w:firstLineChars="0"/>
              <w:jc w:val="center"/>
              <w:rPr>
                <w:rFonts w:cs="Times New Roman"/>
                <w:szCs w:val="21"/>
              </w:rPr>
            </w:pPr>
            <w:r>
              <w:rPr>
                <w:rFonts w:hint="eastAsia" w:cs="Times New Roman"/>
                <w:szCs w:val="21"/>
              </w:rPr>
              <w:t>371</w:t>
            </w:r>
          </w:p>
        </w:tc>
        <w:tc>
          <w:tcPr>
            <w:tcW w:w="1758" w:type="dxa"/>
            <w:tcBorders>
              <w:top w:val="nil"/>
              <w:left w:val="nil"/>
              <w:bottom w:val="nil"/>
              <w:right w:val="nil"/>
            </w:tcBorders>
            <w:vAlign w:val="center"/>
          </w:tcPr>
          <w:p w14:paraId="52CD230D">
            <w:pPr>
              <w:ind w:firstLine="420" w:firstLineChars="0"/>
              <w:jc w:val="center"/>
              <w:rPr>
                <w:rFonts w:cs="Times New Roman"/>
                <w:szCs w:val="21"/>
              </w:rPr>
            </w:pPr>
            <w:r>
              <w:rPr>
                <w:rFonts w:cs="Times New Roman"/>
                <w:szCs w:val="21"/>
              </w:rPr>
              <w:t>1.2</w:t>
            </w:r>
            <w:r>
              <w:rPr>
                <w:rFonts w:hint="eastAsia" w:cs="Times New Roman"/>
                <w:szCs w:val="21"/>
              </w:rPr>
              <w:t>5</w:t>
            </w:r>
          </w:p>
        </w:tc>
        <w:tc>
          <w:tcPr>
            <w:tcW w:w="1761" w:type="dxa"/>
            <w:tcBorders>
              <w:top w:val="nil"/>
              <w:left w:val="nil"/>
              <w:bottom w:val="nil"/>
              <w:right w:val="nil"/>
            </w:tcBorders>
            <w:vAlign w:val="center"/>
          </w:tcPr>
          <w:p w14:paraId="22C68344">
            <w:pPr>
              <w:ind w:firstLine="420" w:firstLineChars="0"/>
              <w:jc w:val="center"/>
              <w:rPr>
                <w:rFonts w:cs="Times New Roman"/>
                <w:szCs w:val="21"/>
              </w:rPr>
            </w:pPr>
            <w:r>
              <w:rPr>
                <w:rFonts w:cs="Times New Roman"/>
                <w:szCs w:val="21"/>
              </w:rPr>
              <w:t>94.6</w:t>
            </w:r>
            <w:r>
              <w:rPr>
                <w:rFonts w:hint="eastAsia" w:cs="Times New Roman"/>
                <w:szCs w:val="21"/>
              </w:rPr>
              <w:t>3</w:t>
            </w:r>
          </w:p>
        </w:tc>
      </w:tr>
      <w:tr w14:paraId="2293CB88">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7229815F">
            <w:pPr>
              <w:ind w:firstLine="420" w:firstLineChars="0"/>
              <w:jc w:val="center"/>
              <w:rPr>
                <w:rFonts w:cs="Times New Roman"/>
                <w:szCs w:val="21"/>
              </w:rPr>
            </w:pPr>
            <w:r>
              <w:rPr>
                <w:rFonts w:cs="Times New Roman"/>
                <w:szCs w:val="21"/>
              </w:rPr>
              <w:t>M</w:t>
            </w:r>
          </w:p>
        </w:tc>
        <w:tc>
          <w:tcPr>
            <w:tcW w:w="3179" w:type="dxa"/>
            <w:tcBorders>
              <w:top w:val="nil"/>
              <w:left w:val="nil"/>
              <w:bottom w:val="nil"/>
              <w:right w:val="nil"/>
            </w:tcBorders>
            <w:vAlign w:val="center"/>
          </w:tcPr>
          <w:p w14:paraId="3D550C9A">
            <w:pPr>
              <w:ind w:firstLine="420" w:firstLineChars="0"/>
              <w:jc w:val="center"/>
              <w:rPr>
                <w:rFonts w:cs="Times New Roman"/>
                <w:szCs w:val="21"/>
              </w:rPr>
            </w:pPr>
            <w:r>
              <w:rPr>
                <w:rFonts w:cs="Times New Roman"/>
                <w:szCs w:val="21"/>
              </w:rPr>
              <w:t>Scientific Research and Technical Services</w:t>
            </w:r>
          </w:p>
        </w:tc>
        <w:tc>
          <w:tcPr>
            <w:tcW w:w="1758" w:type="dxa"/>
            <w:tcBorders>
              <w:top w:val="nil"/>
              <w:left w:val="nil"/>
              <w:bottom w:val="nil"/>
              <w:right w:val="nil"/>
            </w:tcBorders>
            <w:vAlign w:val="center"/>
          </w:tcPr>
          <w:p w14:paraId="02D149CA">
            <w:pPr>
              <w:ind w:firstLine="420" w:firstLineChars="0"/>
              <w:jc w:val="center"/>
              <w:rPr>
                <w:rFonts w:cs="Times New Roman"/>
                <w:szCs w:val="21"/>
              </w:rPr>
            </w:pPr>
            <w:r>
              <w:rPr>
                <w:rFonts w:cs="Times New Roman"/>
                <w:szCs w:val="21"/>
              </w:rPr>
              <w:t>4</w:t>
            </w:r>
            <w:r>
              <w:rPr>
                <w:rFonts w:hint="eastAsia" w:cs="Times New Roman"/>
                <w:szCs w:val="21"/>
              </w:rPr>
              <w:t>25</w:t>
            </w:r>
          </w:p>
        </w:tc>
        <w:tc>
          <w:tcPr>
            <w:tcW w:w="1758" w:type="dxa"/>
            <w:tcBorders>
              <w:top w:val="nil"/>
              <w:left w:val="nil"/>
              <w:bottom w:val="nil"/>
              <w:right w:val="nil"/>
            </w:tcBorders>
            <w:vAlign w:val="center"/>
          </w:tcPr>
          <w:p w14:paraId="320875B1">
            <w:pPr>
              <w:ind w:firstLine="420" w:firstLineChars="0"/>
              <w:jc w:val="center"/>
              <w:rPr>
                <w:rFonts w:cs="Times New Roman"/>
                <w:szCs w:val="21"/>
              </w:rPr>
            </w:pPr>
            <w:r>
              <w:rPr>
                <w:rFonts w:cs="Times New Roman"/>
                <w:szCs w:val="21"/>
              </w:rPr>
              <w:t>1.</w:t>
            </w:r>
            <w:r>
              <w:rPr>
                <w:rFonts w:hint="eastAsia" w:cs="Times New Roman"/>
                <w:szCs w:val="21"/>
              </w:rPr>
              <w:t>43</w:t>
            </w:r>
          </w:p>
        </w:tc>
        <w:tc>
          <w:tcPr>
            <w:tcW w:w="1761" w:type="dxa"/>
            <w:tcBorders>
              <w:top w:val="nil"/>
              <w:left w:val="nil"/>
              <w:bottom w:val="nil"/>
              <w:right w:val="nil"/>
            </w:tcBorders>
            <w:vAlign w:val="center"/>
          </w:tcPr>
          <w:p w14:paraId="0997E0B2">
            <w:pPr>
              <w:ind w:firstLine="420" w:firstLineChars="0"/>
              <w:jc w:val="center"/>
              <w:rPr>
                <w:rFonts w:cs="Times New Roman"/>
                <w:szCs w:val="21"/>
              </w:rPr>
            </w:pPr>
            <w:r>
              <w:rPr>
                <w:rFonts w:cs="Times New Roman"/>
                <w:szCs w:val="21"/>
              </w:rPr>
              <w:t>9</w:t>
            </w:r>
            <w:r>
              <w:rPr>
                <w:rFonts w:hint="eastAsia" w:cs="Times New Roman"/>
                <w:szCs w:val="21"/>
              </w:rPr>
              <w:t>6</w:t>
            </w:r>
            <w:r>
              <w:rPr>
                <w:rFonts w:cs="Times New Roman"/>
                <w:szCs w:val="21"/>
              </w:rPr>
              <w:t>.</w:t>
            </w:r>
            <w:r>
              <w:rPr>
                <w:rFonts w:hint="eastAsia" w:cs="Times New Roman"/>
                <w:szCs w:val="21"/>
              </w:rPr>
              <w:t>06</w:t>
            </w:r>
          </w:p>
        </w:tc>
      </w:tr>
      <w:tr w14:paraId="2F67031C">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1AF3E318">
            <w:pPr>
              <w:ind w:firstLine="420" w:firstLineChars="0"/>
              <w:jc w:val="center"/>
              <w:rPr>
                <w:rFonts w:cs="Times New Roman"/>
                <w:szCs w:val="21"/>
              </w:rPr>
            </w:pPr>
            <w:r>
              <w:rPr>
                <w:rFonts w:cs="Times New Roman"/>
                <w:szCs w:val="21"/>
              </w:rPr>
              <w:t>N</w:t>
            </w:r>
          </w:p>
        </w:tc>
        <w:tc>
          <w:tcPr>
            <w:tcW w:w="3179" w:type="dxa"/>
            <w:tcBorders>
              <w:top w:val="nil"/>
              <w:left w:val="nil"/>
              <w:bottom w:val="nil"/>
              <w:right w:val="nil"/>
            </w:tcBorders>
            <w:vAlign w:val="center"/>
          </w:tcPr>
          <w:p w14:paraId="195BDC86">
            <w:pPr>
              <w:ind w:firstLine="420" w:firstLineChars="0"/>
              <w:jc w:val="center"/>
              <w:rPr>
                <w:rFonts w:cs="Times New Roman"/>
                <w:szCs w:val="21"/>
              </w:rPr>
            </w:pPr>
            <w:r>
              <w:rPr>
                <w:rFonts w:cs="Times New Roman"/>
                <w:szCs w:val="21"/>
              </w:rPr>
              <w:t>Water Conservancy, Environment, and Public Facility Management</w:t>
            </w:r>
          </w:p>
        </w:tc>
        <w:tc>
          <w:tcPr>
            <w:tcW w:w="1758" w:type="dxa"/>
            <w:tcBorders>
              <w:top w:val="nil"/>
              <w:left w:val="nil"/>
              <w:bottom w:val="nil"/>
              <w:right w:val="nil"/>
            </w:tcBorders>
            <w:vAlign w:val="center"/>
          </w:tcPr>
          <w:p w14:paraId="7427BB1F">
            <w:pPr>
              <w:ind w:firstLine="420" w:firstLineChars="0"/>
              <w:jc w:val="center"/>
              <w:rPr>
                <w:rFonts w:cs="Times New Roman"/>
                <w:szCs w:val="21"/>
              </w:rPr>
            </w:pPr>
            <w:r>
              <w:rPr>
                <w:rFonts w:cs="Times New Roman"/>
                <w:szCs w:val="21"/>
              </w:rPr>
              <w:t>4</w:t>
            </w:r>
            <w:r>
              <w:rPr>
                <w:rFonts w:hint="eastAsia" w:cs="Times New Roman"/>
                <w:szCs w:val="21"/>
              </w:rPr>
              <w:t>49</w:t>
            </w:r>
          </w:p>
        </w:tc>
        <w:tc>
          <w:tcPr>
            <w:tcW w:w="1758" w:type="dxa"/>
            <w:tcBorders>
              <w:top w:val="nil"/>
              <w:left w:val="nil"/>
              <w:bottom w:val="nil"/>
              <w:right w:val="nil"/>
            </w:tcBorders>
            <w:vAlign w:val="center"/>
          </w:tcPr>
          <w:p w14:paraId="3342882D">
            <w:pPr>
              <w:ind w:firstLine="420" w:firstLineChars="0"/>
              <w:jc w:val="center"/>
              <w:rPr>
                <w:rFonts w:cs="Times New Roman"/>
                <w:szCs w:val="21"/>
              </w:rPr>
            </w:pPr>
            <w:r>
              <w:rPr>
                <w:rFonts w:cs="Times New Roman"/>
                <w:szCs w:val="21"/>
              </w:rPr>
              <w:t>1.</w:t>
            </w:r>
            <w:r>
              <w:rPr>
                <w:rFonts w:hint="eastAsia" w:cs="Times New Roman"/>
                <w:szCs w:val="21"/>
              </w:rPr>
              <w:t>51</w:t>
            </w:r>
          </w:p>
        </w:tc>
        <w:tc>
          <w:tcPr>
            <w:tcW w:w="1761" w:type="dxa"/>
            <w:tcBorders>
              <w:top w:val="nil"/>
              <w:left w:val="nil"/>
              <w:bottom w:val="nil"/>
              <w:right w:val="nil"/>
            </w:tcBorders>
            <w:vAlign w:val="center"/>
          </w:tcPr>
          <w:p w14:paraId="1A6F0030">
            <w:pPr>
              <w:ind w:firstLine="420" w:firstLineChars="0"/>
              <w:jc w:val="center"/>
              <w:rPr>
                <w:rFonts w:cs="Times New Roman"/>
                <w:szCs w:val="21"/>
              </w:rPr>
            </w:pPr>
            <w:r>
              <w:rPr>
                <w:rFonts w:cs="Times New Roman"/>
                <w:szCs w:val="21"/>
              </w:rPr>
              <w:t>97.</w:t>
            </w:r>
            <w:r>
              <w:rPr>
                <w:rFonts w:hint="eastAsia" w:cs="Times New Roman"/>
                <w:szCs w:val="21"/>
              </w:rPr>
              <w:t>57</w:t>
            </w:r>
          </w:p>
        </w:tc>
      </w:tr>
      <w:tr w14:paraId="7C634B1A">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1DEF2290">
            <w:pPr>
              <w:ind w:firstLine="420" w:firstLineChars="0"/>
              <w:jc w:val="center"/>
              <w:rPr>
                <w:rFonts w:cs="Times New Roman"/>
                <w:szCs w:val="21"/>
              </w:rPr>
            </w:pPr>
            <w:r>
              <w:rPr>
                <w:rFonts w:cs="Times New Roman"/>
                <w:szCs w:val="21"/>
              </w:rPr>
              <w:t>O</w:t>
            </w:r>
          </w:p>
        </w:tc>
        <w:tc>
          <w:tcPr>
            <w:tcW w:w="3179" w:type="dxa"/>
            <w:tcBorders>
              <w:top w:val="nil"/>
              <w:left w:val="nil"/>
              <w:bottom w:val="nil"/>
              <w:right w:val="nil"/>
            </w:tcBorders>
            <w:vAlign w:val="center"/>
          </w:tcPr>
          <w:p w14:paraId="7A0DBC89">
            <w:pPr>
              <w:ind w:firstLine="420" w:firstLineChars="0"/>
              <w:jc w:val="center"/>
              <w:rPr>
                <w:rFonts w:cs="Times New Roman"/>
                <w:szCs w:val="21"/>
              </w:rPr>
            </w:pPr>
            <w:r>
              <w:rPr>
                <w:rFonts w:cs="Times New Roman"/>
                <w:szCs w:val="21"/>
              </w:rPr>
              <w:t>Resident Services, Repair, and Other Services</w:t>
            </w:r>
          </w:p>
        </w:tc>
        <w:tc>
          <w:tcPr>
            <w:tcW w:w="1758" w:type="dxa"/>
            <w:tcBorders>
              <w:top w:val="nil"/>
              <w:left w:val="nil"/>
              <w:bottom w:val="nil"/>
              <w:right w:val="nil"/>
            </w:tcBorders>
            <w:vAlign w:val="center"/>
          </w:tcPr>
          <w:p w14:paraId="7C06C5E2">
            <w:pPr>
              <w:ind w:firstLine="420" w:firstLineChars="0"/>
              <w:jc w:val="center"/>
              <w:rPr>
                <w:rFonts w:cs="Times New Roman"/>
                <w:szCs w:val="21"/>
              </w:rPr>
            </w:pPr>
            <w:r>
              <w:rPr>
                <w:rFonts w:hint="eastAsia" w:cs="Times New Roman"/>
                <w:szCs w:val="21"/>
              </w:rPr>
              <w:t>5</w:t>
            </w:r>
          </w:p>
        </w:tc>
        <w:tc>
          <w:tcPr>
            <w:tcW w:w="1758" w:type="dxa"/>
            <w:tcBorders>
              <w:top w:val="nil"/>
              <w:left w:val="nil"/>
              <w:bottom w:val="nil"/>
              <w:right w:val="nil"/>
            </w:tcBorders>
            <w:vAlign w:val="center"/>
          </w:tcPr>
          <w:p w14:paraId="2AE26185">
            <w:pPr>
              <w:ind w:firstLine="420" w:firstLineChars="0"/>
              <w:jc w:val="center"/>
              <w:rPr>
                <w:rFonts w:cs="Times New Roman"/>
                <w:szCs w:val="21"/>
              </w:rPr>
            </w:pPr>
            <w:r>
              <w:rPr>
                <w:rFonts w:cs="Times New Roman"/>
                <w:szCs w:val="21"/>
              </w:rPr>
              <w:t>0.</w:t>
            </w:r>
            <w:r>
              <w:rPr>
                <w:rFonts w:hint="eastAsia" w:cs="Times New Roman"/>
                <w:szCs w:val="21"/>
              </w:rPr>
              <w:t>02</w:t>
            </w:r>
          </w:p>
        </w:tc>
        <w:tc>
          <w:tcPr>
            <w:tcW w:w="1761" w:type="dxa"/>
            <w:tcBorders>
              <w:top w:val="nil"/>
              <w:left w:val="nil"/>
              <w:bottom w:val="nil"/>
              <w:right w:val="nil"/>
            </w:tcBorders>
            <w:vAlign w:val="center"/>
          </w:tcPr>
          <w:p w14:paraId="49C3ECE1">
            <w:pPr>
              <w:ind w:firstLine="420" w:firstLineChars="0"/>
              <w:jc w:val="center"/>
              <w:rPr>
                <w:rFonts w:cs="Times New Roman"/>
                <w:szCs w:val="21"/>
              </w:rPr>
            </w:pPr>
            <w:r>
              <w:rPr>
                <w:rFonts w:cs="Times New Roman"/>
                <w:szCs w:val="21"/>
              </w:rPr>
              <w:t>97.</w:t>
            </w:r>
            <w:r>
              <w:rPr>
                <w:rFonts w:hint="eastAsia" w:cs="Times New Roman"/>
                <w:szCs w:val="21"/>
              </w:rPr>
              <w:t>59</w:t>
            </w:r>
          </w:p>
        </w:tc>
      </w:tr>
      <w:tr w14:paraId="6765EDF8">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08451CB5">
            <w:pPr>
              <w:ind w:firstLine="420" w:firstLineChars="0"/>
              <w:jc w:val="center"/>
              <w:rPr>
                <w:rFonts w:cs="Times New Roman"/>
                <w:szCs w:val="21"/>
              </w:rPr>
            </w:pPr>
            <w:r>
              <w:rPr>
                <w:rFonts w:cs="Times New Roman"/>
                <w:szCs w:val="21"/>
              </w:rPr>
              <w:t>P</w:t>
            </w:r>
          </w:p>
        </w:tc>
        <w:tc>
          <w:tcPr>
            <w:tcW w:w="3179" w:type="dxa"/>
            <w:tcBorders>
              <w:top w:val="nil"/>
              <w:left w:val="nil"/>
              <w:bottom w:val="nil"/>
              <w:right w:val="nil"/>
            </w:tcBorders>
            <w:vAlign w:val="center"/>
          </w:tcPr>
          <w:p w14:paraId="5E6B13C2">
            <w:pPr>
              <w:ind w:firstLine="420" w:firstLineChars="0"/>
              <w:jc w:val="center"/>
              <w:rPr>
                <w:rFonts w:cs="Times New Roman"/>
                <w:szCs w:val="21"/>
              </w:rPr>
            </w:pPr>
            <w:r>
              <w:rPr>
                <w:rFonts w:cs="Times New Roman"/>
                <w:szCs w:val="21"/>
              </w:rPr>
              <w:t>Education</w:t>
            </w:r>
          </w:p>
        </w:tc>
        <w:tc>
          <w:tcPr>
            <w:tcW w:w="1758" w:type="dxa"/>
            <w:tcBorders>
              <w:top w:val="nil"/>
              <w:left w:val="nil"/>
              <w:bottom w:val="nil"/>
              <w:right w:val="nil"/>
            </w:tcBorders>
            <w:vAlign w:val="center"/>
          </w:tcPr>
          <w:p w14:paraId="4CE1E8AB">
            <w:pPr>
              <w:ind w:firstLine="420" w:firstLineChars="0"/>
              <w:jc w:val="center"/>
              <w:rPr>
                <w:rFonts w:cs="Times New Roman"/>
                <w:szCs w:val="21"/>
              </w:rPr>
            </w:pPr>
            <w:r>
              <w:rPr>
                <w:rFonts w:cs="Times New Roman"/>
                <w:szCs w:val="21"/>
              </w:rPr>
              <w:t>51</w:t>
            </w:r>
          </w:p>
        </w:tc>
        <w:tc>
          <w:tcPr>
            <w:tcW w:w="1758" w:type="dxa"/>
            <w:tcBorders>
              <w:top w:val="nil"/>
              <w:left w:val="nil"/>
              <w:bottom w:val="nil"/>
              <w:right w:val="nil"/>
            </w:tcBorders>
            <w:vAlign w:val="center"/>
          </w:tcPr>
          <w:p w14:paraId="11A7D73E">
            <w:pPr>
              <w:ind w:firstLine="420" w:firstLineChars="0"/>
              <w:jc w:val="center"/>
              <w:rPr>
                <w:rFonts w:cs="Times New Roman"/>
                <w:szCs w:val="21"/>
              </w:rPr>
            </w:pPr>
            <w:r>
              <w:rPr>
                <w:rFonts w:cs="Times New Roman"/>
                <w:szCs w:val="21"/>
              </w:rPr>
              <w:t>0.1</w:t>
            </w:r>
            <w:r>
              <w:rPr>
                <w:rFonts w:hint="eastAsia" w:cs="Times New Roman"/>
                <w:szCs w:val="21"/>
              </w:rPr>
              <w:t>7</w:t>
            </w:r>
          </w:p>
        </w:tc>
        <w:tc>
          <w:tcPr>
            <w:tcW w:w="1761" w:type="dxa"/>
            <w:tcBorders>
              <w:top w:val="nil"/>
              <w:left w:val="nil"/>
              <w:bottom w:val="nil"/>
              <w:right w:val="nil"/>
            </w:tcBorders>
            <w:vAlign w:val="center"/>
          </w:tcPr>
          <w:p w14:paraId="6EF9274F">
            <w:pPr>
              <w:ind w:firstLine="420" w:firstLineChars="0"/>
              <w:jc w:val="center"/>
              <w:rPr>
                <w:rFonts w:cs="Times New Roman"/>
                <w:szCs w:val="21"/>
              </w:rPr>
            </w:pPr>
            <w:r>
              <w:rPr>
                <w:rFonts w:cs="Times New Roman"/>
                <w:szCs w:val="21"/>
              </w:rPr>
              <w:t>97.</w:t>
            </w:r>
            <w:r>
              <w:rPr>
                <w:rFonts w:hint="eastAsia" w:cs="Times New Roman"/>
                <w:szCs w:val="21"/>
              </w:rPr>
              <w:t>76</w:t>
            </w:r>
          </w:p>
        </w:tc>
      </w:tr>
      <w:tr w14:paraId="1C34415E">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4C672F11">
            <w:pPr>
              <w:ind w:firstLine="420" w:firstLineChars="0"/>
              <w:jc w:val="center"/>
              <w:rPr>
                <w:rFonts w:cs="Times New Roman"/>
                <w:szCs w:val="21"/>
              </w:rPr>
            </w:pPr>
            <w:r>
              <w:rPr>
                <w:rFonts w:cs="Times New Roman"/>
                <w:szCs w:val="21"/>
              </w:rPr>
              <w:t>Q</w:t>
            </w:r>
          </w:p>
        </w:tc>
        <w:tc>
          <w:tcPr>
            <w:tcW w:w="3179" w:type="dxa"/>
            <w:tcBorders>
              <w:top w:val="nil"/>
              <w:left w:val="nil"/>
              <w:bottom w:val="nil"/>
              <w:right w:val="nil"/>
            </w:tcBorders>
            <w:vAlign w:val="center"/>
          </w:tcPr>
          <w:p w14:paraId="2D856F33">
            <w:pPr>
              <w:ind w:firstLine="420" w:firstLineChars="0"/>
              <w:jc w:val="center"/>
              <w:rPr>
                <w:rFonts w:cs="Times New Roman"/>
                <w:szCs w:val="21"/>
              </w:rPr>
            </w:pPr>
            <w:r>
              <w:rPr>
                <w:rFonts w:cs="Times New Roman"/>
                <w:szCs w:val="21"/>
              </w:rPr>
              <w:t>Health and Social Work</w:t>
            </w:r>
          </w:p>
        </w:tc>
        <w:tc>
          <w:tcPr>
            <w:tcW w:w="1758" w:type="dxa"/>
            <w:tcBorders>
              <w:top w:val="nil"/>
              <w:left w:val="nil"/>
              <w:bottom w:val="nil"/>
              <w:right w:val="nil"/>
            </w:tcBorders>
            <w:vAlign w:val="center"/>
          </w:tcPr>
          <w:p w14:paraId="7307D110">
            <w:pPr>
              <w:ind w:firstLine="420" w:firstLineChars="0"/>
              <w:jc w:val="center"/>
              <w:rPr>
                <w:rFonts w:cs="Times New Roman"/>
                <w:szCs w:val="21"/>
              </w:rPr>
            </w:pPr>
            <w:r>
              <w:rPr>
                <w:rFonts w:hint="eastAsia" w:cs="Times New Roman"/>
                <w:szCs w:val="21"/>
              </w:rPr>
              <w:t>72</w:t>
            </w:r>
          </w:p>
        </w:tc>
        <w:tc>
          <w:tcPr>
            <w:tcW w:w="1758" w:type="dxa"/>
            <w:tcBorders>
              <w:top w:val="nil"/>
              <w:left w:val="nil"/>
              <w:bottom w:val="nil"/>
              <w:right w:val="nil"/>
            </w:tcBorders>
            <w:vAlign w:val="center"/>
          </w:tcPr>
          <w:p w14:paraId="0DEC5557">
            <w:pPr>
              <w:ind w:firstLine="420" w:firstLineChars="0"/>
              <w:jc w:val="center"/>
              <w:rPr>
                <w:rFonts w:cs="Times New Roman"/>
                <w:szCs w:val="21"/>
              </w:rPr>
            </w:pPr>
            <w:r>
              <w:rPr>
                <w:rFonts w:cs="Times New Roman"/>
                <w:szCs w:val="21"/>
              </w:rPr>
              <w:t>0.2</w:t>
            </w:r>
            <w:r>
              <w:rPr>
                <w:rFonts w:hint="eastAsia" w:cs="Times New Roman"/>
                <w:szCs w:val="21"/>
              </w:rPr>
              <w:t>4</w:t>
            </w:r>
          </w:p>
        </w:tc>
        <w:tc>
          <w:tcPr>
            <w:tcW w:w="1761" w:type="dxa"/>
            <w:tcBorders>
              <w:top w:val="nil"/>
              <w:left w:val="nil"/>
              <w:bottom w:val="nil"/>
              <w:right w:val="nil"/>
            </w:tcBorders>
            <w:vAlign w:val="center"/>
          </w:tcPr>
          <w:p w14:paraId="3E92AE44">
            <w:pPr>
              <w:ind w:firstLine="420" w:firstLineChars="0"/>
              <w:jc w:val="center"/>
              <w:rPr>
                <w:rFonts w:cs="Times New Roman"/>
                <w:szCs w:val="21"/>
              </w:rPr>
            </w:pPr>
            <w:r>
              <w:rPr>
                <w:rFonts w:cs="Times New Roman"/>
                <w:szCs w:val="21"/>
              </w:rPr>
              <w:t>9</w:t>
            </w:r>
            <w:r>
              <w:rPr>
                <w:rFonts w:hint="eastAsia" w:cs="Times New Roman"/>
                <w:szCs w:val="21"/>
              </w:rPr>
              <w:t>8</w:t>
            </w:r>
            <w:r>
              <w:rPr>
                <w:rFonts w:cs="Times New Roman"/>
                <w:szCs w:val="21"/>
              </w:rPr>
              <w:t>.</w:t>
            </w:r>
            <w:r>
              <w:rPr>
                <w:rFonts w:hint="eastAsia" w:cs="Times New Roman"/>
                <w:szCs w:val="21"/>
              </w:rPr>
              <w:t>00</w:t>
            </w:r>
          </w:p>
        </w:tc>
      </w:tr>
      <w:tr w14:paraId="77798784">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1BBC84BF">
            <w:pPr>
              <w:ind w:firstLine="420" w:firstLineChars="0"/>
              <w:jc w:val="center"/>
              <w:rPr>
                <w:rFonts w:cs="Times New Roman"/>
                <w:szCs w:val="21"/>
              </w:rPr>
            </w:pPr>
            <w:r>
              <w:rPr>
                <w:rFonts w:cs="Times New Roman"/>
                <w:szCs w:val="21"/>
              </w:rPr>
              <w:t>R</w:t>
            </w:r>
          </w:p>
        </w:tc>
        <w:tc>
          <w:tcPr>
            <w:tcW w:w="3179" w:type="dxa"/>
            <w:tcBorders>
              <w:top w:val="nil"/>
              <w:left w:val="nil"/>
              <w:bottom w:val="nil"/>
              <w:right w:val="nil"/>
            </w:tcBorders>
            <w:vAlign w:val="center"/>
          </w:tcPr>
          <w:p w14:paraId="2A3D65CF">
            <w:pPr>
              <w:ind w:firstLine="420" w:firstLineChars="0"/>
              <w:jc w:val="center"/>
              <w:rPr>
                <w:rFonts w:cs="Times New Roman"/>
                <w:szCs w:val="21"/>
              </w:rPr>
            </w:pPr>
            <w:r>
              <w:rPr>
                <w:rFonts w:cs="Times New Roman"/>
                <w:szCs w:val="21"/>
              </w:rPr>
              <w:t>Culture, Sports, and Entertainment</w:t>
            </w:r>
          </w:p>
        </w:tc>
        <w:tc>
          <w:tcPr>
            <w:tcW w:w="1758" w:type="dxa"/>
            <w:tcBorders>
              <w:top w:val="nil"/>
              <w:left w:val="nil"/>
              <w:bottom w:val="nil"/>
              <w:right w:val="nil"/>
            </w:tcBorders>
            <w:vAlign w:val="center"/>
          </w:tcPr>
          <w:p w14:paraId="1077888C">
            <w:pPr>
              <w:ind w:firstLine="420" w:firstLineChars="0"/>
              <w:jc w:val="center"/>
              <w:rPr>
                <w:rFonts w:cs="Times New Roman"/>
                <w:szCs w:val="21"/>
              </w:rPr>
            </w:pPr>
            <w:r>
              <w:rPr>
                <w:rFonts w:cs="Times New Roman"/>
                <w:szCs w:val="21"/>
              </w:rPr>
              <w:t>4</w:t>
            </w:r>
            <w:r>
              <w:rPr>
                <w:rFonts w:hint="eastAsia" w:cs="Times New Roman"/>
                <w:szCs w:val="21"/>
              </w:rPr>
              <w:t>16</w:t>
            </w:r>
          </w:p>
        </w:tc>
        <w:tc>
          <w:tcPr>
            <w:tcW w:w="1758" w:type="dxa"/>
            <w:tcBorders>
              <w:top w:val="nil"/>
              <w:left w:val="nil"/>
              <w:bottom w:val="nil"/>
              <w:right w:val="nil"/>
            </w:tcBorders>
            <w:vAlign w:val="center"/>
          </w:tcPr>
          <w:p w14:paraId="54BE2E3C">
            <w:pPr>
              <w:ind w:firstLine="420" w:firstLineChars="0"/>
              <w:jc w:val="center"/>
              <w:rPr>
                <w:rFonts w:cs="Times New Roman"/>
                <w:szCs w:val="21"/>
              </w:rPr>
            </w:pPr>
            <w:r>
              <w:rPr>
                <w:rFonts w:cs="Times New Roman"/>
                <w:szCs w:val="21"/>
              </w:rPr>
              <w:t>1.</w:t>
            </w:r>
            <w:r>
              <w:rPr>
                <w:rFonts w:hint="eastAsia" w:cs="Times New Roman"/>
                <w:szCs w:val="21"/>
              </w:rPr>
              <w:t>40</w:t>
            </w:r>
          </w:p>
        </w:tc>
        <w:tc>
          <w:tcPr>
            <w:tcW w:w="1761" w:type="dxa"/>
            <w:tcBorders>
              <w:top w:val="nil"/>
              <w:left w:val="nil"/>
              <w:bottom w:val="nil"/>
              <w:right w:val="nil"/>
            </w:tcBorders>
            <w:vAlign w:val="center"/>
          </w:tcPr>
          <w:p w14:paraId="1F00A9A9">
            <w:pPr>
              <w:ind w:firstLine="420" w:firstLineChars="0"/>
              <w:jc w:val="center"/>
              <w:rPr>
                <w:rFonts w:cs="Times New Roman"/>
                <w:szCs w:val="21"/>
              </w:rPr>
            </w:pPr>
            <w:r>
              <w:rPr>
                <w:rFonts w:cs="Times New Roman"/>
                <w:szCs w:val="21"/>
              </w:rPr>
              <w:t>99.</w:t>
            </w:r>
            <w:r>
              <w:rPr>
                <w:rFonts w:hint="eastAsia" w:cs="Times New Roman"/>
                <w:szCs w:val="21"/>
              </w:rPr>
              <w:t>40</w:t>
            </w:r>
          </w:p>
        </w:tc>
      </w:tr>
      <w:tr w14:paraId="2CB89163">
        <w:tblPrEx>
          <w:tblCellMar>
            <w:top w:w="0" w:type="dxa"/>
            <w:left w:w="108" w:type="dxa"/>
            <w:bottom w:w="0" w:type="dxa"/>
            <w:right w:w="108" w:type="dxa"/>
          </w:tblCellMar>
        </w:tblPrEx>
        <w:trPr>
          <w:trHeight w:val="257" w:hRule="atLeast"/>
        </w:trPr>
        <w:tc>
          <w:tcPr>
            <w:tcW w:w="1134" w:type="dxa"/>
            <w:gridSpan w:val="2"/>
            <w:tcBorders>
              <w:top w:val="nil"/>
              <w:left w:val="nil"/>
              <w:bottom w:val="nil"/>
              <w:right w:val="nil"/>
            </w:tcBorders>
            <w:vAlign w:val="center"/>
          </w:tcPr>
          <w:p w14:paraId="0C50CBF7">
            <w:pPr>
              <w:ind w:firstLine="420" w:firstLineChars="0"/>
              <w:jc w:val="center"/>
              <w:rPr>
                <w:rFonts w:cs="Times New Roman"/>
                <w:szCs w:val="21"/>
              </w:rPr>
            </w:pPr>
            <w:r>
              <w:rPr>
                <w:rFonts w:cs="Times New Roman"/>
                <w:szCs w:val="21"/>
              </w:rPr>
              <w:t>S</w:t>
            </w:r>
          </w:p>
        </w:tc>
        <w:tc>
          <w:tcPr>
            <w:tcW w:w="3179" w:type="dxa"/>
            <w:tcBorders>
              <w:top w:val="nil"/>
              <w:left w:val="nil"/>
              <w:bottom w:val="nil"/>
              <w:right w:val="nil"/>
            </w:tcBorders>
            <w:vAlign w:val="center"/>
          </w:tcPr>
          <w:p w14:paraId="12AD83B2">
            <w:pPr>
              <w:ind w:firstLine="420" w:firstLineChars="0"/>
              <w:jc w:val="center"/>
              <w:rPr>
                <w:rFonts w:cs="Times New Roman"/>
                <w:szCs w:val="21"/>
              </w:rPr>
            </w:pPr>
            <w:r>
              <w:rPr>
                <w:rFonts w:cs="Times New Roman"/>
                <w:szCs w:val="21"/>
              </w:rPr>
              <w:t>Public Administration, Social Security, and Social Organizations</w:t>
            </w:r>
          </w:p>
        </w:tc>
        <w:tc>
          <w:tcPr>
            <w:tcW w:w="1758" w:type="dxa"/>
            <w:tcBorders>
              <w:top w:val="nil"/>
              <w:left w:val="nil"/>
              <w:bottom w:val="nil"/>
              <w:right w:val="nil"/>
            </w:tcBorders>
            <w:vAlign w:val="center"/>
          </w:tcPr>
          <w:p w14:paraId="25A209A6">
            <w:pPr>
              <w:ind w:firstLine="420" w:firstLineChars="0"/>
              <w:jc w:val="center"/>
              <w:rPr>
                <w:rFonts w:cs="Times New Roman"/>
                <w:szCs w:val="21"/>
              </w:rPr>
            </w:pPr>
            <w:r>
              <w:rPr>
                <w:rFonts w:hint="eastAsia" w:cs="Times New Roman"/>
                <w:szCs w:val="21"/>
              </w:rPr>
              <w:t>177</w:t>
            </w:r>
          </w:p>
        </w:tc>
        <w:tc>
          <w:tcPr>
            <w:tcW w:w="1758" w:type="dxa"/>
            <w:tcBorders>
              <w:top w:val="nil"/>
              <w:left w:val="nil"/>
              <w:bottom w:val="nil"/>
              <w:right w:val="nil"/>
            </w:tcBorders>
            <w:vAlign w:val="center"/>
          </w:tcPr>
          <w:p w14:paraId="5458F1CE">
            <w:pPr>
              <w:ind w:firstLine="420" w:firstLineChars="0"/>
              <w:jc w:val="center"/>
              <w:rPr>
                <w:rFonts w:cs="Times New Roman"/>
                <w:szCs w:val="21"/>
              </w:rPr>
            </w:pPr>
            <w:r>
              <w:rPr>
                <w:rFonts w:cs="Times New Roman"/>
                <w:szCs w:val="21"/>
              </w:rPr>
              <w:t>0.</w:t>
            </w:r>
            <w:r>
              <w:rPr>
                <w:rFonts w:hint="eastAsia" w:cs="Times New Roman"/>
                <w:szCs w:val="21"/>
              </w:rPr>
              <w:t>60</w:t>
            </w:r>
          </w:p>
        </w:tc>
        <w:tc>
          <w:tcPr>
            <w:tcW w:w="1761" w:type="dxa"/>
            <w:tcBorders>
              <w:top w:val="nil"/>
              <w:left w:val="nil"/>
              <w:bottom w:val="nil"/>
              <w:right w:val="nil"/>
            </w:tcBorders>
            <w:vAlign w:val="center"/>
          </w:tcPr>
          <w:p w14:paraId="73415721">
            <w:pPr>
              <w:ind w:firstLine="420" w:firstLineChars="0"/>
              <w:jc w:val="center"/>
              <w:rPr>
                <w:rFonts w:cs="Times New Roman"/>
                <w:szCs w:val="21"/>
              </w:rPr>
            </w:pPr>
            <w:r>
              <w:rPr>
                <w:rFonts w:cs="Times New Roman"/>
                <w:szCs w:val="21"/>
              </w:rPr>
              <w:t>100.00</w:t>
            </w:r>
          </w:p>
        </w:tc>
      </w:tr>
      <w:tr w14:paraId="17F5ED97">
        <w:tblPrEx>
          <w:tblCellMar>
            <w:top w:w="0" w:type="dxa"/>
            <w:left w:w="108" w:type="dxa"/>
            <w:bottom w:w="0" w:type="dxa"/>
            <w:right w:w="108" w:type="dxa"/>
          </w:tblCellMar>
        </w:tblPrEx>
        <w:trPr>
          <w:trHeight w:val="257" w:hRule="atLeast"/>
        </w:trPr>
        <w:tc>
          <w:tcPr>
            <w:tcW w:w="951" w:type="dxa"/>
            <w:tcBorders>
              <w:top w:val="single" w:color="auto" w:sz="4" w:space="0"/>
              <w:left w:val="nil"/>
              <w:bottom w:val="nil"/>
              <w:right w:val="nil"/>
            </w:tcBorders>
            <w:vAlign w:val="center"/>
          </w:tcPr>
          <w:p w14:paraId="3FAE5B4E">
            <w:pPr>
              <w:ind w:firstLine="0" w:firstLineChars="0"/>
              <w:jc w:val="center"/>
              <w:rPr>
                <w:rFonts w:cs="Times New Roman"/>
                <w:szCs w:val="21"/>
              </w:rPr>
            </w:pPr>
            <w:r>
              <w:rPr>
                <w:rFonts w:hint="eastAsia" w:cs="Times New Roman"/>
                <w:szCs w:val="21"/>
              </w:rPr>
              <w:t xml:space="preserve">   </w:t>
            </w:r>
            <w:r>
              <w:rPr>
                <w:rFonts w:cs="Times New Roman"/>
                <w:szCs w:val="21"/>
              </w:rPr>
              <w:t>Total</w:t>
            </w:r>
          </w:p>
        </w:tc>
        <w:tc>
          <w:tcPr>
            <w:tcW w:w="3362" w:type="dxa"/>
            <w:gridSpan w:val="2"/>
            <w:tcBorders>
              <w:top w:val="single" w:color="auto" w:sz="4" w:space="0"/>
              <w:left w:val="nil"/>
              <w:bottom w:val="nil"/>
              <w:right w:val="nil"/>
            </w:tcBorders>
            <w:vAlign w:val="center"/>
          </w:tcPr>
          <w:p w14:paraId="1EF19F19">
            <w:pPr>
              <w:ind w:firstLine="420" w:firstLineChars="0"/>
              <w:jc w:val="center"/>
              <w:rPr>
                <w:rFonts w:cs="Times New Roman"/>
                <w:szCs w:val="21"/>
              </w:rPr>
            </w:pPr>
          </w:p>
        </w:tc>
        <w:tc>
          <w:tcPr>
            <w:tcW w:w="1758" w:type="dxa"/>
            <w:tcBorders>
              <w:top w:val="single" w:color="auto" w:sz="4" w:space="0"/>
              <w:left w:val="nil"/>
              <w:bottom w:val="nil"/>
              <w:right w:val="nil"/>
            </w:tcBorders>
            <w:vAlign w:val="center"/>
          </w:tcPr>
          <w:p w14:paraId="36713ACE">
            <w:pPr>
              <w:ind w:firstLine="420" w:firstLineChars="0"/>
              <w:jc w:val="center"/>
              <w:rPr>
                <w:rFonts w:cs="Times New Roman"/>
                <w:szCs w:val="21"/>
              </w:rPr>
            </w:pPr>
            <w:r>
              <w:rPr>
                <w:rFonts w:hint="eastAsia" w:cs="Times New Roman"/>
                <w:szCs w:val="21"/>
              </w:rPr>
              <w:t>29705</w:t>
            </w:r>
          </w:p>
        </w:tc>
        <w:tc>
          <w:tcPr>
            <w:tcW w:w="1758" w:type="dxa"/>
            <w:tcBorders>
              <w:top w:val="single" w:color="auto" w:sz="4" w:space="0"/>
              <w:left w:val="nil"/>
              <w:bottom w:val="nil"/>
              <w:right w:val="nil"/>
            </w:tcBorders>
            <w:vAlign w:val="center"/>
          </w:tcPr>
          <w:p w14:paraId="30E9B792">
            <w:pPr>
              <w:ind w:firstLine="420" w:firstLineChars="0"/>
              <w:jc w:val="center"/>
              <w:rPr>
                <w:rFonts w:cs="Times New Roman"/>
                <w:szCs w:val="21"/>
              </w:rPr>
            </w:pPr>
            <w:r>
              <w:rPr>
                <w:rFonts w:cs="Times New Roman"/>
                <w:szCs w:val="21"/>
              </w:rPr>
              <w:t>100.00</w:t>
            </w:r>
          </w:p>
        </w:tc>
        <w:tc>
          <w:tcPr>
            <w:tcW w:w="1761" w:type="dxa"/>
            <w:tcBorders>
              <w:top w:val="single" w:color="auto" w:sz="4" w:space="0"/>
              <w:left w:val="nil"/>
              <w:bottom w:val="nil"/>
              <w:right w:val="nil"/>
            </w:tcBorders>
            <w:vAlign w:val="center"/>
          </w:tcPr>
          <w:p w14:paraId="11342180">
            <w:pPr>
              <w:ind w:firstLine="420" w:firstLineChars="0"/>
              <w:jc w:val="center"/>
              <w:rPr>
                <w:rFonts w:cs="Times New Roman"/>
                <w:szCs w:val="21"/>
              </w:rPr>
            </w:pPr>
          </w:p>
        </w:tc>
      </w:tr>
      <w:bookmarkEnd w:id="0"/>
    </w:tbl>
    <w:p w14:paraId="50A87546">
      <w:pPr>
        <w:ind w:firstLine="480"/>
      </w:pPr>
    </w:p>
    <w:p w14:paraId="69A7D9D7">
      <w:pPr>
        <w:ind w:firstLine="480"/>
        <w:rPr>
          <w:rFonts w:cs="Times New Roman"/>
        </w:rPr>
      </w:pPr>
      <w:r>
        <w:rPr>
          <w:rFonts w:cs="Times New Roman"/>
        </w:rPr>
        <w:t xml:space="preserve">Appendix </w:t>
      </w:r>
      <w:r>
        <w:rPr>
          <w:rFonts w:hint="eastAsia" w:cs="Times New Roman"/>
        </w:rPr>
        <w:t>t</w:t>
      </w:r>
      <w:r>
        <w:rPr>
          <w:rFonts w:cs="Times New Roman"/>
        </w:rPr>
        <w:t>able</w:t>
      </w:r>
      <w:r>
        <w:rPr>
          <w:rFonts w:hint="eastAsia" w:cs="Times New Roman"/>
        </w:rPr>
        <w:t>3</w:t>
      </w:r>
    </w:p>
    <w:p w14:paraId="675CFE05">
      <w:pPr>
        <w:ind w:firstLine="0" w:firstLineChars="0"/>
        <w:rPr>
          <w:rFonts w:asciiTheme="minorHAnsi" w:hAnsiTheme="minorHAnsi"/>
          <w:sz w:val="21"/>
        </w:rPr>
      </w:pPr>
      <w:r>
        <w:br w:type="page"/>
      </w:r>
    </w:p>
    <w:p w14:paraId="5E6D48B4">
      <w:pPr>
        <w:ind w:firstLine="48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0B0F2">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2641E">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0DCEC">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80"/>
      </w:pPr>
      <w:r>
        <w:separator/>
      </w:r>
    </w:p>
  </w:footnote>
  <w:footnote w:type="continuationSeparator" w:id="1">
    <w:p>
      <w:pPr>
        <w:spacing w:before="0" w:after="0"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14CDB">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9FBC0">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78B6B">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5E"/>
    <w:rsid w:val="0016095E"/>
    <w:rsid w:val="0029145E"/>
    <w:rsid w:val="00497888"/>
    <w:rsid w:val="008A6ED6"/>
    <w:rsid w:val="77FC2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ind w:firstLine="200" w:firstLineChars="200"/>
      <w:jc w:val="both"/>
    </w:pPr>
    <w:rPr>
      <w:rFonts w:ascii="Times New Roman" w:hAnsi="Times New Roman" w:eastAsiaTheme="minorEastAsia" w:cstheme="minorBidi"/>
      <w:kern w:val="2"/>
      <w:sz w:val="24"/>
      <w:szCs w:val="22"/>
      <w:lang w:val="en-US" w:eastAsia="zh-CN" w:bidi="ar-SA"/>
      <w14:ligatures w14:val="standardContextual"/>
    </w:rPr>
  </w:style>
  <w:style w:type="paragraph" w:styleId="2">
    <w:name w:val="heading 1"/>
    <w:basedOn w:val="1"/>
    <w:next w:val="1"/>
    <w:link w:val="18"/>
    <w:qFormat/>
    <w:uiPriority w:val="9"/>
    <w:pPr>
      <w:keepNext/>
      <w:keepLines/>
      <w:spacing w:before="480" w:after="80" w:line="278" w:lineRule="auto"/>
      <w:ind w:firstLine="0" w:firstLineChars="0"/>
      <w:jc w:val="left"/>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line="278" w:lineRule="auto"/>
      <w:ind w:firstLine="0" w:firstLineChars="0"/>
      <w:jc w:val="left"/>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line="278" w:lineRule="auto"/>
      <w:ind w:firstLine="0" w:firstLineChars="0"/>
      <w:jc w:val="left"/>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line="278" w:lineRule="auto"/>
      <w:ind w:firstLine="0" w:firstLineChars="0"/>
      <w:jc w:val="left"/>
      <w:outlineLvl w:val="3"/>
    </w:pPr>
    <w:rPr>
      <w:rFonts w:asciiTheme="minorHAnsi" w:hAnsiTheme="minorHAnsi"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line="278" w:lineRule="auto"/>
      <w:ind w:firstLine="0" w:firstLineChars="0"/>
      <w:jc w:val="left"/>
      <w:outlineLvl w:val="4"/>
    </w:pPr>
    <w:rPr>
      <w:rFonts w:asciiTheme="minorHAnsi" w:hAnsiTheme="minorHAnsi" w:cstheme="majorBidi"/>
      <w:color w:val="2F5597" w:themeColor="accent1" w:themeShade="BF"/>
      <w:szCs w:val="24"/>
    </w:rPr>
  </w:style>
  <w:style w:type="paragraph" w:styleId="7">
    <w:name w:val="heading 6"/>
    <w:basedOn w:val="1"/>
    <w:next w:val="1"/>
    <w:link w:val="23"/>
    <w:semiHidden/>
    <w:unhideWhenUsed/>
    <w:qFormat/>
    <w:uiPriority w:val="9"/>
    <w:pPr>
      <w:keepNext/>
      <w:keepLines/>
      <w:spacing w:before="40" w:line="278" w:lineRule="auto"/>
      <w:ind w:firstLine="0" w:firstLineChars="0"/>
      <w:jc w:val="left"/>
      <w:outlineLvl w:val="5"/>
    </w:pPr>
    <w:rPr>
      <w:rFonts w:asciiTheme="minorHAnsi" w:hAnsiTheme="minorHAnsi" w:cstheme="majorBidi"/>
      <w:b/>
      <w:bCs/>
      <w:color w:val="2F5597" w:themeColor="accent1" w:themeShade="BF"/>
      <w:sz w:val="22"/>
      <w:szCs w:val="24"/>
    </w:rPr>
  </w:style>
  <w:style w:type="paragraph" w:styleId="8">
    <w:name w:val="heading 7"/>
    <w:basedOn w:val="1"/>
    <w:next w:val="1"/>
    <w:link w:val="24"/>
    <w:semiHidden/>
    <w:unhideWhenUsed/>
    <w:qFormat/>
    <w:uiPriority w:val="9"/>
    <w:pPr>
      <w:keepNext/>
      <w:keepLines/>
      <w:spacing w:before="40" w:line="278" w:lineRule="auto"/>
      <w:ind w:firstLine="0" w:firstLineChars="0"/>
      <w:jc w:val="left"/>
      <w:outlineLvl w:val="6"/>
    </w:pPr>
    <w:rPr>
      <w:rFonts w:asciiTheme="minorHAnsi" w:hAnsiTheme="minorHAnsi" w:cstheme="majorBidi"/>
      <w:b/>
      <w:bCs/>
      <w:color w:val="595959" w:themeColor="text1" w:themeTint="A6"/>
      <w:sz w:val="22"/>
      <w:szCs w:val="24"/>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line="278" w:lineRule="auto"/>
      <w:ind w:firstLine="0" w:firstLineChars="0"/>
      <w:jc w:val="left"/>
      <w:outlineLvl w:val="7"/>
    </w:pPr>
    <w:rPr>
      <w:rFonts w:asciiTheme="minorHAnsi" w:hAnsiTheme="minorHAnsi" w:cstheme="majorBidi"/>
      <w:color w:val="595959" w:themeColor="text1" w:themeTint="A6"/>
      <w:sz w:val="22"/>
      <w:szCs w:val="24"/>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line="278" w:lineRule="auto"/>
      <w:ind w:firstLine="0" w:firstLineChars="0"/>
      <w:jc w:val="left"/>
      <w:outlineLvl w:val="8"/>
    </w:pPr>
    <w:rPr>
      <w:rFonts w:asciiTheme="minorHAnsi" w:hAnsiTheme="minorHAnsi" w:eastAsiaTheme="majorEastAsia" w:cstheme="majorBidi"/>
      <w:color w:val="595959" w:themeColor="text1" w:themeTint="A6"/>
      <w:sz w:val="22"/>
      <w:szCs w:val="24"/>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after="160"/>
      <w:ind w:firstLine="0" w:firstLineChars="0"/>
      <w:jc w:val="left"/>
    </w:pPr>
    <w:rPr>
      <w:rFonts w:asciiTheme="minorHAnsi" w:hAnsiTheme="minorHAnsi"/>
      <w:sz w:val="18"/>
      <w:szCs w:val="18"/>
    </w:rPr>
  </w:style>
  <w:style w:type="paragraph" w:styleId="12">
    <w:name w:val="header"/>
    <w:basedOn w:val="1"/>
    <w:link w:val="36"/>
    <w:unhideWhenUsed/>
    <w:qFormat/>
    <w:uiPriority w:val="99"/>
    <w:pPr>
      <w:tabs>
        <w:tab w:val="center" w:pos="4153"/>
        <w:tab w:val="right" w:pos="8306"/>
      </w:tabs>
      <w:snapToGrid w:val="0"/>
      <w:spacing w:after="160"/>
      <w:ind w:firstLine="0" w:firstLineChars="0"/>
      <w:jc w:val="center"/>
    </w:pPr>
    <w:rPr>
      <w:rFonts w:asciiTheme="minorHAnsi" w:hAnsiTheme="minorHAnsi"/>
      <w:sz w:val="18"/>
      <w:szCs w:val="18"/>
    </w:rPr>
  </w:style>
  <w:style w:type="paragraph" w:styleId="13">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ind w:firstLine="0" w:firstLineChars="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59"/>
    <w:pPr>
      <w:spacing w:after="0" w:line="240" w:lineRule="auto"/>
    </w:pPr>
    <w:rPr>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uiPriority w:val="9"/>
    <w:rPr>
      <w:rFonts w:cstheme="majorBidi"/>
      <w:b/>
      <w:bCs/>
      <w:color w:val="2F5597" w:themeColor="accent1" w:themeShade="BF"/>
    </w:rPr>
  </w:style>
  <w:style w:type="character" w:customStyle="1" w:styleId="24">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ind w:firstLine="0" w:firstLineChars="0"/>
      <w:jc w:val="center"/>
    </w:pPr>
    <w:rPr>
      <w:rFonts w:asciiTheme="minorHAnsi" w:hAnsiTheme="minorHAnsi"/>
      <w:i/>
      <w:iCs/>
      <w:color w:val="404040" w:themeColor="text1" w:themeTint="BF"/>
      <w:sz w:val="22"/>
      <w:szCs w:val="24"/>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firstLine="0" w:firstLineChars="0"/>
      <w:contextualSpacing/>
      <w:jc w:val="left"/>
    </w:pPr>
    <w:rPr>
      <w:rFonts w:asciiTheme="minorHAnsi" w:hAnsiTheme="minorHAnsi"/>
      <w:sz w:val="22"/>
      <w:szCs w:val="24"/>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line="278" w:lineRule="auto"/>
      <w:ind w:left="864" w:right="864" w:firstLine="0" w:firstLineChars="0"/>
      <w:jc w:val="center"/>
    </w:pPr>
    <w:rPr>
      <w:rFonts w:asciiTheme="minorHAnsi" w:hAnsiTheme="minorHAnsi"/>
      <w:i/>
      <w:iCs/>
      <w:color w:val="2F5597" w:themeColor="accent1" w:themeShade="BF"/>
      <w:sz w:val="22"/>
      <w:szCs w:val="24"/>
    </w:rPr>
  </w:style>
  <w:style w:type="character" w:customStyle="1" w:styleId="34">
    <w:name w:val="明显引用 字符"/>
    <w:basedOn w:val="17"/>
    <w:link w:val="33"/>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647</Words>
  <Characters>3860</Characters>
  <Lines>103</Lines>
  <Paragraphs>51</Paragraphs>
  <TotalTime>2</TotalTime>
  <ScaleCrop>false</ScaleCrop>
  <LinksUpToDate>false</LinksUpToDate>
  <CharactersWithSpaces>4345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2025-09-25T09:06:00Z</dcterms:created>
  <dc:creator>成杰 黄</dc:creator>
  <cp:lastModifiedBy>dai☺</cp:lastModifiedBy>
  <dcterms:modified xsi:type="dcterms:W3CDTF">2026-03-13T08:52:53Z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eyJoZGlkIjoiMzEwNTM5NzYwMDRjMzkwZTVkZjY2ODkwMGIxNGU0OTUiLCJ1c2VySWQiOiIzNjQ2MzMxMDkifQ==</vt:lpwstr>
  </property>
  <property fmtid="{D5CDD505-2E9C-101B-9397-08002B2CF9AE}" pid="3" name="KSOProductBuildVer">
    <vt:lpwstr>2052-12.1.0.25225</vt:lpwstr>
  </property>
  <property fmtid="{D5CDD505-2E9C-101B-9397-08002B2CF9AE}" pid="4" name="ICV">
    <vt:lpwstr>74E14E66EE4A4B33BE9EEDB7E436BE73_12</vt:lpwstr>
  </property>
</Properties>
</file>