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820" w:rsidRPr="00647223" w:rsidRDefault="00263820" w:rsidP="00263820">
      <w:pPr>
        <w:spacing w:line="240" w:lineRule="auto"/>
        <w:jc w:val="right"/>
        <w:rPr>
          <w:rFonts w:asciiTheme="majorBidi" w:hAnsiTheme="majorBidi" w:cstheme="majorBidi"/>
          <w:b/>
          <w:bCs/>
          <w:sz w:val="28"/>
          <w:szCs w:val="28"/>
        </w:rPr>
      </w:pPr>
      <w:r w:rsidRPr="00647223">
        <w:rPr>
          <w:rFonts w:asciiTheme="majorBidi" w:hAnsiTheme="majorBidi" w:cstheme="majorBidi"/>
          <w:b/>
          <w:bCs/>
          <w:sz w:val="28"/>
          <w:szCs w:val="28"/>
        </w:rPr>
        <w:t>Appendix</w:t>
      </w:r>
    </w:p>
    <w:p w:rsidR="00D227F9" w:rsidRPr="00D227F9" w:rsidRDefault="00D227F9" w:rsidP="00263820">
      <w:pPr>
        <w:spacing w:line="240" w:lineRule="auto"/>
        <w:jc w:val="right"/>
        <w:rPr>
          <w:rFonts w:asciiTheme="majorBidi" w:hAnsiTheme="majorBidi" w:cstheme="majorBidi"/>
          <w:b/>
          <w:bCs/>
          <w:sz w:val="24"/>
          <w:szCs w:val="24"/>
        </w:rPr>
      </w:pPr>
      <w:r w:rsidRPr="00D227F9">
        <w:rPr>
          <w:rFonts w:asciiTheme="majorBidi" w:hAnsiTheme="majorBidi" w:cstheme="majorBidi"/>
          <w:b/>
          <w:bCs/>
          <w:sz w:val="24"/>
          <w:szCs w:val="24"/>
        </w:rPr>
        <w:t xml:space="preserve">Section 1. Variable Importance </w:t>
      </w:r>
    </w:p>
    <w:p w:rsidR="00263820" w:rsidRPr="00C26866" w:rsidRDefault="00D227F9" w:rsidP="00263820">
      <w:pPr>
        <w:spacing w:line="240" w:lineRule="auto"/>
        <w:jc w:val="right"/>
        <w:rPr>
          <w:rFonts w:asciiTheme="majorBidi" w:hAnsiTheme="majorBidi" w:cstheme="majorBidi"/>
          <w:sz w:val="24"/>
          <w:szCs w:val="24"/>
        </w:rPr>
      </w:pPr>
      <w:r>
        <w:rPr>
          <w:rFonts w:asciiTheme="majorBidi" w:hAnsiTheme="majorBidi" w:cstheme="majorBidi"/>
          <w:sz w:val="24"/>
          <w:szCs w:val="24"/>
        </w:rPr>
        <w:br/>
      </w:r>
      <w:r w:rsidR="00263820" w:rsidRPr="00C26866">
        <w:rPr>
          <w:rFonts w:asciiTheme="majorBidi" w:hAnsiTheme="majorBidi" w:cstheme="majorBidi"/>
          <w:sz w:val="24"/>
          <w:szCs w:val="24"/>
        </w:rPr>
        <w:t>Variable importance in causal forests measures how much each covariate contributes to explaining differences in treatment effects (e.g., online vs. face-to-face learning). It is calculated based on:</w:t>
      </w:r>
    </w:p>
    <w:p w:rsidR="00263820" w:rsidRPr="00C26866" w:rsidRDefault="00263820" w:rsidP="00263820">
      <w:pPr>
        <w:numPr>
          <w:ilvl w:val="0"/>
          <w:numId w:val="1"/>
        </w:numPr>
        <w:bidi w:val="0"/>
        <w:spacing w:line="240" w:lineRule="auto"/>
        <w:rPr>
          <w:rFonts w:asciiTheme="majorBidi" w:hAnsiTheme="majorBidi" w:cstheme="majorBidi"/>
          <w:sz w:val="24"/>
          <w:szCs w:val="24"/>
        </w:rPr>
      </w:pPr>
      <w:r w:rsidRPr="00C26866">
        <w:rPr>
          <w:rFonts w:asciiTheme="majorBidi" w:hAnsiTheme="majorBidi" w:cstheme="majorBidi"/>
          <w:sz w:val="24"/>
          <w:szCs w:val="24"/>
        </w:rPr>
        <w:t>How often a variable is used to split trees.</w:t>
      </w:r>
    </w:p>
    <w:p w:rsidR="00263820" w:rsidRPr="00C26866" w:rsidRDefault="00263820" w:rsidP="00263820">
      <w:pPr>
        <w:numPr>
          <w:ilvl w:val="0"/>
          <w:numId w:val="1"/>
        </w:numPr>
        <w:bidi w:val="0"/>
        <w:spacing w:line="240" w:lineRule="auto"/>
        <w:rPr>
          <w:rFonts w:asciiTheme="majorBidi" w:hAnsiTheme="majorBidi" w:cstheme="majorBidi"/>
          <w:sz w:val="24"/>
          <w:szCs w:val="24"/>
        </w:rPr>
      </w:pPr>
      <w:r w:rsidRPr="00C26866">
        <w:rPr>
          <w:rFonts w:asciiTheme="majorBidi" w:hAnsiTheme="majorBidi" w:cstheme="majorBidi"/>
          <w:sz w:val="24"/>
          <w:szCs w:val="24"/>
        </w:rPr>
        <w:t>How much those splits improve prediction accuracy or reduce effect variability.</w:t>
      </w:r>
    </w:p>
    <w:p w:rsidR="00263820" w:rsidRDefault="00263820" w:rsidP="00D227F9">
      <w:pPr>
        <w:spacing w:line="240" w:lineRule="auto"/>
        <w:jc w:val="right"/>
        <w:rPr>
          <w:rFonts w:asciiTheme="majorBidi" w:hAnsiTheme="majorBidi" w:cstheme="majorBidi"/>
          <w:sz w:val="24"/>
          <w:szCs w:val="24"/>
        </w:rPr>
      </w:pPr>
      <w:r w:rsidRPr="00C26866">
        <w:rPr>
          <w:rFonts w:asciiTheme="majorBidi" w:hAnsiTheme="majorBidi" w:cstheme="majorBidi"/>
          <w:sz w:val="24"/>
          <w:szCs w:val="24"/>
        </w:rPr>
        <w:t>Unlike parametric models, causal forests use this nonparametric approach to detect key moderators of treatment effects. Table A1 reports the importance scores for all covariates in the analysis.</w:t>
      </w:r>
      <w:r w:rsidR="00584C1E">
        <w:rPr>
          <w:rFonts w:asciiTheme="majorBidi" w:hAnsiTheme="majorBidi" w:cstheme="majorBidi"/>
          <w:sz w:val="24"/>
          <w:szCs w:val="24"/>
        </w:rPr>
        <w:t xml:space="preserve"> The most important covariates are the ones whose importance is greater than 20% of the mean of all importances.</w:t>
      </w:r>
    </w:p>
    <w:p w:rsidR="00263820" w:rsidRDefault="00263820" w:rsidP="00263820">
      <w:pPr>
        <w:spacing w:line="240" w:lineRule="auto"/>
        <w:jc w:val="right"/>
        <w:rPr>
          <w:rFonts w:asciiTheme="majorBidi" w:hAnsiTheme="majorBidi" w:cstheme="majorBidi"/>
          <w:sz w:val="24"/>
          <w:szCs w:val="24"/>
          <w:lang w:bidi="ar-JO"/>
        </w:rPr>
      </w:pPr>
    </w:p>
    <w:p w:rsidR="00263820" w:rsidRDefault="00263820" w:rsidP="00263820">
      <w:pPr>
        <w:spacing w:line="240" w:lineRule="auto"/>
        <w:jc w:val="right"/>
        <w:rPr>
          <w:rFonts w:asciiTheme="majorBidi" w:hAnsiTheme="majorBidi" w:cstheme="majorBidi"/>
          <w:sz w:val="24"/>
          <w:szCs w:val="24"/>
        </w:rPr>
      </w:pPr>
      <w:r w:rsidRPr="00647223">
        <w:rPr>
          <w:rFonts w:asciiTheme="majorBidi" w:hAnsiTheme="majorBidi" w:cstheme="majorBidi"/>
          <w:b/>
          <w:bCs/>
          <w:sz w:val="24"/>
          <w:szCs w:val="24"/>
        </w:rPr>
        <w:t>Table A1.</w:t>
      </w:r>
      <w:r w:rsidRPr="00F97F33">
        <w:rPr>
          <w:rFonts w:asciiTheme="majorBidi" w:hAnsiTheme="majorBidi" w:cstheme="majorBidi"/>
          <w:b/>
          <w:bCs/>
          <w:sz w:val="24"/>
          <w:szCs w:val="24"/>
        </w:rPr>
        <w:t xml:space="preserve"> Variable Importance</w:t>
      </w:r>
    </w:p>
    <w:tbl>
      <w:tblPr>
        <w:tblpPr w:leftFromText="180" w:rightFromText="180" w:vertAnchor="text" w:horzAnchor="margin" w:tblpXSpec="right" w:tblpY="227"/>
        <w:tblW w:w="14886" w:type="dxa"/>
        <w:tblLook w:val="04A0" w:firstRow="1" w:lastRow="0" w:firstColumn="1" w:lastColumn="0" w:noHBand="0" w:noVBand="1"/>
      </w:tblPr>
      <w:tblGrid>
        <w:gridCol w:w="1218"/>
        <w:gridCol w:w="1365"/>
        <w:gridCol w:w="1438"/>
        <w:gridCol w:w="1849"/>
        <w:gridCol w:w="2431"/>
        <w:gridCol w:w="1500"/>
        <w:gridCol w:w="1759"/>
        <w:gridCol w:w="2431"/>
        <w:gridCol w:w="986"/>
      </w:tblGrid>
      <w:tr w:rsidR="00263820" w:rsidRPr="00E34731" w:rsidTr="00584C1E">
        <w:trPr>
          <w:trHeight w:val="191"/>
        </w:trPr>
        <w:tc>
          <w:tcPr>
            <w:tcW w:w="1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Variable</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Gender</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68755F">
              <w:rPr>
                <w:rFonts w:asciiTheme="majorBidi" w:eastAsia="Times New Roman" w:hAnsiTheme="majorBidi" w:cstheme="majorBidi"/>
                <w:b/>
                <w:bCs/>
                <w:color w:val="000000"/>
              </w:rPr>
              <w:t xml:space="preserve">Residence </w:t>
            </w:r>
            <w:r w:rsidRPr="00E34731">
              <w:rPr>
                <w:rFonts w:asciiTheme="majorBidi" w:eastAsia="Times New Roman" w:hAnsiTheme="majorBidi" w:cstheme="majorBidi"/>
                <w:b/>
                <w:bCs/>
                <w:color w:val="000000"/>
              </w:rPr>
              <w:t>Nablus</w:t>
            </w:r>
          </w:p>
        </w:tc>
        <w:tc>
          <w:tcPr>
            <w:tcW w:w="1849" w:type="dxa"/>
            <w:tcBorders>
              <w:top w:val="single" w:sz="4" w:space="0" w:color="auto"/>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68755F">
              <w:rPr>
                <w:rFonts w:asciiTheme="majorBidi" w:eastAsia="Times New Roman" w:hAnsiTheme="majorBidi" w:cstheme="majorBidi"/>
                <w:b/>
                <w:bCs/>
                <w:color w:val="000000"/>
              </w:rPr>
              <w:t xml:space="preserve">Residence </w:t>
            </w:r>
            <w:r w:rsidRPr="00E34731">
              <w:rPr>
                <w:rFonts w:asciiTheme="majorBidi" w:eastAsia="Times New Roman" w:hAnsiTheme="majorBidi" w:cstheme="majorBidi"/>
                <w:b/>
                <w:bCs/>
                <w:color w:val="000000"/>
              </w:rPr>
              <w:t>North West Bank</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68755F">
              <w:rPr>
                <w:rFonts w:asciiTheme="majorBidi" w:eastAsia="Times New Roman" w:hAnsiTheme="majorBidi" w:cstheme="majorBidi"/>
                <w:b/>
                <w:bCs/>
                <w:color w:val="000000"/>
              </w:rPr>
              <w:t xml:space="preserve">Residence </w:t>
            </w:r>
            <w:r w:rsidRPr="00E34731">
              <w:rPr>
                <w:rFonts w:asciiTheme="majorBidi" w:eastAsia="Times New Roman" w:hAnsiTheme="majorBidi" w:cstheme="majorBidi"/>
                <w:b/>
                <w:bCs/>
                <w:color w:val="000000"/>
              </w:rPr>
              <w:t>South West Bank</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68755F">
              <w:rPr>
                <w:rFonts w:asciiTheme="majorBidi" w:eastAsia="Times New Roman" w:hAnsiTheme="majorBidi" w:cstheme="majorBidi"/>
                <w:b/>
                <w:bCs/>
                <w:color w:val="000000"/>
              </w:rPr>
              <w:t xml:space="preserve">Residence </w:t>
            </w:r>
            <w:r w:rsidRPr="00E34731">
              <w:rPr>
                <w:rFonts w:asciiTheme="majorBidi" w:eastAsia="Times New Roman" w:hAnsiTheme="majorBidi" w:cstheme="majorBidi"/>
                <w:b/>
                <w:bCs/>
                <w:color w:val="000000"/>
              </w:rPr>
              <w:t>Palestine1948</w:t>
            </w:r>
          </w:p>
        </w:tc>
        <w:tc>
          <w:tcPr>
            <w:tcW w:w="1759" w:type="dxa"/>
            <w:tcBorders>
              <w:top w:val="single" w:sz="4" w:space="0" w:color="auto"/>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Incomplete final exam, %</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1</w:t>
            </w:r>
          </w:p>
        </w:tc>
        <w:tc>
          <w:tcPr>
            <w:tcW w:w="972" w:type="dxa"/>
            <w:tcBorders>
              <w:top w:val="single" w:sz="4" w:space="0" w:color="auto"/>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2</w:t>
            </w:r>
          </w:p>
        </w:tc>
      </w:tr>
      <w:tr w:rsidR="00263820" w:rsidRPr="00E34731" w:rsidTr="00584C1E">
        <w:trPr>
          <w:trHeight w:val="191"/>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Importance</w:t>
            </w:r>
          </w:p>
        </w:tc>
        <w:tc>
          <w:tcPr>
            <w:tcW w:w="1346"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2.8%</w:t>
            </w:r>
          </w:p>
        </w:tc>
        <w:tc>
          <w:tcPr>
            <w:tcW w:w="1418"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1.6%</w:t>
            </w:r>
          </w:p>
        </w:tc>
        <w:tc>
          <w:tcPr>
            <w:tcW w:w="184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1.1%</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1.4%</w:t>
            </w:r>
          </w:p>
        </w:tc>
        <w:tc>
          <w:tcPr>
            <w:tcW w:w="147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1.1%</w:t>
            </w:r>
          </w:p>
        </w:tc>
        <w:tc>
          <w:tcPr>
            <w:tcW w:w="175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0.</w:t>
            </w:r>
            <w:r>
              <w:rPr>
                <w:rFonts w:asciiTheme="majorBidi" w:eastAsia="Times New Roman" w:hAnsiTheme="majorBidi" w:cstheme="majorBidi"/>
                <w:color w:val="000000"/>
              </w:rPr>
              <w:t>4%</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4.1%</w:t>
            </w:r>
          </w:p>
        </w:tc>
        <w:tc>
          <w:tcPr>
            <w:tcW w:w="972"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3.8%</w:t>
            </w:r>
          </w:p>
        </w:tc>
      </w:tr>
      <w:tr w:rsidR="00263820" w:rsidRPr="00E34731" w:rsidTr="00584C1E">
        <w:trPr>
          <w:trHeight w:val="191"/>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Variable</w:t>
            </w:r>
          </w:p>
        </w:tc>
        <w:tc>
          <w:tcPr>
            <w:tcW w:w="1346"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3</w:t>
            </w:r>
          </w:p>
        </w:tc>
        <w:tc>
          <w:tcPr>
            <w:tcW w:w="1418"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4</w:t>
            </w:r>
          </w:p>
        </w:tc>
        <w:tc>
          <w:tcPr>
            <w:tcW w:w="184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5</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6</w:t>
            </w:r>
          </w:p>
        </w:tc>
        <w:tc>
          <w:tcPr>
            <w:tcW w:w="147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7</w:t>
            </w:r>
          </w:p>
        </w:tc>
        <w:tc>
          <w:tcPr>
            <w:tcW w:w="175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8</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9</w:t>
            </w:r>
          </w:p>
        </w:tc>
        <w:tc>
          <w:tcPr>
            <w:tcW w:w="972"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10</w:t>
            </w:r>
          </w:p>
        </w:tc>
      </w:tr>
      <w:tr w:rsidR="00263820" w:rsidRPr="00E34731" w:rsidTr="00584C1E">
        <w:trPr>
          <w:trHeight w:val="191"/>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Importance</w:t>
            </w:r>
          </w:p>
        </w:tc>
        <w:tc>
          <w:tcPr>
            <w:tcW w:w="1346"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2.1%</w:t>
            </w:r>
          </w:p>
        </w:tc>
        <w:tc>
          <w:tcPr>
            <w:tcW w:w="1418"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1.2%</w:t>
            </w:r>
          </w:p>
        </w:tc>
        <w:tc>
          <w:tcPr>
            <w:tcW w:w="184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1.3%</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1.5%</w:t>
            </w:r>
          </w:p>
        </w:tc>
        <w:tc>
          <w:tcPr>
            <w:tcW w:w="147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0</w:t>
            </w:r>
            <w:r>
              <w:rPr>
                <w:rFonts w:asciiTheme="majorBidi" w:eastAsia="Times New Roman" w:hAnsiTheme="majorBidi" w:cstheme="majorBidi"/>
                <w:color w:val="000000"/>
              </w:rPr>
              <w:t>%</w:t>
            </w:r>
          </w:p>
        </w:tc>
        <w:tc>
          <w:tcPr>
            <w:tcW w:w="175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1.2%</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w:t>
            </w:r>
          </w:p>
        </w:tc>
        <w:tc>
          <w:tcPr>
            <w:tcW w:w="972"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0.2%</w:t>
            </w:r>
          </w:p>
        </w:tc>
      </w:tr>
      <w:tr w:rsidR="00263820" w:rsidRPr="00E34731" w:rsidTr="00584C1E">
        <w:trPr>
          <w:trHeight w:val="191"/>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Variable</w:t>
            </w:r>
          </w:p>
        </w:tc>
        <w:tc>
          <w:tcPr>
            <w:tcW w:w="1346"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11</w:t>
            </w:r>
          </w:p>
        </w:tc>
        <w:tc>
          <w:tcPr>
            <w:tcW w:w="1418"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12</w:t>
            </w:r>
          </w:p>
        </w:tc>
        <w:tc>
          <w:tcPr>
            <w:tcW w:w="184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13</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Teacher 14</w:t>
            </w:r>
          </w:p>
        </w:tc>
        <w:tc>
          <w:tcPr>
            <w:tcW w:w="147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Civil or architecture</w:t>
            </w:r>
          </w:p>
        </w:tc>
        <w:tc>
          <w:tcPr>
            <w:tcW w:w="175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Computer Engineering</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Industrial and Chemical Engineering</w:t>
            </w:r>
          </w:p>
        </w:tc>
        <w:tc>
          <w:tcPr>
            <w:tcW w:w="972"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Physics</w:t>
            </w:r>
          </w:p>
        </w:tc>
      </w:tr>
      <w:tr w:rsidR="00263820" w:rsidRPr="00E34731" w:rsidTr="00584C1E">
        <w:trPr>
          <w:trHeight w:val="191"/>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Importance</w:t>
            </w:r>
          </w:p>
        </w:tc>
        <w:tc>
          <w:tcPr>
            <w:tcW w:w="1346"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0</w:t>
            </w:r>
            <w:r>
              <w:rPr>
                <w:rFonts w:asciiTheme="majorBidi" w:eastAsia="Times New Roman" w:hAnsiTheme="majorBidi" w:cstheme="majorBidi"/>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7.3%</w:t>
            </w:r>
          </w:p>
        </w:tc>
        <w:tc>
          <w:tcPr>
            <w:tcW w:w="184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0.9%</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0</w:t>
            </w:r>
            <w:r>
              <w:rPr>
                <w:rFonts w:asciiTheme="majorBidi" w:eastAsia="Times New Roman" w:hAnsiTheme="majorBidi" w:cstheme="majorBidi"/>
                <w:color w:val="000000"/>
              </w:rPr>
              <w:t>%</w:t>
            </w:r>
          </w:p>
        </w:tc>
        <w:tc>
          <w:tcPr>
            <w:tcW w:w="147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1.1%</w:t>
            </w:r>
          </w:p>
        </w:tc>
        <w:tc>
          <w:tcPr>
            <w:tcW w:w="175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2.9%</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1.3%</w:t>
            </w:r>
          </w:p>
        </w:tc>
        <w:tc>
          <w:tcPr>
            <w:tcW w:w="972"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0.7%</w:t>
            </w:r>
          </w:p>
        </w:tc>
      </w:tr>
      <w:tr w:rsidR="00263820" w:rsidRPr="00E34731" w:rsidTr="00584C1E">
        <w:trPr>
          <w:trHeight w:val="191"/>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Variable</w:t>
            </w:r>
          </w:p>
        </w:tc>
        <w:tc>
          <w:tcPr>
            <w:tcW w:w="1346"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Information Technology</w:t>
            </w:r>
          </w:p>
        </w:tc>
        <w:tc>
          <w:tcPr>
            <w:tcW w:w="1418"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Mathematics</w:t>
            </w:r>
          </w:p>
        </w:tc>
        <w:tc>
          <w:tcPr>
            <w:tcW w:w="184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Other</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Failed before, %</w:t>
            </w:r>
          </w:p>
        </w:tc>
        <w:tc>
          <w:tcPr>
            <w:tcW w:w="147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High school score</w:t>
            </w:r>
          </w:p>
        </w:tc>
        <w:tc>
          <w:tcPr>
            <w:tcW w:w="175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b/>
                <w:bCs/>
                <w:color w:val="000000"/>
              </w:rPr>
            </w:pPr>
            <w:r w:rsidRPr="00E34731">
              <w:rPr>
                <w:rFonts w:asciiTheme="majorBidi" w:eastAsia="Times New Roman" w:hAnsiTheme="majorBidi" w:cstheme="majorBidi"/>
                <w:b/>
                <w:bCs/>
                <w:color w:val="000000"/>
              </w:rPr>
              <w:t>Absence (hours)</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 </w:t>
            </w:r>
          </w:p>
        </w:tc>
        <w:tc>
          <w:tcPr>
            <w:tcW w:w="972"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 </w:t>
            </w:r>
          </w:p>
        </w:tc>
      </w:tr>
      <w:tr w:rsidR="00263820" w:rsidRPr="00E34731" w:rsidTr="00584C1E">
        <w:trPr>
          <w:trHeight w:val="191"/>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Importance</w:t>
            </w:r>
          </w:p>
        </w:tc>
        <w:tc>
          <w:tcPr>
            <w:tcW w:w="1346"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3.3%</w:t>
            </w:r>
          </w:p>
        </w:tc>
        <w:tc>
          <w:tcPr>
            <w:tcW w:w="1418"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1.6%</w:t>
            </w:r>
          </w:p>
        </w:tc>
        <w:tc>
          <w:tcPr>
            <w:tcW w:w="184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1.7%</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4.2%</w:t>
            </w:r>
          </w:p>
        </w:tc>
        <w:tc>
          <w:tcPr>
            <w:tcW w:w="147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44.6%</w:t>
            </w:r>
          </w:p>
        </w:tc>
        <w:tc>
          <w:tcPr>
            <w:tcW w:w="1759"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5.8%</w:t>
            </w:r>
          </w:p>
        </w:tc>
        <w:tc>
          <w:tcPr>
            <w:tcW w:w="2431"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 </w:t>
            </w:r>
          </w:p>
        </w:tc>
        <w:tc>
          <w:tcPr>
            <w:tcW w:w="972" w:type="dxa"/>
            <w:tcBorders>
              <w:top w:val="nil"/>
              <w:left w:val="nil"/>
              <w:bottom w:val="single" w:sz="4" w:space="0" w:color="auto"/>
              <w:right w:val="single" w:sz="4" w:space="0" w:color="auto"/>
            </w:tcBorders>
            <w:shd w:val="clear" w:color="auto" w:fill="auto"/>
            <w:noWrap/>
            <w:vAlign w:val="center"/>
            <w:hideMark/>
          </w:tcPr>
          <w:p w:rsidR="00263820" w:rsidRPr="00E34731" w:rsidRDefault="00263820" w:rsidP="00AF77EA">
            <w:pPr>
              <w:bidi w:val="0"/>
              <w:spacing w:after="0" w:line="240" w:lineRule="auto"/>
              <w:jc w:val="center"/>
              <w:rPr>
                <w:rFonts w:asciiTheme="majorBidi" w:eastAsia="Times New Roman" w:hAnsiTheme="majorBidi" w:cstheme="majorBidi"/>
                <w:color w:val="000000"/>
              </w:rPr>
            </w:pPr>
            <w:r w:rsidRPr="00E34731">
              <w:rPr>
                <w:rFonts w:asciiTheme="majorBidi" w:eastAsia="Times New Roman" w:hAnsiTheme="majorBidi" w:cstheme="majorBidi"/>
                <w:color w:val="000000"/>
              </w:rPr>
              <w:t> </w:t>
            </w:r>
          </w:p>
        </w:tc>
      </w:tr>
    </w:tbl>
    <w:p w:rsidR="00263820" w:rsidRPr="00C26866" w:rsidRDefault="00263820" w:rsidP="00263820">
      <w:pPr>
        <w:spacing w:line="240" w:lineRule="auto"/>
        <w:rPr>
          <w:rFonts w:asciiTheme="majorBidi" w:hAnsiTheme="majorBidi" w:cstheme="majorBidi"/>
          <w:sz w:val="24"/>
          <w:szCs w:val="24"/>
        </w:rPr>
      </w:pPr>
    </w:p>
    <w:p w:rsidR="00263820" w:rsidRDefault="00D227F9" w:rsidP="00CC495B">
      <w:pPr>
        <w:bidi w:val="0"/>
        <w:spacing w:line="240" w:lineRule="auto"/>
        <w:rPr>
          <w:rFonts w:asciiTheme="majorBidi" w:hAnsiTheme="majorBidi" w:cs="Times New Roman"/>
          <w:sz w:val="24"/>
          <w:szCs w:val="24"/>
        </w:rPr>
      </w:pPr>
      <w:r w:rsidRPr="00D227F9">
        <w:rPr>
          <w:rFonts w:asciiTheme="majorBidi" w:hAnsiTheme="majorBidi" w:cstheme="majorBidi"/>
          <w:b/>
          <w:bCs/>
          <w:sz w:val="24"/>
          <w:szCs w:val="24"/>
        </w:rPr>
        <w:t xml:space="preserve">Section 2. Table format for subgroup analysis findings </w:t>
      </w:r>
      <w:r>
        <w:rPr>
          <w:rFonts w:asciiTheme="majorBidi" w:hAnsiTheme="majorBidi" w:cstheme="majorBidi"/>
          <w:sz w:val="24"/>
          <w:szCs w:val="24"/>
        </w:rPr>
        <w:br/>
      </w:r>
      <w:r>
        <w:rPr>
          <w:rFonts w:asciiTheme="majorBidi" w:hAnsiTheme="majorBidi" w:cstheme="majorBidi"/>
          <w:sz w:val="24"/>
          <w:szCs w:val="24"/>
        </w:rPr>
        <w:br/>
      </w:r>
      <w:r w:rsidRPr="00D227F9">
        <w:rPr>
          <w:rFonts w:asciiTheme="majorBidi" w:hAnsiTheme="majorBidi" w:cstheme="majorBidi"/>
          <w:sz w:val="24"/>
          <w:szCs w:val="24"/>
        </w:rPr>
        <w:t>Table A2 presents the detailed results corresponding to the main subgroup (GATE) analysis displayed in the forest plot in the main text</w:t>
      </w:r>
      <w:r w:rsidR="00CC495B">
        <w:rPr>
          <w:rFonts w:asciiTheme="majorBidi" w:hAnsiTheme="majorBidi" w:cstheme="majorBidi"/>
          <w:sz w:val="24"/>
          <w:szCs w:val="24"/>
        </w:rPr>
        <w:t xml:space="preserve"> (Figure 1)</w:t>
      </w:r>
      <w:r w:rsidRPr="00D227F9">
        <w:rPr>
          <w:rFonts w:asciiTheme="majorBidi" w:hAnsiTheme="majorBidi" w:cstheme="majorBidi"/>
          <w:sz w:val="24"/>
          <w:szCs w:val="24"/>
        </w:rPr>
        <w:t xml:space="preserve">. For each subgroup, the table reports </w:t>
      </w:r>
      <w:r w:rsidR="00CC495B">
        <w:rPr>
          <w:rFonts w:asciiTheme="majorBidi" w:hAnsiTheme="majorBidi" w:cstheme="majorBidi"/>
          <w:sz w:val="24"/>
          <w:szCs w:val="24"/>
        </w:rPr>
        <w:t>its size,</w:t>
      </w:r>
      <w:r w:rsidRPr="00D227F9">
        <w:rPr>
          <w:rFonts w:asciiTheme="majorBidi" w:hAnsiTheme="majorBidi" w:cstheme="majorBidi"/>
          <w:sz w:val="24"/>
          <w:szCs w:val="24"/>
        </w:rPr>
        <w:t xml:space="preserve"> the estimated average treatment effect (GATE), and the lower and upper limits of the 95 % confidence interval. The final column indicates whether the subgroup effect is statistically different from the overall average effect</w:t>
      </w:r>
      <w:r w:rsidR="00CC495B">
        <w:rPr>
          <w:rFonts w:asciiTheme="majorBidi" w:hAnsiTheme="majorBidi" w:cstheme="majorBidi"/>
          <w:sz w:val="24"/>
          <w:szCs w:val="24"/>
        </w:rPr>
        <w:t xml:space="preserve"> (green) or not (red)</w:t>
      </w:r>
      <w:r w:rsidRPr="00D227F9">
        <w:rPr>
          <w:rFonts w:asciiTheme="majorBidi" w:hAnsiTheme="majorBidi" w:cstheme="majorBidi"/>
          <w:sz w:val="24"/>
          <w:szCs w:val="24"/>
        </w:rPr>
        <w:t xml:space="preserve">. </w:t>
      </w:r>
      <w:r w:rsidR="00CC495B">
        <w:rPr>
          <w:rFonts w:asciiTheme="majorBidi" w:hAnsiTheme="majorBidi" w:cstheme="majorBidi"/>
          <w:sz w:val="24"/>
          <w:szCs w:val="24"/>
        </w:rPr>
        <w:t>T</w:t>
      </w:r>
      <w:r w:rsidRPr="00D227F9">
        <w:rPr>
          <w:rFonts w:asciiTheme="majorBidi" w:hAnsiTheme="majorBidi" w:cstheme="majorBidi"/>
          <w:sz w:val="24"/>
          <w:szCs w:val="24"/>
        </w:rPr>
        <w:t xml:space="preserve">his table </w:t>
      </w:r>
      <w:r w:rsidR="00CC495B">
        <w:rPr>
          <w:rFonts w:asciiTheme="majorBidi" w:hAnsiTheme="majorBidi" w:cstheme="majorBidi"/>
          <w:sz w:val="24"/>
          <w:szCs w:val="24"/>
        </w:rPr>
        <w:t>provides</w:t>
      </w:r>
      <w:r w:rsidRPr="00D227F9">
        <w:rPr>
          <w:rFonts w:asciiTheme="majorBidi" w:hAnsiTheme="majorBidi" w:cstheme="majorBidi"/>
          <w:sz w:val="24"/>
          <w:szCs w:val="24"/>
        </w:rPr>
        <w:t xml:space="preserve"> full transparency and facilitating comparison across subgroups</w:t>
      </w:r>
      <w:r w:rsidRPr="00D227F9">
        <w:rPr>
          <w:rFonts w:asciiTheme="majorBidi" w:hAnsiTheme="majorBidi" w:cs="Times New Roman"/>
          <w:sz w:val="24"/>
          <w:szCs w:val="24"/>
          <w:rtl/>
        </w:rPr>
        <w:t>.</w:t>
      </w:r>
    </w:p>
    <w:p w:rsidR="00CC495B" w:rsidRPr="00C26866" w:rsidRDefault="00CC495B" w:rsidP="00CC495B">
      <w:pPr>
        <w:bidi w:val="0"/>
        <w:spacing w:line="240" w:lineRule="auto"/>
        <w:rPr>
          <w:rFonts w:asciiTheme="majorBidi" w:hAnsiTheme="majorBidi" w:cstheme="majorBidi"/>
          <w:sz w:val="24"/>
          <w:szCs w:val="24"/>
        </w:rPr>
      </w:pPr>
    </w:p>
    <w:p w:rsidR="0012067B" w:rsidRDefault="0012067B" w:rsidP="00CC495B">
      <w:pPr>
        <w:jc w:val="right"/>
        <w:rPr>
          <w:rFonts w:asciiTheme="majorBidi" w:hAnsiTheme="majorBidi" w:cstheme="majorBidi"/>
          <w:sz w:val="24"/>
          <w:szCs w:val="24"/>
        </w:rPr>
      </w:pPr>
      <w:r w:rsidRPr="0012067B">
        <w:rPr>
          <w:rFonts w:asciiTheme="majorBidi" w:hAnsiTheme="majorBidi" w:cstheme="majorBidi"/>
          <w:b/>
          <w:bCs/>
          <w:sz w:val="24"/>
          <w:szCs w:val="24"/>
        </w:rPr>
        <w:lastRenderedPageBreak/>
        <w:t>Table A2.</w:t>
      </w:r>
      <w:r>
        <w:rPr>
          <w:rFonts w:asciiTheme="majorBidi" w:hAnsiTheme="majorBidi" w:cstheme="majorBidi"/>
          <w:sz w:val="24"/>
          <w:szCs w:val="24"/>
        </w:rPr>
        <w:t xml:space="preserve"> </w:t>
      </w:r>
      <w:r w:rsidR="00CC495B" w:rsidRPr="00CC495B">
        <w:rPr>
          <w:rFonts w:asciiTheme="majorBidi" w:hAnsiTheme="majorBidi" w:cstheme="majorBidi"/>
          <w:b/>
          <w:bCs/>
          <w:sz w:val="24"/>
          <w:szCs w:val="24"/>
        </w:rPr>
        <w:t>Estimated Subgroup Treatment Effects (GATEs) With Confidence Intervals and Sample Sizes</w:t>
      </w:r>
    </w:p>
    <w:tbl>
      <w:tblPr>
        <w:tblW w:w="15463" w:type="dxa"/>
        <w:tblLook w:val="04A0" w:firstRow="1" w:lastRow="0" w:firstColumn="1" w:lastColumn="0" w:noHBand="0" w:noVBand="1"/>
      </w:tblPr>
      <w:tblGrid>
        <w:gridCol w:w="5296"/>
        <w:gridCol w:w="1559"/>
        <w:gridCol w:w="1559"/>
        <w:gridCol w:w="1559"/>
        <w:gridCol w:w="1559"/>
        <w:gridCol w:w="3931"/>
      </w:tblGrid>
      <w:tr w:rsidR="00C17676" w:rsidRPr="00C17676" w:rsidTr="00C17676">
        <w:trPr>
          <w:trHeight w:val="234"/>
        </w:trPr>
        <w:tc>
          <w:tcPr>
            <w:tcW w:w="5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b/>
                <w:bCs/>
                <w:color w:val="000000"/>
              </w:rPr>
            </w:pPr>
            <w:r w:rsidRPr="00C17676">
              <w:rPr>
                <w:rFonts w:ascii="Calibri" w:eastAsia="Times New Roman" w:hAnsi="Calibri" w:cs="Calibri"/>
                <w:b/>
                <w:bCs/>
                <w:color w:val="000000"/>
              </w:rPr>
              <w:t>subgroup</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b/>
                <w:bCs/>
                <w:color w:val="000000"/>
              </w:rPr>
            </w:pPr>
            <w:r w:rsidRPr="00C17676">
              <w:rPr>
                <w:rFonts w:ascii="Calibri" w:eastAsia="Times New Roman" w:hAnsi="Calibri" w:cs="Calibri"/>
                <w:b/>
                <w:bCs/>
                <w:color w:val="000000"/>
              </w:rPr>
              <w:t>Size</w:t>
            </w:r>
            <w:r w:rsidR="00D40D15">
              <w:rPr>
                <w:rFonts w:ascii="Calibri" w:eastAsia="Times New Roman" w:hAnsi="Calibri" w:cs="Calibri"/>
                <w:b/>
                <w:bCs/>
                <w:color w:val="000000"/>
              </w:rPr>
              <w:t xml:space="preserve"> of the subgroup</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17676" w:rsidRPr="00C17676" w:rsidRDefault="00D40D15" w:rsidP="00D227F9">
            <w:pPr>
              <w:bidi w:val="0"/>
              <w:spacing w:after="0" w:line="200" w:lineRule="exact"/>
              <w:rPr>
                <w:rFonts w:ascii="Calibri" w:eastAsia="Times New Roman" w:hAnsi="Calibri" w:cs="Calibri"/>
                <w:b/>
                <w:bCs/>
                <w:color w:val="000000"/>
              </w:rPr>
            </w:pPr>
            <w:r w:rsidRPr="00C17676">
              <w:rPr>
                <w:rFonts w:ascii="Calibri" w:eastAsia="Times New Roman" w:hAnsi="Calibri" w:cs="Calibri"/>
                <w:b/>
                <w:bCs/>
                <w:color w:val="000000"/>
              </w:rPr>
              <w:t>E</w:t>
            </w:r>
            <w:r w:rsidR="00C17676" w:rsidRPr="00C17676">
              <w:rPr>
                <w:rFonts w:ascii="Calibri" w:eastAsia="Times New Roman" w:hAnsi="Calibri" w:cs="Calibri"/>
                <w:b/>
                <w:bCs/>
                <w:color w:val="000000"/>
              </w:rPr>
              <w:t>ffect</w:t>
            </w:r>
            <w:r>
              <w:rPr>
                <w:rFonts w:ascii="Calibri" w:eastAsia="Times New Roman" w:hAnsi="Calibri" w:cs="Calibri"/>
                <w:b/>
                <w:bCs/>
                <w:color w:val="000000"/>
              </w:rPr>
              <w:t xml:space="preserve"> (GATE)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17676" w:rsidRPr="00C17676" w:rsidRDefault="00D40D15" w:rsidP="00D227F9">
            <w:pPr>
              <w:bidi w:val="0"/>
              <w:spacing w:after="0" w:line="200" w:lineRule="exact"/>
              <w:rPr>
                <w:rFonts w:ascii="Calibri" w:eastAsia="Times New Roman" w:hAnsi="Calibri" w:cs="Calibri"/>
                <w:b/>
                <w:bCs/>
                <w:color w:val="000000"/>
              </w:rPr>
            </w:pPr>
            <w:r w:rsidRPr="00C17676">
              <w:rPr>
                <w:rFonts w:ascii="Calibri" w:eastAsia="Times New Roman" w:hAnsi="Calibri" w:cs="Calibri"/>
                <w:b/>
                <w:bCs/>
                <w:color w:val="000000"/>
              </w:rPr>
              <w:t>L</w:t>
            </w:r>
            <w:r w:rsidR="00C17676" w:rsidRPr="00C17676">
              <w:rPr>
                <w:rFonts w:ascii="Calibri" w:eastAsia="Times New Roman" w:hAnsi="Calibri" w:cs="Calibri"/>
                <w:b/>
                <w:bCs/>
                <w:color w:val="000000"/>
              </w:rPr>
              <w:t>ower</w:t>
            </w:r>
            <w:r>
              <w:rPr>
                <w:rFonts w:ascii="Calibri" w:eastAsia="Times New Roman" w:hAnsi="Calibri" w:cs="Calibri"/>
                <w:b/>
                <w:bCs/>
                <w:color w:val="000000"/>
              </w:rPr>
              <w:t xml:space="preserve"> limit of 95% CI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b/>
                <w:bCs/>
                <w:color w:val="000000"/>
              </w:rPr>
            </w:pPr>
            <w:r w:rsidRPr="00C17676">
              <w:rPr>
                <w:rFonts w:ascii="Calibri" w:eastAsia="Times New Roman" w:hAnsi="Calibri" w:cs="Calibri"/>
                <w:b/>
                <w:bCs/>
                <w:color w:val="000000"/>
              </w:rPr>
              <w:t>Upper</w:t>
            </w:r>
            <w:r w:rsidR="00D40D15">
              <w:rPr>
                <w:rFonts w:ascii="Calibri" w:eastAsia="Times New Roman" w:hAnsi="Calibri" w:cs="Calibri"/>
                <w:b/>
                <w:bCs/>
                <w:color w:val="000000"/>
              </w:rPr>
              <w:t xml:space="preserve"> limit of 95% CI</w:t>
            </w:r>
          </w:p>
        </w:tc>
        <w:tc>
          <w:tcPr>
            <w:tcW w:w="3931" w:type="dxa"/>
            <w:tcBorders>
              <w:top w:val="single" w:sz="4" w:space="0" w:color="auto"/>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b/>
                <w:bCs/>
                <w:color w:val="000000"/>
              </w:rPr>
            </w:pPr>
            <w:r w:rsidRPr="00C17676">
              <w:rPr>
                <w:rFonts w:ascii="Calibri" w:eastAsia="Times New Roman" w:hAnsi="Calibri" w:cs="Calibri"/>
                <w:b/>
                <w:bCs/>
                <w:color w:val="000000"/>
              </w:rPr>
              <w:t xml:space="preserve">Is it different from </w:t>
            </w:r>
            <w:r w:rsidR="00D40D15" w:rsidRPr="00C17676">
              <w:rPr>
                <w:rFonts w:ascii="Calibri" w:eastAsia="Times New Roman" w:hAnsi="Calibri" w:cs="Calibri"/>
                <w:b/>
                <w:bCs/>
                <w:color w:val="000000"/>
              </w:rPr>
              <w:t>Average</w:t>
            </w:r>
            <w:r w:rsidR="00D227F9">
              <w:rPr>
                <w:rFonts w:ascii="Calibri" w:eastAsia="Times New Roman" w:hAnsi="Calibri" w:cs="Calibri"/>
                <w:b/>
                <w:bCs/>
                <w:color w:val="000000"/>
              </w:rPr>
              <w:t>?</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population</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2210</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2.56</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1.23</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3.9</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male</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1205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4.82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2.89</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6.75</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female</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1005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-0.14</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-1.94</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1.66</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Pr>
                <w:rFonts w:ascii="Calibri" w:eastAsia="Times New Roman" w:hAnsi="Calibri" w:cs="Calibri"/>
                <w:color w:val="000000"/>
              </w:rPr>
              <w:t>Center</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1374</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2.07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0.51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3.62</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 xml:space="preserve">North </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728</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3.27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0.88</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5.66</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 xml:space="preserve">South </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2.97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-13.07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19.02</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Pr>
                <w:rFonts w:ascii="Calibri" w:eastAsia="Times New Roman" w:hAnsi="Calibri" w:cs="Calibri"/>
                <w:color w:val="000000"/>
              </w:rPr>
              <w:t>External</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5.44</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-5.30</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16.17</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Incomplete final exam,yes</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215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2.26</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-0.72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5.23</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79</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-5.77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-10.81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-0.73</w:t>
            </w:r>
          </w:p>
        </w:tc>
        <w:tc>
          <w:tcPr>
            <w:tcW w:w="3931" w:type="dxa"/>
            <w:tcBorders>
              <w:top w:val="nil"/>
              <w:left w:val="nil"/>
              <w:bottom w:val="single" w:sz="4" w:space="0" w:color="auto"/>
              <w:right w:val="single" w:sz="4" w:space="0" w:color="auto"/>
            </w:tcBorders>
            <w:shd w:val="clear" w:color="000000" w:fill="C6EFCE"/>
            <w:noWrap/>
            <w:vAlign w:val="bottom"/>
            <w:hideMark/>
          </w:tcPr>
          <w:p w:rsidR="00C17676" w:rsidRPr="00C17676" w:rsidRDefault="00C17676" w:rsidP="00D227F9">
            <w:pPr>
              <w:bidi w:val="0"/>
              <w:spacing w:after="0" w:line="200" w:lineRule="exact"/>
              <w:rPr>
                <w:rFonts w:ascii="Calibri" w:eastAsia="Times New Roman" w:hAnsi="Calibri" w:cs="Calibri"/>
                <w:color w:val="006100"/>
              </w:rPr>
            </w:pPr>
            <w:r w:rsidRPr="00C17676">
              <w:rPr>
                <w:rFonts w:ascii="Calibri" w:eastAsia="Times New Roman" w:hAnsi="Calibri" w:cs="Calibri"/>
                <w:color w:val="006100"/>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403</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5.45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2.91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7.98</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3</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131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-0.62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-6.91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5.67</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4</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141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0.93</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-4.55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6.41</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97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1.52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-3.82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6.86</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6</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104</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-3.88</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-9.23</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1.47</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157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6.07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0.46</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11.68</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8</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296</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-2.75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-7.27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1.78</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9</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157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1.12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-3.22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5.47</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10</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147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3.52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-1.99</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9.03</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11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187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4.09</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0.50</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7.69</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12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167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13.60</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7.93</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19.28</w:t>
            </w:r>
          </w:p>
        </w:tc>
        <w:tc>
          <w:tcPr>
            <w:tcW w:w="3931" w:type="dxa"/>
            <w:tcBorders>
              <w:top w:val="nil"/>
              <w:left w:val="nil"/>
              <w:bottom w:val="single" w:sz="4" w:space="0" w:color="auto"/>
              <w:right w:val="single" w:sz="4" w:space="0" w:color="auto"/>
            </w:tcBorders>
            <w:shd w:val="clear" w:color="000000" w:fill="C6EFCE"/>
            <w:noWrap/>
            <w:vAlign w:val="bottom"/>
            <w:hideMark/>
          </w:tcPr>
          <w:p w:rsidR="00C17676" w:rsidRPr="00C17676" w:rsidRDefault="00C17676" w:rsidP="00D227F9">
            <w:pPr>
              <w:bidi w:val="0"/>
              <w:spacing w:after="0" w:line="200" w:lineRule="exact"/>
              <w:rPr>
                <w:rFonts w:ascii="Calibri" w:eastAsia="Times New Roman" w:hAnsi="Calibri" w:cs="Calibri"/>
                <w:color w:val="006100"/>
              </w:rPr>
            </w:pPr>
            <w:r w:rsidRPr="00C17676">
              <w:rPr>
                <w:rFonts w:ascii="Calibri" w:eastAsia="Times New Roman" w:hAnsi="Calibri" w:cs="Calibri"/>
                <w:color w:val="006100"/>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13</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86</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0.94</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-6.21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8.09</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Teacher 14</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58</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3.12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-2.58</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8.81</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Civil or architecture</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330</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2.68</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-0.78</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6.13</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Computer Engineering</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834</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-2.49</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-4.61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-0.37</w:t>
            </w:r>
          </w:p>
        </w:tc>
        <w:tc>
          <w:tcPr>
            <w:tcW w:w="3931" w:type="dxa"/>
            <w:tcBorders>
              <w:top w:val="nil"/>
              <w:left w:val="nil"/>
              <w:bottom w:val="single" w:sz="4" w:space="0" w:color="auto"/>
              <w:right w:val="single" w:sz="4" w:space="0" w:color="auto"/>
            </w:tcBorders>
            <w:shd w:val="clear" w:color="000000" w:fill="C6EFCE"/>
            <w:noWrap/>
            <w:vAlign w:val="bottom"/>
            <w:hideMark/>
          </w:tcPr>
          <w:p w:rsidR="00C17676" w:rsidRPr="00C17676" w:rsidRDefault="00C17676" w:rsidP="00D227F9">
            <w:pPr>
              <w:bidi w:val="0"/>
              <w:spacing w:after="0" w:line="200" w:lineRule="exact"/>
              <w:rPr>
                <w:rFonts w:ascii="Calibri" w:eastAsia="Times New Roman" w:hAnsi="Calibri" w:cs="Calibri"/>
                <w:color w:val="006100"/>
              </w:rPr>
            </w:pPr>
            <w:r w:rsidRPr="00C17676">
              <w:rPr>
                <w:rFonts w:ascii="Calibri" w:eastAsia="Times New Roman" w:hAnsi="Calibri" w:cs="Calibri"/>
                <w:color w:val="006100"/>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Industrial and Chemical Engineering</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152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3.54</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-1.61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8.69</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Physics</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30</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-2.96</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-14.92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9.00</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Information Technology</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742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7.45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5.16</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9.74</w:t>
            </w:r>
          </w:p>
        </w:tc>
        <w:tc>
          <w:tcPr>
            <w:tcW w:w="3931" w:type="dxa"/>
            <w:tcBorders>
              <w:top w:val="nil"/>
              <w:left w:val="nil"/>
              <w:bottom w:val="single" w:sz="4" w:space="0" w:color="auto"/>
              <w:right w:val="single" w:sz="4" w:space="0" w:color="auto"/>
            </w:tcBorders>
            <w:shd w:val="clear" w:color="000000" w:fill="C6EFCE"/>
            <w:noWrap/>
            <w:vAlign w:val="bottom"/>
            <w:hideMark/>
          </w:tcPr>
          <w:p w:rsidR="00C17676" w:rsidRPr="00C17676" w:rsidRDefault="00C17676" w:rsidP="00D227F9">
            <w:pPr>
              <w:bidi w:val="0"/>
              <w:spacing w:after="0" w:line="200" w:lineRule="exact"/>
              <w:rPr>
                <w:rFonts w:ascii="Calibri" w:eastAsia="Times New Roman" w:hAnsi="Calibri" w:cs="Calibri"/>
                <w:color w:val="006100"/>
              </w:rPr>
            </w:pPr>
            <w:r w:rsidRPr="00C17676">
              <w:rPr>
                <w:rFonts w:ascii="Calibri" w:eastAsia="Times New Roman" w:hAnsi="Calibri" w:cs="Calibri"/>
                <w:color w:val="006100"/>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Mathematics</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47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0.12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-10.51</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10.75</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Other</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75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11.73</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4.89</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18.56</w:t>
            </w:r>
          </w:p>
        </w:tc>
        <w:tc>
          <w:tcPr>
            <w:tcW w:w="3931" w:type="dxa"/>
            <w:tcBorders>
              <w:top w:val="nil"/>
              <w:left w:val="nil"/>
              <w:bottom w:val="single" w:sz="4" w:space="0" w:color="auto"/>
              <w:right w:val="single" w:sz="4" w:space="0" w:color="auto"/>
            </w:tcBorders>
            <w:shd w:val="clear" w:color="000000" w:fill="C6EFCE"/>
            <w:noWrap/>
            <w:vAlign w:val="bottom"/>
            <w:hideMark/>
          </w:tcPr>
          <w:p w:rsidR="00C17676" w:rsidRPr="00C17676" w:rsidRDefault="00C17676" w:rsidP="00D227F9">
            <w:pPr>
              <w:bidi w:val="0"/>
              <w:spacing w:after="0" w:line="200" w:lineRule="exact"/>
              <w:rPr>
                <w:rFonts w:ascii="Calibri" w:eastAsia="Times New Roman" w:hAnsi="Calibri" w:cs="Calibri"/>
                <w:color w:val="006100"/>
              </w:rPr>
            </w:pPr>
            <w:r w:rsidRPr="00C17676">
              <w:rPr>
                <w:rFonts w:ascii="Calibri" w:eastAsia="Times New Roman" w:hAnsi="Calibri" w:cs="Calibri"/>
                <w:color w:val="006100"/>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Failed before, Yes</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215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9.66</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5.35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13.97</w:t>
            </w:r>
          </w:p>
        </w:tc>
        <w:tc>
          <w:tcPr>
            <w:tcW w:w="3931" w:type="dxa"/>
            <w:tcBorders>
              <w:top w:val="nil"/>
              <w:left w:val="nil"/>
              <w:bottom w:val="single" w:sz="4" w:space="0" w:color="auto"/>
              <w:right w:val="single" w:sz="4" w:space="0" w:color="auto"/>
            </w:tcBorders>
            <w:shd w:val="clear" w:color="000000" w:fill="C6EFCE"/>
            <w:noWrap/>
            <w:vAlign w:val="bottom"/>
            <w:hideMark/>
          </w:tcPr>
          <w:p w:rsidR="00C17676" w:rsidRPr="00C17676" w:rsidRDefault="00C17676" w:rsidP="00D227F9">
            <w:pPr>
              <w:bidi w:val="0"/>
              <w:spacing w:after="0" w:line="200" w:lineRule="exact"/>
              <w:rPr>
                <w:rFonts w:ascii="Calibri" w:eastAsia="Times New Roman" w:hAnsi="Calibri" w:cs="Calibri"/>
                <w:color w:val="006100"/>
              </w:rPr>
            </w:pPr>
            <w:r w:rsidRPr="00C17676">
              <w:rPr>
                <w:rFonts w:ascii="Calibri" w:eastAsia="Times New Roman" w:hAnsi="Calibri" w:cs="Calibri"/>
                <w:color w:val="006100"/>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High school score 60 to69.99</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132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15.56</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11.47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19.65</w:t>
            </w:r>
          </w:p>
        </w:tc>
        <w:tc>
          <w:tcPr>
            <w:tcW w:w="3931" w:type="dxa"/>
            <w:tcBorders>
              <w:top w:val="nil"/>
              <w:left w:val="nil"/>
              <w:bottom w:val="single" w:sz="4" w:space="0" w:color="auto"/>
              <w:right w:val="single" w:sz="4" w:space="0" w:color="auto"/>
            </w:tcBorders>
            <w:shd w:val="clear" w:color="000000" w:fill="C6EFCE"/>
            <w:noWrap/>
            <w:vAlign w:val="bottom"/>
            <w:hideMark/>
          </w:tcPr>
          <w:p w:rsidR="00C17676" w:rsidRPr="00C17676" w:rsidRDefault="00C17676" w:rsidP="00D227F9">
            <w:pPr>
              <w:bidi w:val="0"/>
              <w:spacing w:after="0" w:line="200" w:lineRule="exact"/>
              <w:rPr>
                <w:rFonts w:ascii="Calibri" w:eastAsia="Times New Roman" w:hAnsi="Calibri" w:cs="Calibri"/>
                <w:color w:val="006100"/>
              </w:rPr>
            </w:pPr>
            <w:r w:rsidRPr="00C17676">
              <w:rPr>
                <w:rFonts w:ascii="Calibri" w:eastAsia="Times New Roman" w:hAnsi="Calibri" w:cs="Calibri"/>
                <w:color w:val="006100"/>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High school score 70 to79.99</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335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8.78</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5.67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11.89</w:t>
            </w:r>
          </w:p>
        </w:tc>
        <w:tc>
          <w:tcPr>
            <w:tcW w:w="3931" w:type="dxa"/>
            <w:tcBorders>
              <w:top w:val="nil"/>
              <w:left w:val="nil"/>
              <w:bottom w:val="single" w:sz="4" w:space="0" w:color="auto"/>
              <w:right w:val="single" w:sz="4" w:space="0" w:color="auto"/>
            </w:tcBorders>
            <w:shd w:val="clear" w:color="000000" w:fill="C6EFCE"/>
            <w:noWrap/>
            <w:vAlign w:val="bottom"/>
            <w:hideMark/>
          </w:tcPr>
          <w:p w:rsidR="00C17676" w:rsidRPr="00C17676" w:rsidRDefault="00C17676" w:rsidP="00D227F9">
            <w:pPr>
              <w:bidi w:val="0"/>
              <w:spacing w:after="0" w:line="200" w:lineRule="exact"/>
              <w:rPr>
                <w:rFonts w:ascii="Calibri" w:eastAsia="Times New Roman" w:hAnsi="Calibri" w:cs="Calibri"/>
                <w:color w:val="006100"/>
              </w:rPr>
            </w:pPr>
            <w:r w:rsidRPr="00C17676">
              <w:rPr>
                <w:rFonts w:ascii="Calibri" w:eastAsia="Times New Roman" w:hAnsi="Calibri" w:cs="Calibri"/>
                <w:color w:val="006100"/>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High school score 80 to 89.99</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786</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4.83</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2.45</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7.20</w:t>
            </w:r>
          </w:p>
        </w:tc>
        <w:tc>
          <w:tcPr>
            <w:tcW w:w="3931" w:type="dxa"/>
            <w:tcBorders>
              <w:top w:val="nil"/>
              <w:left w:val="nil"/>
              <w:bottom w:val="single" w:sz="4" w:space="0" w:color="auto"/>
              <w:right w:val="single" w:sz="4" w:space="0" w:color="auto"/>
            </w:tcBorders>
            <w:shd w:val="clear" w:color="000000" w:fill="FFC7CE"/>
            <w:noWrap/>
            <w:vAlign w:val="bottom"/>
            <w:hideMark/>
          </w:tcPr>
          <w:p w:rsidR="00C17676" w:rsidRPr="00C17676" w:rsidRDefault="00C17676" w:rsidP="00D227F9">
            <w:pPr>
              <w:bidi w:val="0"/>
              <w:spacing w:after="0" w:line="200" w:lineRule="exact"/>
              <w:rPr>
                <w:rFonts w:ascii="Calibri" w:eastAsia="Times New Roman" w:hAnsi="Calibri" w:cs="Calibri"/>
                <w:color w:val="9C0006"/>
              </w:rPr>
            </w:pPr>
            <w:r w:rsidRPr="00C17676">
              <w:rPr>
                <w:rFonts w:ascii="Calibri" w:eastAsia="Times New Roman" w:hAnsi="Calibri" w:cs="Calibri"/>
                <w:color w:val="9C0006"/>
              </w:rPr>
              <w:t> </w:t>
            </w:r>
          </w:p>
        </w:tc>
      </w:tr>
      <w:tr w:rsidR="00C17676" w:rsidRPr="00C17676" w:rsidTr="00C17676">
        <w:trPr>
          <w:trHeight w:val="234"/>
        </w:trPr>
        <w:tc>
          <w:tcPr>
            <w:tcW w:w="5296" w:type="dxa"/>
            <w:tcBorders>
              <w:top w:val="nil"/>
              <w:left w:val="single" w:sz="4" w:space="0" w:color="auto"/>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rPr>
                <w:rFonts w:ascii="Calibri" w:eastAsia="Times New Roman" w:hAnsi="Calibri" w:cs="Calibri"/>
                <w:color w:val="000000"/>
              </w:rPr>
            </w:pPr>
            <w:r w:rsidRPr="00C17676">
              <w:rPr>
                <w:rFonts w:ascii="Calibri" w:eastAsia="Times New Roman" w:hAnsi="Calibri" w:cs="Calibri"/>
                <w:color w:val="000000"/>
              </w:rPr>
              <w:t>High school score 90 to 99.99</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937</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-3.52</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-5.50</w:t>
            </w:r>
          </w:p>
        </w:tc>
        <w:tc>
          <w:tcPr>
            <w:tcW w:w="1559" w:type="dxa"/>
            <w:tcBorders>
              <w:top w:val="nil"/>
              <w:left w:val="nil"/>
              <w:bottom w:val="single" w:sz="4" w:space="0" w:color="auto"/>
              <w:right w:val="single" w:sz="4" w:space="0" w:color="auto"/>
            </w:tcBorders>
            <w:shd w:val="clear" w:color="auto" w:fill="auto"/>
            <w:noWrap/>
            <w:vAlign w:val="bottom"/>
            <w:hideMark/>
          </w:tcPr>
          <w:p w:rsidR="00C17676" w:rsidRPr="00C17676" w:rsidRDefault="00C17676" w:rsidP="00D227F9">
            <w:pPr>
              <w:bidi w:val="0"/>
              <w:spacing w:after="0" w:line="200" w:lineRule="exact"/>
              <w:jc w:val="right"/>
              <w:rPr>
                <w:rFonts w:ascii="Calibri" w:eastAsia="Times New Roman" w:hAnsi="Calibri" w:cs="Calibri"/>
                <w:color w:val="000000"/>
              </w:rPr>
            </w:pPr>
            <w:r w:rsidRPr="00C17676">
              <w:rPr>
                <w:rFonts w:ascii="Calibri" w:eastAsia="Times New Roman" w:hAnsi="Calibri" w:cs="Calibri"/>
                <w:color w:val="000000"/>
              </w:rPr>
              <w:t>-1.54</w:t>
            </w:r>
          </w:p>
        </w:tc>
        <w:tc>
          <w:tcPr>
            <w:tcW w:w="3931" w:type="dxa"/>
            <w:tcBorders>
              <w:top w:val="nil"/>
              <w:left w:val="nil"/>
              <w:bottom w:val="single" w:sz="4" w:space="0" w:color="auto"/>
              <w:right w:val="single" w:sz="4" w:space="0" w:color="auto"/>
            </w:tcBorders>
            <w:shd w:val="clear" w:color="000000" w:fill="C6EFCE"/>
            <w:noWrap/>
            <w:vAlign w:val="bottom"/>
            <w:hideMark/>
          </w:tcPr>
          <w:p w:rsidR="00C17676" w:rsidRPr="00C17676" w:rsidRDefault="00C17676" w:rsidP="00D227F9">
            <w:pPr>
              <w:bidi w:val="0"/>
              <w:spacing w:after="0" w:line="200" w:lineRule="exact"/>
              <w:rPr>
                <w:rFonts w:ascii="Calibri" w:eastAsia="Times New Roman" w:hAnsi="Calibri" w:cs="Calibri"/>
                <w:color w:val="006100"/>
              </w:rPr>
            </w:pPr>
            <w:r w:rsidRPr="00C17676">
              <w:rPr>
                <w:rFonts w:ascii="Calibri" w:eastAsia="Times New Roman" w:hAnsi="Calibri" w:cs="Calibri"/>
                <w:color w:val="006100"/>
              </w:rPr>
              <w:t> </w:t>
            </w:r>
          </w:p>
        </w:tc>
      </w:tr>
    </w:tbl>
    <w:p w:rsidR="0012067B" w:rsidRDefault="0012067B" w:rsidP="00D40D15">
      <w:pPr>
        <w:rPr>
          <w:rFonts w:asciiTheme="majorBidi" w:hAnsiTheme="majorBidi" w:cstheme="majorBidi"/>
          <w:sz w:val="24"/>
          <w:szCs w:val="24"/>
        </w:rPr>
      </w:pPr>
    </w:p>
    <w:p w:rsidR="00B9673C" w:rsidRDefault="00B9673C" w:rsidP="00D40D15">
      <w:pPr>
        <w:rPr>
          <w:rFonts w:asciiTheme="majorBidi" w:hAnsiTheme="majorBidi" w:cstheme="majorBidi"/>
          <w:sz w:val="24"/>
          <w:szCs w:val="24"/>
        </w:rPr>
      </w:pPr>
    </w:p>
    <w:p w:rsidR="00B9673C" w:rsidRDefault="00B9673C" w:rsidP="00D40D15">
      <w:pPr>
        <w:rPr>
          <w:rFonts w:asciiTheme="majorBidi" w:hAnsiTheme="majorBidi" w:cstheme="majorBidi"/>
          <w:sz w:val="24"/>
          <w:szCs w:val="24"/>
        </w:rPr>
      </w:pPr>
    </w:p>
    <w:p w:rsidR="00B9673C" w:rsidRPr="0095684F" w:rsidRDefault="00B9673C" w:rsidP="00B9673C">
      <w:pPr>
        <w:bidi w:val="0"/>
        <w:rPr>
          <w:rFonts w:asciiTheme="majorBidi" w:hAnsiTheme="majorBidi" w:cstheme="majorBidi"/>
          <w:b/>
          <w:bCs/>
          <w:sz w:val="24"/>
          <w:szCs w:val="24"/>
        </w:rPr>
      </w:pPr>
      <w:r w:rsidRPr="0095684F">
        <w:rPr>
          <w:rFonts w:asciiTheme="majorBidi" w:hAnsiTheme="majorBidi" w:cstheme="majorBidi"/>
          <w:b/>
          <w:bCs/>
          <w:sz w:val="24"/>
          <w:szCs w:val="24"/>
        </w:rPr>
        <w:lastRenderedPageBreak/>
        <w:t>Section 3. Accounting for the Nested Structure: Teacher-Level Clustering</w:t>
      </w:r>
    </w:p>
    <w:p w:rsidR="00EB44C5" w:rsidRDefault="00EB44C5" w:rsidP="0095684F">
      <w:pPr>
        <w:bidi w:val="0"/>
        <w:rPr>
          <w:rFonts w:asciiTheme="majorBidi" w:hAnsiTheme="majorBidi" w:cstheme="majorBidi"/>
          <w:sz w:val="24"/>
          <w:szCs w:val="24"/>
          <w:lang w:bidi="ar-JO"/>
        </w:rPr>
      </w:pPr>
      <w:r w:rsidRPr="00EB44C5">
        <w:rPr>
          <w:rFonts w:asciiTheme="majorBidi" w:hAnsiTheme="majorBidi" w:cstheme="majorBidi"/>
          <w:sz w:val="24"/>
          <w:szCs w:val="24"/>
          <w:lang w:bidi="ar-JO"/>
        </w:rPr>
        <w:t xml:space="preserve">To </w:t>
      </w:r>
      <w:r>
        <w:rPr>
          <w:rFonts w:asciiTheme="majorBidi" w:hAnsiTheme="majorBidi" w:cstheme="majorBidi"/>
          <w:sz w:val="24"/>
          <w:szCs w:val="24"/>
          <w:lang w:bidi="ar-JO"/>
        </w:rPr>
        <w:t>explore</w:t>
      </w:r>
      <w:r w:rsidRPr="00EB44C5">
        <w:rPr>
          <w:rFonts w:asciiTheme="majorBidi" w:hAnsiTheme="majorBidi" w:cstheme="majorBidi"/>
          <w:sz w:val="24"/>
          <w:szCs w:val="24"/>
          <w:lang w:bidi="ar-JO"/>
        </w:rPr>
        <w:t xml:space="preserve"> the</w:t>
      </w:r>
      <w:r>
        <w:rPr>
          <w:rFonts w:asciiTheme="majorBidi" w:hAnsiTheme="majorBidi" w:cstheme="majorBidi"/>
          <w:sz w:val="24"/>
          <w:szCs w:val="24"/>
          <w:lang w:bidi="ar-JO"/>
        </w:rPr>
        <w:t xml:space="preserve"> potential</w:t>
      </w:r>
      <w:r w:rsidRPr="00EB44C5">
        <w:rPr>
          <w:rFonts w:asciiTheme="majorBidi" w:hAnsiTheme="majorBidi" w:cstheme="majorBidi"/>
          <w:sz w:val="24"/>
          <w:szCs w:val="24"/>
          <w:lang w:bidi="ar-JO"/>
        </w:rPr>
        <w:t xml:space="preserve"> hierarchical nature of the data, particularly the influence of within-teacher dependence, </w:t>
      </w:r>
      <w:r>
        <w:rPr>
          <w:rFonts w:asciiTheme="majorBidi" w:hAnsiTheme="majorBidi" w:cstheme="majorBidi"/>
          <w:sz w:val="24"/>
          <w:szCs w:val="24"/>
          <w:lang w:bidi="ar-JO"/>
        </w:rPr>
        <w:t>we</w:t>
      </w:r>
      <w:r w:rsidRPr="00EB44C5">
        <w:rPr>
          <w:rFonts w:asciiTheme="majorBidi" w:hAnsiTheme="majorBidi" w:cstheme="majorBidi"/>
          <w:sz w:val="24"/>
          <w:szCs w:val="24"/>
          <w:lang w:bidi="ar-JO"/>
        </w:rPr>
        <w:t xml:space="preserve"> re-estimated </w:t>
      </w:r>
      <w:r>
        <w:rPr>
          <w:rFonts w:asciiTheme="majorBidi" w:hAnsiTheme="majorBidi" w:cstheme="majorBidi"/>
          <w:sz w:val="24"/>
          <w:szCs w:val="24"/>
          <w:lang w:bidi="ar-JO"/>
        </w:rPr>
        <w:t xml:space="preserve">the causal forest model </w:t>
      </w:r>
      <w:r w:rsidRPr="00EB44C5">
        <w:rPr>
          <w:rFonts w:asciiTheme="majorBidi" w:hAnsiTheme="majorBidi" w:cstheme="majorBidi"/>
          <w:sz w:val="24"/>
          <w:szCs w:val="24"/>
          <w:lang w:bidi="ar-JO"/>
        </w:rPr>
        <w:t xml:space="preserve">with the </w:t>
      </w:r>
      <w:r>
        <w:rPr>
          <w:rFonts w:asciiTheme="majorBidi" w:hAnsiTheme="majorBidi" w:cstheme="majorBidi"/>
          <w:sz w:val="24"/>
          <w:szCs w:val="24"/>
          <w:lang w:bidi="ar-JO"/>
        </w:rPr>
        <w:t>teacher</w:t>
      </w:r>
      <w:r w:rsidRPr="00EB44C5">
        <w:rPr>
          <w:rFonts w:asciiTheme="majorBidi" w:hAnsiTheme="majorBidi" w:cstheme="majorBidi"/>
          <w:sz w:val="24"/>
          <w:szCs w:val="24"/>
          <w:lang w:bidi="ar-JO"/>
        </w:rPr>
        <w:t xml:space="preserve"> identifier specified as</w:t>
      </w:r>
      <w:r>
        <w:rPr>
          <w:rFonts w:asciiTheme="majorBidi" w:hAnsiTheme="majorBidi" w:cstheme="majorBidi"/>
          <w:sz w:val="24"/>
          <w:szCs w:val="24"/>
          <w:lang w:bidi="ar-JO"/>
        </w:rPr>
        <w:t xml:space="preserve"> the clustering variable. </w:t>
      </w:r>
      <w:r w:rsidR="0095684F" w:rsidRPr="0095684F">
        <w:rPr>
          <w:rFonts w:asciiTheme="majorBidi" w:hAnsiTheme="majorBidi" w:cstheme="majorBidi"/>
          <w:sz w:val="24"/>
          <w:szCs w:val="24"/>
          <w:lang w:bidi="ar-JO"/>
        </w:rPr>
        <w:t>This specification allows uncertainty to be computed at the teacher level and adjusts for potential intra-cluster correlation among students taught by the same instructor. The analysis examines the extent to which introducing teacher-level clustering influences the estimated average treatment effect (ATE), the distribution of individualized treatment effects (CATEs), and the pattern of subgroup effects (GATEs). The following tables and figures present these results and compare them with those from the original, unclustered specific</w:t>
      </w:r>
      <w:r w:rsidR="0095684F">
        <w:rPr>
          <w:rFonts w:asciiTheme="majorBidi" w:hAnsiTheme="majorBidi" w:cstheme="majorBidi"/>
          <w:sz w:val="24"/>
          <w:szCs w:val="24"/>
          <w:lang w:bidi="ar-JO"/>
        </w:rPr>
        <w:t>ation as a sensitivity analysis</w:t>
      </w:r>
      <w:r w:rsidRPr="00EB44C5">
        <w:rPr>
          <w:rFonts w:asciiTheme="majorBidi" w:hAnsiTheme="majorBidi" w:cstheme="majorBidi"/>
          <w:sz w:val="24"/>
          <w:szCs w:val="24"/>
          <w:lang w:bidi="ar-JO"/>
        </w:rPr>
        <w:t>.</w:t>
      </w:r>
    </w:p>
    <w:p w:rsidR="0095684F" w:rsidRDefault="00207AB1" w:rsidP="00207AB1">
      <w:pPr>
        <w:bidi w:val="0"/>
        <w:rPr>
          <w:rFonts w:asciiTheme="majorBidi" w:hAnsiTheme="majorBidi" w:cstheme="majorBidi"/>
          <w:sz w:val="24"/>
          <w:szCs w:val="24"/>
          <w:lang w:bidi="ar-JO"/>
        </w:rPr>
      </w:pPr>
      <w:r>
        <w:rPr>
          <w:rFonts w:asciiTheme="majorBidi" w:hAnsiTheme="majorBidi" w:cstheme="majorBidi"/>
          <w:sz w:val="24"/>
          <w:szCs w:val="24"/>
          <w:lang w:bidi="ar-JO"/>
        </w:rPr>
        <w:t xml:space="preserve">Table A3 shows that the </w:t>
      </w:r>
      <w:r w:rsidRPr="00207AB1">
        <w:rPr>
          <w:rFonts w:asciiTheme="majorBidi" w:hAnsiTheme="majorBidi" w:cstheme="majorBidi"/>
          <w:sz w:val="24"/>
          <w:szCs w:val="24"/>
          <w:lang w:bidi="ar-JO"/>
        </w:rPr>
        <w:t xml:space="preserve">average treatment effect remained almost identical </w:t>
      </w:r>
      <w:r>
        <w:rPr>
          <w:rFonts w:asciiTheme="majorBidi" w:hAnsiTheme="majorBidi" w:cstheme="majorBidi"/>
          <w:sz w:val="24"/>
          <w:szCs w:val="24"/>
          <w:lang w:bidi="ar-JO"/>
        </w:rPr>
        <w:t>[</w:t>
      </w:r>
      <w:r w:rsidRPr="00207AB1">
        <w:rPr>
          <w:rFonts w:asciiTheme="majorBidi" w:hAnsiTheme="majorBidi" w:cstheme="majorBidi"/>
          <w:sz w:val="24"/>
          <w:szCs w:val="24"/>
          <w:lang w:bidi="ar-JO"/>
        </w:rPr>
        <w:t xml:space="preserve">2.58 </w:t>
      </w:r>
      <w:r>
        <w:rPr>
          <w:rFonts w:asciiTheme="majorBidi" w:hAnsiTheme="majorBidi" w:cstheme="majorBidi"/>
          <w:sz w:val="24"/>
          <w:szCs w:val="24"/>
          <w:lang w:bidi="ar-JO"/>
        </w:rPr>
        <w:t>(</w:t>
      </w:r>
      <w:r w:rsidRPr="00207AB1">
        <w:rPr>
          <w:rFonts w:asciiTheme="majorBidi" w:hAnsiTheme="majorBidi" w:cstheme="majorBidi"/>
          <w:sz w:val="24"/>
          <w:szCs w:val="24"/>
          <w:lang w:bidi="ar-JO"/>
        </w:rPr>
        <w:t>0.03, 5.13</w:t>
      </w:r>
      <w:r>
        <w:rPr>
          <w:rFonts w:asciiTheme="majorBidi" w:hAnsiTheme="majorBidi" w:cstheme="majorBidi"/>
          <w:sz w:val="24"/>
          <w:szCs w:val="24"/>
          <w:lang w:bidi="ar-JO"/>
        </w:rPr>
        <w:t>)</w:t>
      </w:r>
      <w:r w:rsidRPr="00207AB1">
        <w:rPr>
          <w:rFonts w:asciiTheme="majorBidi" w:hAnsiTheme="majorBidi" w:cstheme="majorBidi"/>
          <w:sz w:val="24"/>
          <w:szCs w:val="24"/>
          <w:lang w:bidi="ar-JO"/>
        </w:rPr>
        <w:t xml:space="preserve"> vs. 2.56 </w:t>
      </w:r>
      <w:r>
        <w:rPr>
          <w:rFonts w:asciiTheme="majorBidi" w:hAnsiTheme="majorBidi" w:cstheme="majorBidi"/>
          <w:sz w:val="24"/>
          <w:szCs w:val="24"/>
          <w:lang w:bidi="ar-JO"/>
        </w:rPr>
        <w:t>(</w:t>
      </w:r>
      <w:r w:rsidRPr="00207AB1">
        <w:rPr>
          <w:rFonts w:asciiTheme="majorBidi" w:hAnsiTheme="majorBidi" w:cstheme="majorBidi"/>
          <w:sz w:val="24"/>
          <w:szCs w:val="24"/>
          <w:lang w:bidi="ar-JO"/>
        </w:rPr>
        <w:t>1.23, 3.90</w:t>
      </w:r>
      <w:r>
        <w:rPr>
          <w:rFonts w:asciiTheme="majorBidi" w:hAnsiTheme="majorBidi" w:cstheme="majorBidi"/>
          <w:sz w:val="24"/>
          <w:szCs w:val="24"/>
          <w:lang w:bidi="ar-JO"/>
        </w:rPr>
        <w:t>)]</w:t>
      </w:r>
      <w:r w:rsidRPr="00207AB1">
        <w:rPr>
          <w:rFonts w:asciiTheme="majorBidi" w:hAnsiTheme="majorBidi" w:cstheme="majorBidi"/>
          <w:sz w:val="24"/>
          <w:szCs w:val="24"/>
          <w:lang w:bidi="ar-JO"/>
        </w:rPr>
        <w:t xml:space="preserve"> with slightly wider confidence intervals, as expected when clustering reduces the effective sample size.</w:t>
      </w:r>
    </w:p>
    <w:p w:rsidR="00207AB1" w:rsidRPr="00207AB1" w:rsidRDefault="00207AB1" w:rsidP="00207AB1">
      <w:pPr>
        <w:bidi w:val="0"/>
        <w:rPr>
          <w:rFonts w:asciiTheme="majorBidi" w:hAnsiTheme="majorBidi" w:cstheme="majorBidi"/>
          <w:b/>
          <w:bCs/>
          <w:sz w:val="24"/>
          <w:szCs w:val="24"/>
          <w:rtl/>
          <w:lang w:bidi="ar-JO"/>
        </w:rPr>
      </w:pPr>
      <w:r w:rsidRPr="00207AB1">
        <w:rPr>
          <w:rFonts w:asciiTheme="majorBidi" w:hAnsiTheme="majorBidi" w:cstheme="majorBidi"/>
          <w:b/>
          <w:bCs/>
          <w:sz w:val="24"/>
          <w:szCs w:val="24"/>
          <w:lang w:bidi="ar-JO"/>
        </w:rPr>
        <w:t>Table A3.</w:t>
      </w:r>
      <w:r w:rsidRPr="00207AB1">
        <w:rPr>
          <w:b/>
          <w:bCs/>
        </w:rPr>
        <w:t xml:space="preserve"> </w:t>
      </w:r>
      <w:r w:rsidRPr="00207AB1">
        <w:rPr>
          <w:rFonts w:asciiTheme="majorBidi" w:hAnsiTheme="majorBidi" w:cstheme="majorBidi"/>
          <w:b/>
          <w:bCs/>
          <w:sz w:val="24"/>
          <w:szCs w:val="24"/>
          <w:lang w:bidi="ar-JO"/>
        </w:rPr>
        <w:t>Comparison of Average Treatment Effects (ATE) With and Without Teacher-Level Clustering</w:t>
      </w:r>
    </w:p>
    <w:tbl>
      <w:tblPr>
        <w:tblStyle w:val="TableGrid"/>
        <w:tblW w:w="0" w:type="auto"/>
        <w:tblLook w:val="04A0" w:firstRow="1" w:lastRow="0" w:firstColumn="1" w:lastColumn="0" w:noHBand="0" w:noVBand="1"/>
      </w:tblPr>
      <w:tblGrid>
        <w:gridCol w:w="5129"/>
        <w:gridCol w:w="5129"/>
        <w:gridCol w:w="5130"/>
      </w:tblGrid>
      <w:tr w:rsidR="00207AB1" w:rsidTr="00207AB1">
        <w:tc>
          <w:tcPr>
            <w:tcW w:w="5129" w:type="dxa"/>
          </w:tcPr>
          <w:p w:rsidR="00207AB1" w:rsidRPr="00207AB1" w:rsidRDefault="00207AB1" w:rsidP="00207AB1">
            <w:pPr>
              <w:bidi w:val="0"/>
              <w:jc w:val="center"/>
              <w:rPr>
                <w:rFonts w:asciiTheme="majorBidi" w:hAnsiTheme="majorBidi" w:cstheme="majorBidi"/>
                <w:b/>
                <w:bCs/>
                <w:sz w:val="24"/>
                <w:szCs w:val="24"/>
                <w:lang w:bidi="ar-JO"/>
              </w:rPr>
            </w:pPr>
            <w:r w:rsidRPr="00207AB1">
              <w:rPr>
                <w:rFonts w:asciiTheme="majorBidi" w:hAnsiTheme="majorBidi" w:cstheme="majorBidi"/>
                <w:b/>
                <w:bCs/>
                <w:sz w:val="24"/>
                <w:szCs w:val="24"/>
                <w:lang w:bidi="ar-JO"/>
              </w:rPr>
              <w:t>Model Specification</w:t>
            </w:r>
          </w:p>
        </w:tc>
        <w:tc>
          <w:tcPr>
            <w:tcW w:w="5129" w:type="dxa"/>
          </w:tcPr>
          <w:p w:rsidR="00207AB1" w:rsidRPr="00207AB1" w:rsidRDefault="00207AB1" w:rsidP="00207AB1">
            <w:pPr>
              <w:bidi w:val="0"/>
              <w:jc w:val="center"/>
              <w:rPr>
                <w:rFonts w:asciiTheme="majorBidi" w:hAnsiTheme="majorBidi" w:cstheme="majorBidi"/>
                <w:b/>
                <w:bCs/>
                <w:sz w:val="24"/>
                <w:szCs w:val="24"/>
                <w:lang w:bidi="ar-JO"/>
              </w:rPr>
            </w:pPr>
            <w:r w:rsidRPr="00207AB1">
              <w:rPr>
                <w:rFonts w:asciiTheme="majorBidi" w:hAnsiTheme="majorBidi" w:cstheme="majorBidi"/>
                <w:b/>
                <w:bCs/>
                <w:sz w:val="24"/>
                <w:szCs w:val="24"/>
                <w:lang w:bidi="ar-JO"/>
              </w:rPr>
              <w:t>Average Treatment Effect (ATE)</w:t>
            </w:r>
          </w:p>
        </w:tc>
        <w:tc>
          <w:tcPr>
            <w:tcW w:w="5130" w:type="dxa"/>
          </w:tcPr>
          <w:p w:rsidR="00207AB1" w:rsidRPr="00207AB1" w:rsidRDefault="00207AB1" w:rsidP="00207AB1">
            <w:pPr>
              <w:bidi w:val="0"/>
              <w:jc w:val="center"/>
              <w:rPr>
                <w:rFonts w:asciiTheme="majorBidi" w:hAnsiTheme="majorBidi" w:cstheme="majorBidi"/>
                <w:b/>
                <w:bCs/>
                <w:sz w:val="24"/>
                <w:szCs w:val="24"/>
                <w:lang w:bidi="ar-JO"/>
              </w:rPr>
            </w:pPr>
            <w:r w:rsidRPr="00207AB1">
              <w:rPr>
                <w:rFonts w:asciiTheme="majorBidi" w:hAnsiTheme="majorBidi" w:cstheme="majorBidi"/>
                <w:b/>
                <w:bCs/>
                <w:sz w:val="24"/>
                <w:szCs w:val="24"/>
                <w:lang w:bidi="ar-JO"/>
              </w:rPr>
              <w:t>95% Confidence Interval</w:t>
            </w:r>
          </w:p>
        </w:tc>
      </w:tr>
      <w:tr w:rsidR="00207AB1" w:rsidTr="00207AB1">
        <w:tc>
          <w:tcPr>
            <w:tcW w:w="5129" w:type="dxa"/>
          </w:tcPr>
          <w:p w:rsidR="00207AB1" w:rsidRDefault="00207AB1" w:rsidP="00207AB1">
            <w:pPr>
              <w:bidi w:val="0"/>
              <w:jc w:val="center"/>
              <w:rPr>
                <w:rFonts w:asciiTheme="majorBidi" w:hAnsiTheme="majorBidi" w:cstheme="majorBidi"/>
                <w:sz w:val="24"/>
                <w:szCs w:val="24"/>
                <w:lang w:bidi="ar-JO"/>
              </w:rPr>
            </w:pPr>
            <w:r w:rsidRPr="00207AB1">
              <w:rPr>
                <w:rFonts w:asciiTheme="majorBidi" w:hAnsiTheme="majorBidi" w:cstheme="majorBidi"/>
                <w:sz w:val="24"/>
                <w:szCs w:val="24"/>
                <w:lang w:bidi="ar-JO"/>
              </w:rPr>
              <w:t>Without clustering</w:t>
            </w:r>
          </w:p>
        </w:tc>
        <w:tc>
          <w:tcPr>
            <w:tcW w:w="5129" w:type="dxa"/>
          </w:tcPr>
          <w:p w:rsidR="00207AB1" w:rsidRDefault="00207AB1" w:rsidP="00207AB1">
            <w:pPr>
              <w:bidi w:val="0"/>
              <w:jc w:val="center"/>
              <w:rPr>
                <w:rFonts w:asciiTheme="majorBidi" w:hAnsiTheme="majorBidi" w:cstheme="majorBidi"/>
                <w:sz w:val="24"/>
                <w:szCs w:val="24"/>
                <w:lang w:bidi="ar-JO"/>
              </w:rPr>
            </w:pPr>
            <w:r>
              <w:rPr>
                <w:rFonts w:asciiTheme="majorBidi" w:hAnsiTheme="majorBidi" w:cstheme="majorBidi"/>
                <w:sz w:val="24"/>
                <w:szCs w:val="24"/>
                <w:lang w:bidi="ar-JO"/>
              </w:rPr>
              <w:t>2.56</w:t>
            </w:r>
          </w:p>
        </w:tc>
        <w:tc>
          <w:tcPr>
            <w:tcW w:w="5130" w:type="dxa"/>
          </w:tcPr>
          <w:p w:rsidR="00207AB1" w:rsidRDefault="00207AB1" w:rsidP="00207AB1">
            <w:pPr>
              <w:bidi w:val="0"/>
              <w:jc w:val="center"/>
              <w:rPr>
                <w:rFonts w:asciiTheme="majorBidi" w:hAnsiTheme="majorBidi" w:cstheme="majorBidi"/>
                <w:sz w:val="24"/>
                <w:szCs w:val="24"/>
                <w:lang w:bidi="ar-JO"/>
              </w:rPr>
            </w:pPr>
            <w:r>
              <w:rPr>
                <w:rFonts w:asciiTheme="majorBidi" w:hAnsiTheme="majorBidi" w:cstheme="majorBidi"/>
              </w:rPr>
              <w:t>(1.23 ; 3.90)</w:t>
            </w:r>
          </w:p>
        </w:tc>
      </w:tr>
      <w:tr w:rsidR="00207AB1" w:rsidTr="00207AB1">
        <w:tc>
          <w:tcPr>
            <w:tcW w:w="5129" w:type="dxa"/>
          </w:tcPr>
          <w:p w:rsidR="00207AB1" w:rsidRDefault="00207AB1" w:rsidP="00207AB1">
            <w:pPr>
              <w:bidi w:val="0"/>
              <w:jc w:val="center"/>
              <w:rPr>
                <w:rFonts w:asciiTheme="majorBidi" w:hAnsiTheme="majorBidi" w:cstheme="majorBidi"/>
                <w:sz w:val="24"/>
                <w:szCs w:val="24"/>
                <w:lang w:bidi="ar-JO"/>
              </w:rPr>
            </w:pPr>
            <w:r w:rsidRPr="00207AB1">
              <w:rPr>
                <w:rFonts w:asciiTheme="majorBidi" w:hAnsiTheme="majorBidi" w:cstheme="majorBidi"/>
                <w:sz w:val="24"/>
                <w:szCs w:val="24"/>
                <w:lang w:bidi="ar-JO"/>
              </w:rPr>
              <w:t>With teacher clustering</w:t>
            </w:r>
          </w:p>
        </w:tc>
        <w:tc>
          <w:tcPr>
            <w:tcW w:w="5129" w:type="dxa"/>
          </w:tcPr>
          <w:p w:rsidR="00207AB1" w:rsidRDefault="00207AB1" w:rsidP="00207AB1">
            <w:pPr>
              <w:bidi w:val="0"/>
              <w:jc w:val="center"/>
              <w:rPr>
                <w:rFonts w:asciiTheme="majorBidi" w:hAnsiTheme="majorBidi" w:cstheme="majorBidi"/>
                <w:sz w:val="24"/>
                <w:szCs w:val="24"/>
                <w:lang w:bidi="ar-JO"/>
              </w:rPr>
            </w:pPr>
            <w:r>
              <w:rPr>
                <w:rFonts w:asciiTheme="majorBidi" w:hAnsiTheme="majorBidi" w:cstheme="majorBidi"/>
                <w:sz w:val="24"/>
                <w:szCs w:val="24"/>
                <w:lang w:bidi="ar-JO"/>
              </w:rPr>
              <w:t>2.58</w:t>
            </w:r>
          </w:p>
        </w:tc>
        <w:tc>
          <w:tcPr>
            <w:tcW w:w="5130" w:type="dxa"/>
          </w:tcPr>
          <w:p w:rsidR="00207AB1" w:rsidRDefault="00207AB1" w:rsidP="00207AB1">
            <w:pPr>
              <w:bidi w:val="0"/>
              <w:jc w:val="center"/>
              <w:rPr>
                <w:rFonts w:asciiTheme="majorBidi" w:hAnsiTheme="majorBidi" w:cstheme="majorBidi"/>
                <w:sz w:val="24"/>
                <w:szCs w:val="24"/>
                <w:lang w:bidi="ar-JO"/>
              </w:rPr>
            </w:pPr>
            <w:r>
              <w:rPr>
                <w:rFonts w:asciiTheme="majorBidi" w:hAnsiTheme="majorBidi" w:cstheme="majorBidi"/>
              </w:rPr>
              <w:t>(0.033 ; 5.134)</w:t>
            </w:r>
          </w:p>
        </w:tc>
      </w:tr>
    </w:tbl>
    <w:p w:rsidR="00207AB1" w:rsidRDefault="00302190" w:rsidP="00A7248C">
      <w:pPr>
        <w:bidi w:val="0"/>
        <w:rPr>
          <w:rFonts w:asciiTheme="majorBidi" w:hAnsiTheme="majorBidi" w:cstheme="majorBidi"/>
          <w:sz w:val="24"/>
          <w:szCs w:val="24"/>
          <w:lang w:bidi="ar-JO"/>
        </w:rPr>
      </w:pPr>
      <w:r>
        <w:rPr>
          <w:rFonts w:asciiTheme="majorBidi" w:hAnsiTheme="majorBidi" w:cstheme="majorBidi"/>
          <w:sz w:val="24"/>
          <w:szCs w:val="24"/>
          <w:lang w:bidi="ar-JO"/>
        </w:rPr>
        <w:br/>
      </w:r>
      <w:r w:rsidR="00A7248C" w:rsidRPr="00A7248C">
        <w:rPr>
          <w:rFonts w:asciiTheme="majorBidi" w:hAnsiTheme="majorBidi" w:cstheme="majorBidi"/>
          <w:sz w:val="24"/>
          <w:szCs w:val="24"/>
          <w:lang w:bidi="ar-JO"/>
        </w:rPr>
        <w:t>On the individual student level, the distribution of estimated effects narrowed slightly</w:t>
      </w:r>
      <w:r w:rsidR="00D01B73" w:rsidRPr="00D01B73">
        <w:rPr>
          <w:rFonts w:asciiTheme="majorBidi" w:hAnsiTheme="majorBidi" w:cstheme="majorBidi"/>
          <w:sz w:val="24"/>
          <w:szCs w:val="24"/>
          <w:lang w:bidi="ar-JO"/>
        </w:rPr>
        <w:t xml:space="preserve"> (Range without clustering</w:t>
      </w:r>
      <w:r w:rsidR="00D01B73">
        <w:rPr>
          <w:rFonts w:asciiTheme="majorBidi" w:hAnsiTheme="majorBidi" w:cstheme="majorBidi"/>
          <w:sz w:val="24"/>
          <w:szCs w:val="24"/>
          <w:lang w:bidi="ar-JO"/>
        </w:rPr>
        <w:t xml:space="preserve">: </w:t>
      </w:r>
      <w:r w:rsidR="00D01B73" w:rsidRPr="00D01B73">
        <w:rPr>
          <w:rFonts w:asciiTheme="majorBidi" w:hAnsiTheme="majorBidi" w:cstheme="majorBidi"/>
          <w:sz w:val="24"/>
          <w:szCs w:val="24"/>
          <w:lang w:bidi="ar-JO"/>
        </w:rPr>
        <w:t>–6.7–13.0</w:t>
      </w:r>
      <w:r w:rsidR="00D01B73">
        <w:rPr>
          <w:rFonts w:asciiTheme="majorBidi" w:hAnsiTheme="majorBidi" w:cstheme="majorBidi"/>
          <w:sz w:val="24"/>
          <w:szCs w:val="24"/>
          <w:lang w:bidi="ar-JO"/>
        </w:rPr>
        <w:t>;</w:t>
      </w:r>
      <w:r w:rsidR="00D01B73" w:rsidRPr="00D01B73">
        <w:rPr>
          <w:rFonts w:asciiTheme="majorBidi" w:hAnsiTheme="majorBidi" w:cstheme="majorBidi"/>
          <w:sz w:val="24"/>
          <w:szCs w:val="24"/>
          <w:lang w:bidi="ar-JO"/>
        </w:rPr>
        <w:t xml:space="preserve"> Range with clustering: –3.98 to 9.49)</w:t>
      </w:r>
      <w:r w:rsidR="00D01B73">
        <w:rPr>
          <w:rFonts w:asciiTheme="majorBidi" w:hAnsiTheme="majorBidi" w:cstheme="majorBidi"/>
          <w:sz w:val="24"/>
          <w:szCs w:val="24"/>
          <w:lang w:bidi="ar-JO"/>
        </w:rPr>
        <w:t xml:space="preserve">. </w:t>
      </w:r>
      <w:r w:rsidR="00A7248C" w:rsidRPr="00A7248C">
        <w:rPr>
          <w:rFonts w:asciiTheme="majorBidi" w:hAnsiTheme="majorBidi" w:cstheme="majorBidi"/>
          <w:sz w:val="24"/>
          <w:szCs w:val="24"/>
          <w:lang w:bidi="ar-JO"/>
        </w:rPr>
        <w:t>However, the overall heterogeneity pattern remained consistent, as illustrated in Figure A1, which displays the ranked individual treatment effects estimated by the causal forest with and w</w:t>
      </w:r>
      <w:r w:rsidR="00A7248C">
        <w:rPr>
          <w:rFonts w:asciiTheme="majorBidi" w:hAnsiTheme="majorBidi" w:cstheme="majorBidi"/>
          <w:sz w:val="24"/>
          <w:szCs w:val="24"/>
          <w:lang w:bidi="ar-JO"/>
        </w:rPr>
        <w:t>ithout teacher-level clustering</w:t>
      </w:r>
      <w:r>
        <w:rPr>
          <w:rFonts w:asciiTheme="majorBidi" w:hAnsiTheme="majorBidi" w:cstheme="majorBidi"/>
          <w:sz w:val="24"/>
          <w:szCs w:val="24"/>
          <w:lang w:bidi="ar-JO"/>
        </w:rPr>
        <w:t xml:space="preserve">. </w:t>
      </w:r>
    </w:p>
    <w:p w:rsidR="00302190" w:rsidRPr="00302190" w:rsidRDefault="00302190" w:rsidP="00302190">
      <w:pPr>
        <w:bidi w:val="0"/>
        <w:spacing w:line="160" w:lineRule="exact"/>
        <w:rPr>
          <w:rFonts w:asciiTheme="majorBidi" w:hAnsiTheme="majorBidi" w:cstheme="majorBidi"/>
          <w:b/>
          <w:bCs/>
          <w:sz w:val="20"/>
          <w:szCs w:val="20"/>
          <w:lang w:bidi="ar-JO"/>
        </w:rPr>
      </w:pPr>
      <w:r w:rsidRPr="00302190">
        <w:rPr>
          <w:rFonts w:asciiTheme="majorBidi" w:hAnsiTheme="majorBidi" w:cstheme="majorBidi"/>
          <w:b/>
          <w:bCs/>
          <w:sz w:val="20"/>
          <w:szCs w:val="20"/>
          <w:lang w:bidi="ar-JO"/>
        </w:rPr>
        <w:t>Figure A1. Distribution of individualized treatment effects (CATEs) with and without teacher clustering.</w:t>
      </w:r>
    </w:p>
    <w:p w:rsidR="00302190" w:rsidRDefault="00302190" w:rsidP="00302190">
      <w:pPr>
        <w:bidi w:val="0"/>
        <w:rPr>
          <w:rFonts w:asciiTheme="majorBidi" w:hAnsiTheme="majorBidi" w:cstheme="majorBidi"/>
          <w:sz w:val="24"/>
          <w:szCs w:val="24"/>
          <w:lang w:bidi="ar-JO"/>
        </w:rPr>
      </w:pPr>
      <w:r>
        <w:rPr>
          <w:rFonts w:asciiTheme="majorBidi" w:hAnsiTheme="majorBidi" w:cstheme="majorBidi"/>
          <w:noProof/>
          <w:sz w:val="24"/>
          <w:szCs w:val="24"/>
        </w:rPr>
        <w:drawing>
          <wp:inline distT="0" distB="0" distL="0" distR="0" wp14:anchorId="569C4834" wp14:editId="448AD652">
            <wp:extent cx="9460230" cy="28194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TEClus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73679" cy="2823408"/>
                    </a:xfrm>
                    <a:prstGeom prst="rect">
                      <a:avLst/>
                    </a:prstGeom>
                  </pic:spPr>
                </pic:pic>
              </a:graphicData>
            </a:graphic>
          </wp:inline>
        </w:drawing>
      </w:r>
    </w:p>
    <w:p w:rsidR="009D15DA" w:rsidRDefault="009D15DA" w:rsidP="00302190">
      <w:pPr>
        <w:bidi w:val="0"/>
        <w:rPr>
          <w:rFonts w:asciiTheme="majorBidi" w:hAnsiTheme="majorBidi" w:cstheme="majorBidi"/>
          <w:sz w:val="24"/>
          <w:szCs w:val="24"/>
          <w:lang w:bidi="ar-JO"/>
        </w:rPr>
      </w:pPr>
      <w:r w:rsidRPr="009D15DA">
        <w:rPr>
          <w:rFonts w:asciiTheme="majorBidi" w:hAnsiTheme="majorBidi" w:cstheme="majorBidi"/>
          <w:sz w:val="24"/>
          <w:szCs w:val="24"/>
          <w:lang w:bidi="ar-JO"/>
        </w:rPr>
        <w:lastRenderedPageBreak/>
        <w:t>Moreover, Figure A2 shows that the pattern of heterogeneity across subgroups—particularly those defined by high school score, department, and gender—remained unchanged. Subgroup treatment effects are reported for the 21 categories that include at least two instructors, as teacher-specific subgroups were excluded because cluster-level variance cannot be computed for a single teacher. Overall, the heterogeneity patterns across student and department characteristics remain consistent under teacher-level clustering.</w:t>
      </w:r>
    </w:p>
    <w:p w:rsidR="00302190" w:rsidRDefault="00302190" w:rsidP="009D15DA">
      <w:pPr>
        <w:bidi w:val="0"/>
        <w:rPr>
          <w:rFonts w:asciiTheme="majorBidi" w:hAnsiTheme="majorBidi" w:cstheme="majorBidi"/>
          <w:b/>
          <w:bCs/>
          <w:sz w:val="24"/>
          <w:szCs w:val="24"/>
          <w:lang w:bidi="ar-JO"/>
        </w:rPr>
      </w:pPr>
      <w:r w:rsidRPr="00302190">
        <w:rPr>
          <w:rFonts w:asciiTheme="majorBidi" w:hAnsiTheme="majorBidi" w:cstheme="majorBidi"/>
          <w:b/>
          <w:bCs/>
          <w:sz w:val="24"/>
          <w:szCs w:val="24"/>
          <w:lang w:bidi="ar-JO"/>
        </w:rPr>
        <w:t>Figure A2. Subgroup (GATE) estimates from causal forest models with and without teacher clustering.</w:t>
      </w:r>
      <w:r>
        <w:rPr>
          <w:rFonts w:asciiTheme="majorBidi" w:hAnsiTheme="majorBidi" w:cstheme="majorBidi"/>
          <w:b/>
          <w:bCs/>
          <w:sz w:val="24"/>
          <w:szCs w:val="24"/>
          <w:lang w:bidi="ar-JO"/>
        </w:rPr>
        <w:br/>
      </w:r>
      <w:r>
        <w:rPr>
          <w:rFonts w:asciiTheme="majorBidi" w:hAnsiTheme="majorBidi" w:cstheme="majorBidi"/>
          <w:b/>
          <w:bCs/>
          <w:noProof/>
          <w:sz w:val="24"/>
          <w:szCs w:val="24"/>
          <w:rtl/>
        </w:rPr>
        <w:drawing>
          <wp:inline distT="0" distB="0" distL="0" distR="0">
            <wp:extent cx="9777730" cy="31915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bgroupsCluster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77730" cy="3191510"/>
                    </a:xfrm>
                    <a:prstGeom prst="rect">
                      <a:avLst/>
                    </a:prstGeom>
                  </pic:spPr>
                </pic:pic>
              </a:graphicData>
            </a:graphic>
          </wp:inline>
        </w:drawing>
      </w:r>
    </w:p>
    <w:p w:rsidR="00302190" w:rsidRDefault="009D15DA" w:rsidP="00AF5384">
      <w:pPr>
        <w:bidi w:val="0"/>
        <w:rPr>
          <w:rFonts w:asciiTheme="majorBidi" w:hAnsiTheme="majorBidi" w:cstheme="majorBidi"/>
          <w:sz w:val="24"/>
          <w:szCs w:val="24"/>
          <w:lang w:bidi="ar-JO"/>
        </w:rPr>
      </w:pPr>
      <w:r w:rsidRPr="009D15DA">
        <w:rPr>
          <w:rFonts w:asciiTheme="majorBidi" w:hAnsiTheme="majorBidi" w:cstheme="majorBidi"/>
          <w:sz w:val="24"/>
          <w:szCs w:val="24"/>
          <w:lang w:bidi="ar-JO"/>
        </w:rPr>
        <w:t xml:space="preserve">In summary, the inclusion of teacher-level clustering </w:t>
      </w:r>
      <w:r w:rsidR="00AF5384">
        <w:rPr>
          <w:rFonts w:asciiTheme="majorBidi" w:hAnsiTheme="majorBidi" w:cstheme="majorBidi"/>
          <w:sz w:val="24"/>
          <w:szCs w:val="24"/>
          <w:lang w:bidi="ar-JO"/>
        </w:rPr>
        <w:t>resulted in s</w:t>
      </w:r>
      <w:r w:rsidRPr="009D15DA">
        <w:rPr>
          <w:rFonts w:asciiTheme="majorBidi" w:hAnsiTheme="majorBidi" w:cstheme="majorBidi"/>
          <w:sz w:val="24"/>
          <w:szCs w:val="24"/>
          <w:lang w:bidi="ar-JO"/>
        </w:rPr>
        <w:t xml:space="preserve">lightly wider confidence intervals but left the </w:t>
      </w:r>
      <w:r w:rsidR="00AF5384">
        <w:rPr>
          <w:rFonts w:asciiTheme="majorBidi" w:hAnsiTheme="majorBidi" w:cstheme="majorBidi"/>
          <w:sz w:val="24"/>
          <w:szCs w:val="24"/>
          <w:lang w:bidi="ar-JO"/>
        </w:rPr>
        <w:t>main</w:t>
      </w:r>
      <w:r w:rsidRPr="009D15DA">
        <w:rPr>
          <w:rFonts w:asciiTheme="majorBidi" w:hAnsiTheme="majorBidi" w:cstheme="majorBidi"/>
          <w:sz w:val="24"/>
          <w:szCs w:val="24"/>
          <w:lang w:bidi="ar-JO"/>
        </w:rPr>
        <w:t xml:space="preserve"> conclusions unchanged</w:t>
      </w:r>
      <w:r w:rsidR="00AF5384">
        <w:rPr>
          <w:rFonts w:asciiTheme="majorBidi" w:hAnsiTheme="majorBidi" w:cstheme="majorBidi"/>
          <w:sz w:val="24"/>
          <w:szCs w:val="24"/>
          <w:lang w:bidi="ar-JO"/>
        </w:rPr>
        <w:t>,</w:t>
      </w:r>
      <w:r w:rsidRPr="009D15DA">
        <w:rPr>
          <w:rFonts w:asciiTheme="majorBidi" w:hAnsiTheme="majorBidi" w:cstheme="majorBidi"/>
          <w:sz w:val="24"/>
          <w:szCs w:val="24"/>
          <w:lang w:bidi="ar-JO"/>
        </w:rPr>
        <w:t xml:space="preserve"> indicating that the estimated effects are not driven by within-teacher dependence. The preservation of heterogeneity patterns across departments and student characteristics demonstrates that the findings are robust to teacher-level clustering.</w:t>
      </w:r>
    </w:p>
    <w:p w:rsidR="00AB4854" w:rsidRDefault="00AB4854" w:rsidP="00AB4854">
      <w:pPr>
        <w:bidi w:val="0"/>
        <w:rPr>
          <w:rFonts w:asciiTheme="majorBidi" w:hAnsiTheme="majorBidi" w:cstheme="majorBidi"/>
          <w:b/>
          <w:bCs/>
          <w:sz w:val="24"/>
          <w:szCs w:val="24"/>
        </w:rPr>
      </w:pPr>
      <w:r w:rsidRPr="0095684F">
        <w:rPr>
          <w:rFonts w:asciiTheme="majorBidi" w:hAnsiTheme="majorBidi" w:cstheme="majorBidi"/>
          <w:b/>
          <w:bCs/>
          <w:sz w:val="24"/>
          <w:szCs w:val="24"/>
        </w:rPr>
        <w:t xml:space="preserve">Section </w:t>
      </w:r>
      <w:r>
        <w:rPr>
          <w:rFonts w:asciiTheme="majorBidi" w:hAnsiTheme="majorBidi" w:cstheme="majorBidi"/>
          <w:b/>
          <w:bCs/>
          <w:sz w:val="24"/>
          <w:szCs w:val="24"/>
        </w:rPr>
        <w:t>4</w:t>
      </w:r>
      <w:r w:rsidRPr="0095684F">
        <w:rPr>
          <w:rFonts w:asciiTheme="majorBidi" w:hAnsiTheme="majorBidi" w:cstheme="majorBidi"/>
          <w:b/>
          <w:bCs/>
          <w:sz w:val="24"/>
          <w:szCs w:val="24"/>
        </w:rPr>
        <w:t xml:space="preserve">. </w:t>
      </w:r>
      <w:r w:rsidRPr="00AB4854">
        <w:rPr>
          <w:rFonts w:asciiTheme="majorBidi" w:hAnsiTheme="majorBidi" w:cstheme="majorBidi"/>
          <w:b/>
          <w:bCs/>
          <w:sz w:val="24"/>
          <w:szCs w:val="24"/>
        </w:rPr>
        <w:t>Distribution of Outcome Scores</w:t>
      </w:r>
    </w:p>
    <w:p w:rsidR="00AB4854" w:rsidRDefault="00AB4854" w:rsidP="00D84C16">
      <w:pPr>
        <w:bidi w:val="0"/>
        <w:rPr>
          <w:rFonts w:asciiTheme="majorBidi" w:hAnsiTheme="majorBidi" w:cstheme="majorBidi"/>
          <w:sz w:val="24"/>
          <w:szCs w:val="24"/>
        </w:rPr>
      </w:pPr>
      <w:r w:rsidRPr="00AB4854">
        <w:rPr>
          <w:rFonts w:asciiTheme="majorBidi" w:hAnsiTheme="majorBidi" w:cstheme="majorBidi"/>
          <w:sz w:val="24"/>
          <w:szCs w:val="24"/>
        </w:rPr>
        <w:t xml:space="preserve">To </w:t>
      </w:r>
      <w:r w:rsidR="00963786">
        <w:rPr>
          <w:rFonts w:asciiTheme="majorBidi" w:hAnsiTheme="majorBidi" w:cstheme="majorBidi"/>
          <w:sz w:val="24"/>
          <w:szCs w:val="24"/>
        </w:rPr>
        <w:t>explore</w:t>
      </w:r>
      <w:r w:rsidRPr="00AB4854">
        <w:rPr>
          <w:rFonts w:asciiTheme="majorBidi" w:hAnsiTheme="majorBidi" w:cstheme="majorBidi"/>
          <w:sz w:val="24"/>
          <w:szCs w:val="24"/>
        </w:rPr>
        <w:t xml:space="preserve"> whether the outcome variable was affected by potential ceiling or floor effects</w:t>
      </w:r>
      <w:r w:rsidR="00963786">
        <w:rPr>
          <w:rFonts w:asciiTheme="majorBidi" w:hAnsiTheme="majorBidi" w:cstheme="majorBidi"/>
          <w:sz w:val="24"/>
          <w:szCs w:val="24"/>
        </w:rPr>
        <w:t xml:space="preserve"> as may be guessed given the bounded outcome</w:t>
      </w:r>
      <w:r w:rsidRPr="00AB4854">
        <w:rPr>
          <w:rFonts w:asciiTheme="majorBidi" w:hAnsiTheme="majorBidi" w:cstheme="majorBidi"/>
          <w:sz w:val="24"/>
          <w:szCs w:val="24"/>
        </w:rPr>
        <w:t xml:space="preserve">, we </w:t>
      </w:r>
      <w:r w:rsidR="00963786">
        <w:rPr>
          <w:rFonts w:asciiTheme="majorBidi" w:hAnsiTheme="majorBidi" w:cstheme="majorBidi"/>
          <w:sz w:val="24"/>
          <w:szCs w:val="24"/>
        </w:rPr>
        <w:t>analyzed</w:t>
      </w:r>
      <w:r w:rsidRPr="00AB4854">
        <w:rPr>
          <w:rFonts w:asciiTheme="majorBidi" w:hAnsiTheme="majorBidi" w:cstheme="majorBidi"/>
          <w:sz w:val="24"/>
          <w:szCs w:val="24"/>
        </w:rPr>
        <w:t xml:space="preserve"> the distribution of final Calculus 1 scores across all students. The final score </w:t>
      </w:r>
      <w:r w:rsidR="00963786">
        <w:rPr>
          <w:rFonts w:asciiTheme="majorBidi" w:hAnsiTheme="majorBidi" w:cstheme="majorBidi"/>
          <w:sz w:val="24"/>
          <w:szCs w:val="24"/>
        </w:rPr>
        <w:t>which is</w:t>
      </w:r>
      <w:r w:rsidRPr="00AB4854">
        <w:rPr>
          <w:rFonts w:asciiTheme="majorBidi" w:hAnsiTheme="majorBidi" w:cstheme="majorBidi"/>
          <w:sz w:val="24"/>
          <w:szCs w:val="24"/>
        </w:rPr>
        <w:t xml:space="preserve"> the </w:t>
      </w:r>
      <w:r w:rsidR="00963786">
        <w:rPr>
          <w:rFonts w:asciiTheme="majorBidi" w:hAnsiTheme="majorBidi" w:cstheme="majorBidi"/>
          <w:sz w:val="24"/>
          <w:szCs w:val="24"/>
        </w:rPr>
        <w:t>outcome</w:t>
      </w:r>
      <w:r w:rsidRPr="00AB4854">
        <w:rPr>
          <w:rFonts w:asciiTheme="majorBidi" w:hAnsiTheme="majorBidi" w:cstheme="majorBidi"/>
          <w:sz w:val="24"/>
          <w:szCs w:val="24"/>
        </w:rPr>
        <w:t xml:space="preserve"> variable in all analyses and was measured on a 35–100-point scale. As shown in Figure</w:t>
      </w:r>
      <w:r w:rsidR="00D84C16">
        <w:rPr>
          <w:rFonts w:asciiTheme="majorBidi" w:hAnsiTheme="majorBidi" w:cstheme="majorBidi"/>
          <w:sz w:val="24"/>
          <w:szCs w:val="24"/>
        </w:rPr>
        <w:t>s</w:t>
      </w:r>
      <w:r w:rsidRPr="00AB4854">
        <w:rPr>
          <w:rFonts w:asciiTheme="majorBidi" w:hAnsiTheme="majorBidi" w:cstheme="majorBidi"/>
          <w:sz w:val="24"/>
          <w:szCs w:val="24"/>
        </w:rPr>
        <w:t xml:space="preserve"> A3</w:t>
      </w:r>
      <w:r w:rsidR="00D84C16">
        <w:rPr>
          <w:rFonts w:asciiTheme="majorBidi" w:hAnsiTheme="majorBidi" w:cstheme="majorBidi"/>
          <w:sz w:val="24"/>
          <w:szCs w:val="24"/>
        </w:rPr>
        <w:t xml:space="preserve"> &amp; A4</w:t>
      </w:r>
      <w:r w:rsidRPr="00AB4854">
        <w:rPr>
          <w:rFonts w:asciiTheme="majorBidi" w:hAnsiTheme="majorBidi" w:cstheme="majorBidi"/>
          <w:sz w:val="24"/>
          <w:szCs w:val="24"/>
        </w:rPr>
        <w:t xml:space="preserve">, the distribution is approximately symmetric and broadly dispersed (mean = 65.6, SD = 17.0, median = 67.0), with scores covering nearly the entire grading range. Only a small proportion of observations lie near the upper boundary, </w:t>
      </w:r>
      <w:r w:rsidR="00D84C16">
        <w:rPr>
          <w:rFonts w:asciiTheme="majorBidi" w:hAnsiTheme="majorBidi" w:cstheme="majorBidi"/>
          <w:sz w:val="24"/>
          <w:szCs w:val="24"/>
        </w:rPr>
        <w:t xml:space="preserve">mitigating the concern of </w:t>
      </w:r>
      <w:r w:rsidR="00D84C16" w:rsidRPr="00AB4854">
        <w:rPr>
          <w:rFonts w:asciiTheme="majorBidi" w:hAnsiTheme="majorBidi" w:cstheme="majorBidi"/>
          <w:sz w:val="24"/>
          <w:szCs w:val="24"/>
        </w:rPr>
        <w:t>ceiling</w:t>
      </w:r>
      <w:r w:rsidRPr="00AB4854">
        <w:rPr>
          <w:rFonts w:asciiTheme="majorBidi" w:hAnsiTheme="majorBidi" w:cstheme="majorBidi"/>
          <w:sz w:val="24"/>
          <w:szCs w:val="24"/>
        </w:rPr>
        <w:t xml:space="preserve"> effects and unlikely to bias treatment effect estimates.</w:t>
      </w:r>
    </w:p>
    <w:p w:rsidR="00D84C16" w:rsidRDefault="00D84C16" w:rsidP="00D84C16">
      <w:pPr>
        <w:bidi w:val="0"/>
        <w:rPr>
          <w:rFonts w:asciiTheme="majorBidi" w:hAnsiTheme="majorBidi" w:cstheme="majorBidi"/>
          <w:sz w:val="24"/>
          <w:szCs w:val="24"/>
        </w:rPr>
      </w:pPr>
    </w:p>
    <w:p w:rsidR="00D84C16" w:rsidRDefault="00D84C16" w:rsidP="00D84C16">
      <w:pPr>
        <w:bidi w:val="0"/>
        <w:rPr>
          <w:rFonts w:asciiTheme="majorBidi" w:hAnsiTheme="majorBidi" w:cstheme="majorBidi"/>
          <w:sz w:val="24"/>
          <w:szCs w:val="24"/>
        </w:rPr>
      </w:pPr>
      <w:r w:rsidRPr="00D84C16">
        <w:rPr>
          <w:rFonts w:asciiTheme="majorBidi" w:hAnsiTheme="majorBidi" w:cstheme="majorBidi"/>
          <w:b/>
          <w:bCs/>
          <w:sz w:val="24"/>
          <w:szCs w:val="24"/>
        </w:rPr>
        <w:lastRenderedPageBreak/>
        <w:t>Figure A3. Histogram of final Calculus 1 scores across all students.</w:t>
      </w:r>
      <w:r>
        <w:rPr>
          <w:rFonts w:asciiTheme="majorBidi" w:hAnsiTheme="majorBidi" w:cstheme="majorBidi"/>
          <w:sz w:val="24"/>
          <w:szCs w:val="24"/>
        </w:rPr>
        <w:br/>
      </w:r>
      <w:r>
        <w:rPr>
          <w:rFonts w:asciiTheme="majorBidi" w:hAnsiTheme="majorBidi" w:cstheme="majorBidi"/>
          <w:noProof/>
          <w:sz w:val="24"/>
          <w:szCs w:val="24"/>
        </w:rPr>
        <w:drawing>
          <wp:inline distT="0" distB="0" distL="0" distR="0">
            <wp:extent cx="4741766" cy="2805546"/>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stogram of 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6696" cy="2814379"/>
                    </a:xfrm>
                    <a:prstGeom prst="rect">
                      <a:avLst/>
                    </a:prstGeom>
                  </pic:spPr>
                </pic:pic>
              </a:graphicData>
            </a:graphic>
          </wp:inline>
        </w:drawing>
      </w:r>
    </w:p>
    <w:p w:rsidR="00D84C16" w:rsidRDefault="00D84C16" w:rsidP="00D84C16">
      <w:pPr>
        <w:bidi w:val="0"/>
        <w:rPr>
          <w:rFonts w:asciiTheme="majorBidi" w:hAnsiTheme="majorBidi" w:cstheme="majorBidi"/>
          <w:sz w:val="24"/>
          <w:szCs w:val="24"/>
        </w:rPr>
      </w:pPr>
      <w:r w:rsidRPr="00D84C16">
        <w:rPr>
          <w:rFonts w:asciiTheme="majorBidi" w:hAnsiTheme="majorBidi" w:cstheme="majorBidi"/>
          <w:b/>
          <w:bCs/>
          <w:sz w:val="24"/>
          <w:szCs w:val="24"/>
        </w:rPr>
        <w:t>Figure A4. Boxplot of final Calculus 1 scores across all students.</w:t>
      </w:r>
      <w:r>
        <w:rPr>
          <w:rFonts w:asciiTheme="majorBidi" w:hAnsiTheme="majorBidi" w:cstheme="majorBidi"/>
          <w:sz w:val="24"/>
          <w:szCs w:val="24"/>
        </w:rPr>
        <w:br/>
      </w:r>
      <w:r>
        <w:rPr>
          <w:rFonts w:asciiTheme="majorBidi" w:hAnsiTheme="majorBidi" w:cstheme="majorBidi"/>
          <w:noProof/>
          <w:sz w:val="24"/>
          <w:szCs w:val="24"/>
        </w:rPr>
        <w:drawing>
          <wp:inline distT="0" distB="0" distL="0" distR="0">
            <wp:extent cx="4814455" cy="3009112"/>
            <wp:effectExtent l="0" t="0" r="571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xplot of 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24032" cy="3015098"/>
                    </a:xfrm>
                    <a:prstGeom prst="rect">
                      <a:avLst/>
                    </a:prstGeom>
                  </pic:spPr>
                </pic:pic>
              </a:graphicData>
            </a:graphic>
          </wp:inline>
        </w:drawing>
      </w:r>
    </w:p>
    <w:p w:rsidR="00D84C16" w:rsidRDefault="00D84C16" w:rsidP="00D84C16">
      <w:pPr>
        <w:bidi w:val="0"/>
        <w:rPr>
          <w:rFonts w:asciiTheme="majorBidi" w:hAnsiTheme="majorBidi" w:cstheme="majorBidi"/>
          <w:sz w:val="24"/>
          <w:szCs w:val="24"/>
        </w:rPr>
      </w:pPr>
    </w:p>
    <w:p w:rsidR="00AF77EA" w:rsidRDefault="00AF77EA" w:rsidP="00AF77EA">
      <w:pPr>
        <w:bidi w:val="0"/>
        <w:rPr>
          <w:rFonts w:asciiTheme="majorBidi" w:hAnsiTheme="majorBidi" w:cstheme="majorBidi"/>
          <w:b/>
          <w:bCs/>
          <w:sz w:val="24"/>
          <w:szCs w:val="24"/>
        </w:rPr>
      </w:pPr>
      <w:r w:rsidRPr="0095684F">
        <w:rPr>
          <w:rFonts w:asciiTheme="majorBidi" w:hAnsiTheme="majorBidi" w:cstheme="majorBidi"/>
          <w:b/>
          <w:bCs/>
          <w:sz w:val="24"/>
          <w:szCs w:val="24"/>
        </w:rPr>
        <w:lastRenderedPageBreak/>
        <w:t xml:space="preserve">Section </w:t>
      </w:r>
      <w:r>
        <w:rPr>
          <w:rFonts w:asciiTheme="majorBidi" w:hAnsiTheme="majorBidi" w:cstheme="majorBidi"/>
          <w:b/>
          <w:bCs/>
          <w:sz w:val="24"/>
          <w:szCs w:val="24"/>
        </w:rPr>
        <w:t>5</w:t>
      </w:r>
      <w:r w:rsidRPr="0095684F">
        <w:rPr>
          <w:rFonts w:asciiTheme="majorBidi" w:hAnsiTheme="majorBidi" w:cstheme="majorBidi"/>
          <w:b/>
          <w:bCs/>
          <w:sz w:val="24"/>
          <w:szCs w:val="24"/>
        </w:rPr>
        <w:t xml:space="preserve">. </w:t>
      </w:r>
      <w:r>
        <w:rPr>
          <w:rFonts w:asciiTheme="majorBidi" w:hAnsiTheme="majorBidi" w:cstheme="majorBidi"/>
          <w:b/>
          <w:bCs/>
          <w:sz w:val="24"/>
          <w:szCs w:val="24"/>
        </w:rPr>
        <w:t>Standardized Effects</w:t>
      </w:r>
    </w:p>
    <w:p w:rsidR="00D84C16" w:rsidRPr="00AB4854" w:rsidRDefault="00AF77EA" w:rsidP="00766986">
      <w:pPr>
        <w:spacing w:line="240" w:lineRule="exact"/>
        <w:jc w:val="right"/>
        <w:rPr>
          <w:rFonts w:asciiTheme="majorBidi" w:hAnsiTheme="majorBidi" w:cstheme="majorBidi"/>
          <w:sz w:val="24"/>
          <w:szCs w:val="24"/>
        </w:rPr>
      </w:pPr>
      <w:r w:rsidRPr="00AF77EA">
        <w:rPr>
          <w:rFonts w:asciiTheme="majorBidi" w:hAnsiTheme="majorBidi" w:cstheme="majorBidi"/>
          <w:sz w:val="24"/>
          <w:szCs w:val="24"/>
        </w:rPr>
        <w:t xml:space="preserve">For interpretability, all </w:t>
      </w:r>
      <w:r>
        <w:rPr>
          <w:rFonts w:asciiTheme="majorBidi" w:hAnsiTheme="majorBidi" w:cstheme="majorBidi"/>
          <w:sz w:val="24"/>
          <w:szCs w:val="24"/>
        </w:rPr>
        <w:t xml:space="preserve">subgroup </w:t>
      </w:r>
      <w:r w:rsidRPr="00AF77EA">
        <w:rPr>
          <w:rFonts w:asciiTheme="majorBidi" w:hAnsiTheme="majorBidi" w:cstheme="majorBidi"/>
          <w:sz w:val="24"/>
          <w:szCs w:val="24"/>
        </w:rPr>
        <w:t>treatment effects are also presented in standardized units (i.e., as fractions of the outcome’s standard deviation, SD = 17.0</w:t>
      </w:r>
      <w:r>
        <w:rPr>
          <w:rFonts w:asciiTheme="majorBidi" w:hAnsiTheme="majorBidi" w:cstheme="majorBidi"/>
          <w:sz w:val="24"/>
          <w:szCs w:val="24"/>
        </w:rPr>
        <w:t>1</w:t>
      </w:r>
      <w:r w:rsidRPr="00AF77EA">
        <w:rPr>
          <w:rFonts w:asciiTheme="majorBidi" w:hAnsiTheme="majorBidi" w:cstheme="majorBidi"/>
          <w:sz w:val="24"/>
          <w:szCs w:val="24"/>
        </w:rPr>
        <w:t>)</w:t>
      </w:r>
      <w:r>
        <w:rPr>
          <w:rFonts w:asciiTheme="majorBidi" w:hAnsiTheme="majorBidi" w:cstheme="majorBidi"/>
          <w:sz w:val="24"/>
          <w:szCs w:val="24"/>
        </w:rPr>
        <w:t xml:space="preserve"> following Cohen (1988). Table A3 and Figure A5 below show</w:t>
      </w:r>
      <w:bookmarkStart w:id="0" w:name="_GoBack"/>
      <w:bookmarkEnd w:id="0"/>
      <w:r>
        <w:rPr>
          <w:rFonts w:asciiTheme="majorBidi" w:hAnsiTheme="majorBidi" w:cstheme="majorBidi"/>
          <w:sz w:val="24"/>
          <w:szCs w:val="24"/>
        </w:rPr>
        <w:t xml:space="preserve"> that the pattern of heterogeneity remains the same. </w:t>
      </w:r>
      <w:r w:rsidR="00FD1A45">
        <w:rPr>
          <w:rFonts w:asciiTheme="majorBidi" w:hAnsiTheme="majorBidi" w:cstheme="majorBidi"/>
          <w:sz w:val="24"/>
          <w:szCs w:val="24"/>
        </w:rPr>
        <w:br/>
      </w:r>
      <w:r>
        <w:rPr>
          <w:rFonts w:asciiTheme="majorBidi" w:hAnsiTheme="majorBidi" w:cstheme="majorBidi"/>
          <w:sz w:val="24"/>
          <w:szCs w:val="24"/>
        </w:rPr>
        <w:br/>
      </w:r>
      <w:r w:rsidR="00FD1A45" w:rsidRPr="00FD1A45">
        <w:rPr>
          <w:rFonts w:asciiTheme="majorBidi" w:hAnsiTheme="majorBidi" w:cstheme="majorBidi"/>
          <w:b/>
          <w:bCs/>
        </w:rPr>
        <w:t>Table A</w:t>
      </w:r>
      <w:r w:rsidR="00FD1A45" w:rsidRPr="00FD1A45">
        <w:rPr>
          <w:rFonts w:asciiTheme="majorBidi" w:hAnsiTheme="majorBidi" w:cstheme="majorBidi"/>
          <w:b/>
          <w:bCs/>
        </w:rPr>
        <w:t>3</w:t>
      </w:r>
      <w:r w:rsidR="00FD1A45" w:rsidRPr="00FD1A45">
        <w:rPr>
          <w:rFonts w:asciiTheme="majorBidi" w:hAnsiTheme="majorBidi" w:cstheme="majorBidi"/>
          <w:b/>
          <w:bCs/>
        </w:rPr>
        <w:t>.</w:t>
      </w:r>
      <w:r w:rsidR="00FD1A45" w:rsidRPr="00FD1A45">
        <w:rPr>
          <w:rFonts w:asciiTheme="majorBidi" w:hAnsiTheme="majorBidi" w:cstheme="majorBidi"/>
        </w:rPr>
        <w:t xml:space="preserve"> </w:t>
      </w:r>
      <w:r w:rsidR="00FD1A45" w:rsidRPr="00FD1A45">
        <w:rPr>
          <w:rFonts w:asciiTheme="majorBidi" w:hAnsiTheme="majorBidi" w:cstheme="majorBidi"/>
          <w:b/>
          <w:bCs/>
        </w:rPr>
        <w:t>Estimated</w:t>
      </w:r>
      <w:r w:rsidR="00FD1A45">
        <w:rPr>
          <w:rFonts w:asciiTheme="majorBidi" w:hAnsiTheme="majorBidi" w:cstheme="majorBidi"/>
          <w:b/>
          <w:bCs/>
        </w:rPr>
        <w:t xml:space="preserve"> Standardized</w:t>
      </w:r>
      <w:r w:rsidR="00FD1A45" w:rsidRPr="00FD1A45">
        <w:rPr>
          <w:rFonts w:asciiTheme="majorBidi" w:hAnsiTheme="majorBidi" w:cstheme="majorBidi"/>
          <w:b/>
          <w:bCs/>
        </w:rPr>
        <w:t xml:space="preserve"> Subgroup Treatment Effects (GATEs) With Confidence Intervals and Sample Sizes</w:t>
      </w:r>
    </w:p>
    <w:tbl>
      <w:tblPr>
        <w:tblW w:w="15140" w:type="dxa"/>
        <w:tblLook w:val="04A0" w:firstRow="1" w:lastRow="0" w:firstColumn="1" w:lastColumn="0" w:noHBand="0" w:noVBand="1"/>
      </w:tblPr>
      <w:tblGrid>
        <w:gridCol w:w="2524"/>
        <w:gridCol w:w="2524"/>
        <w:gridCol w:w="2523"/>
        <w:gridCol w:w="2523"/>
        <w:gridCol w:w="2523"/>
        <w:gridCol w:w="2523"/>
      </w:tblGrid>
      <w:tr w:rsidR="00CC4A07" w:rsidRPr="00C17676" w:rsidTr="00CE48A1">
        <w:trPr>
          <w:trHeight w:hRule="exact" w:val="216"/>
        </w:trPr>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77EA" w:rsidRPr="00C17676" w:rsidRDefault="00AF77EA" w:rsidP="00CC4A07">
            <w:pPr>
              <w:bidi w:val="0"/>
              <w:spacing w:after="0" w:line="180" w:lineRule="exact"/>
              <w:jc w:val="center"/>
              <w:rPr>
                <w:rFonts w:ascii="Calibri" w:eastAsia="Times New Roman" w:hAnsi="Calibri" w:cs="Calibri"/>
                <w:b/>
                <w:bCs/>
                <w:color w:val="000000"/>
              </w:rPr>
            </w:pPr>
            <w:r w:rsidRPr="00C17676">
              <w:rPr>
                <w:rFonts w:ascii="Calibri" w:eastAsia="Times New Roman" w:hAnsi="Calibri" w:cs="Calibri"/>
                <w:b/>
                <w:bCs/>
                <w:color w:val="000000"/>
              </w:rPr>
              <w:t>subgroup</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rsidR="00AF77EA" w:rsidRPr="00C17676" w:rsidRDefault="00AF77EA" w:rsidP="00CC4A07">
            <w:pPr>
              <w:bidi w:val="0"/>
              <w:spacing w:after="0" w:line="180" w:lineRule="exact"/>
              <w:jc w:val="center"/>
              <w:rPr>
                <w:rFonts w:ascii="Calibri" w:eastAsia="Times New Roman" w:hAnsi="Calibri" w:cs="Calibri"/>
                <w:b/>
                <w:bCs/>
                <w:color w:val="000000"/>
              </w:rPr>
            </w:pPr>
            <w:r w:rsidRPr="00C17676">
              <w:rPr>
                <w:rFonts w:ascii="Calibri" w:eastAsia="Times New Roman" w:hAnsi="Calibri" w:cs="Calibri"/>
                <w:b/>
                <w:bCs/>
                <w:color w:val="000000"/>
              </w:rPr>
              <w:t>Size</w:t>
            </w:r>
            <w:r>
              <w:rPr>
                <w:rFonts w:ascii="Calibri" w:eastAsia="Times New Roman" w:hAnsi="Calibri" w:cs="Calibri"/>
                <w:b/>
                <w:bCs/>
                <w:color w:val="000000"/>
              </w:rPr>
              <w:t xml:space="preserve"> of the subgroup</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rsidR="00AF77EA" w:rsidRPr="00C17676" w:rsidRDefault="00FD1A45" w:rsidP="00CC4A07">
            <w:pPr>
              <w:bidi w:val="0"/>
              <w:spacing w:after="0" w:line="180" w:lineRule="exact"/>
              <w:jc w:val="center"/>
              <w:rPr>
                <w:rFonts w:ascii="Calibri" w:eastAsia="Times New Roman" w:hAnsi="Calibri" w:cs="Calibri"/>
                <w:b/>
                <w:bCs/>
                <w:color w:val="000000"/>
              </w:rPr>
            </w:pPr>
            <w:r>
              <w:rPr>
                <w:rFonts w:ascii="Calibri" w:eastAsia="Times New Roman" w:hAnsi="Calibri" w:cs="Calibri"/>
                <w:b/>
                <w:bCs/>
                <w:color w:val="000000"/>
              </w:rPr>
              <w:t xml:space="preserve">Standardized </w:t>
            </w:r>
            <w:r w:rsidR="00AF77EA" w:rsidRPr="00C17676">
              <w:rPr>
                <w:rFonts w:ascii="Calibri" w:eastAsia="Times New Roman" w:hAnsi="Calibri" w:cs="Calibri"/>
                <w:b/>
                <w:bCs/>
                <w:color w:val="000000"/>
              </w:rPr>
              <w:t>Effect</w:t>
            </w:r>
            <w:r w:rsidR="00AF77EA">
              <w:rPr>
                <w:rFonts w:ascii="Calibri" w:eastAsia="Times New Roman" w:hAnsi="Calibri" w:cs="Calibri"/>
                <w:b/>
                <w:bCs/>
                <w:color w:val="000000"/>
              </w:rPr>
              <w:t xml:space="preserve"> (GATE)</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rsidR="00FD1A45" w:rsidRPr="00FD1A45" w:rsidRDefault="00FD1A45" w:rsidP="00CC4A07">
            <w:pPr>
              <w:bidi w:val="0"/>
              <w:spacing w:after="0" w:line="180" w:lineRule="exact"/>
              <w:jc w:val="center"/>
              <w:rPr>
                <w:rFonts w:ascii="Calibri" w:eastAsia="Times New Roman" w:hAnsi="Calibri" w:cs="Calibri"/>
                <w:b/>
                <w:bCs/>
                <w:color w:val="000000"/>
                <w:sz w:val="20"/>
                <w:szCs w:val="20"/>
              </w:rPr>
            </w:pPr>
            <w:r w:rsidRPr="00FD1A45">
              <w:rPr>
                <w:rFonts w:ascii="Calibri" w:eastAsia="Times New Roman" w:hAnsi="Calibri" w:cs="Calibri"/>
                <w:b/>
                <w:bCs/>
                <w:color w:val="000000"/>
                <w:sz w:val="20"/>
                <w:szCs w:val="20"/>
              </w:rPr>
              <w:t>Standardized</w:t>
            </w:r>
          </w:p>
          <w:p w:rsidR="00AF77EA" w:rsidRPr="00C17676" w:rsidRDefault="00AF77EA" w:rsidP="00CC4A07">
            <w:pPr>
              <w:bidi w:val="0"/>
              <w:spacing w:after="0" w:line="180" w:lineRule="exact"/>
              <w:jc w:val="center"/>
              <w:rPr>
                <w:rFonts w:ascii="Calibri" w:eastAsia="Times New Roman" w:hAnsi="Calibri" w:cs="Calibri"/>
                <w:b/>
                <w:bCs/>
                <w:color w:val="000000"/>
              </w:rPr>
            </w:pPr>
            <w:r w:rsidRPr="00FD1A45">
              <w:rPr>
                <w:rFonts w:ascii="Calibri" w:eastAsia="Times New Roman" w:hAnsi="Calibri" w:cs="Calibri"/>
                <w:b/>
                <w:bCs/>
                <w:color w:val="000000"/>
                <w:sz w:val="20"/>
                <w:szCs w:val="20"/>
              </w:rPr>
              <w:t>Lower limit of 95% CI</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rsidR="00AF77EA" w:rsidRPr="00C17676" w:rsidRDefault="00FD1A45" w:rsidP="00CC4A07">
            <w:pPr>
              <w:bidi w:val="0"/>
              <w:spacing w:after="0" w:line="180" w:lineRule="exact"/>
              <w:jc w:val="center"/>
              <w:rPr>
                <w:rFonts w:ascii="Calibri" w:eastAsia="Times New Roman" w:hAnsi="Calibri" w:cs="Calibri"/>
                <w:b/>
                <w:bCs/>
                <w:color w:val="000000"/>
              </w:rPr>
            </w:pPr>
            <w:r>
              <w:rPr>
                <w:rFonts w:ascii="Calibri" w:eastAsia="Times New Roman" w:hAnsi="Calibri" w:cs="Calibri"/>
                <w:b/>
                <w:bCs/>
                <w:color w:val="000000"/>
              </w:rPr>
              <w:t xml:space="preserve">Standardized </w:t>
            </w:r>
            <w:r w:rsidR="00AF77EA" w:rsidRPr="00C17676">
              <w:rPr>
                <w:rFonts w:ascii="Calibri" w:eastAsia="Times New Roman" w:hAnsi="Calibri" w:cs="Calibri"/>
                <w:b/>
                <w:bCs/>
                <w:color w:val="000000"/>
              </w:rPr>
              <w:t>Upper</w:t>
            </w:r>
            <w:r w:rsidR="00AF77EA">
              <w:rPr>
                <w:rFonts w:ascii="Calibri" w:eastAsia="Times New Roman" w:hAnsi="Calibri" w:cs="Calibri"/>
                <w:b/>
                <w:bCs/>
                <w:color w:val="000000"/>
              </w:rPr>
              <w:t xml:space="preserve"> limit of 95% CI</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rsidR="00AF77EA" w:rsidRPr="00C17676" w:rsidRDefault="00AF77EA" w:rsidP="00CC4A07">
            <w:pPr>
              <w:bidi w:val="0"/>
              <w:spacing w:after="0" w:line="180" w:lineRule="exact"/>
              <w:jc w:val="center"/>
              <w:rPr>
                <w:rFonts w:ascii="Calibri" w:eastAsia="Times New Roman" w:hAnsi="Calibri" w:cs="Calibri"/>
                <w:b/>
                <w:bCs/>
                <w:color w:val="000000"/>
              </w:rPr>
            </w:pPr>
            <w:r w:rsidRPr="00C17676">
              <w:rPr>
                <w:rFonts w:ascii="Calibri" w:eastAsia="Times New Roman" w:hAnsi="Calibri" w:cs="Calibri"/>
                <w:b/>
                <w:bCs/>
                <w:color w:val="000000"/>
              </w:rPr>
              <w:t>Is it different from Average</w:t>
            </w:r>
            <w:r>
              <w:rPr>
                <w:rFonts w:ascii="Calibri" w:eastAsia="Times New Roman" w:hAnsi="Calibri" w:cs="Calibri"/>
                <w:b/>
                <w:bCs/>
                <w:color w:val="000000"/>
              </w:rPr>
              <w:t>?</w:t>
            </w: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population</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2210</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0.072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0.229</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male</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1205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0.283</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0.397</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female</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1005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-0.008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-0.114</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0.098</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Center</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1374</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0.122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0.03</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0.213</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North</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728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0.192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0.052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0.333</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South</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57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0.175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-0.768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1.118</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External</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51</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-0.312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0.951</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 xml:space="preserve">Incomplete final </w:t>
            </w:r>
            <w:r w:rsidR="00CC4A07" w:rsidRPr="00CC4A07">
              <w:rPr>
                <w:rFonts w:ascii="Calibri" w:eastAsia="Times New Roman" w:hAnsi="Calibri" w:cs="Calibri"/>
                <w:color w:val="000000"/>
                <w:sz w:val="20"/>
                <w:szCs w:val="20"/>
              </w:rPr>
              <w:t>exam, yes</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215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0.133</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-0.042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0.307</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1</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79</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-0.339</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-0.636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-0.043</w:t>
            </w:r>
          </w:p>
        </w:tc>
        <w:tc>
          <w:tcPr>
            <w:tcW w:w="1584" w:type="dxa"/>
            <w:tcBorders>
              <w:top w:val="nil"/>
              <w:left w:val="nil"/>
              <w:bottom w:val="single" w:sz="4" w:space="0" w:color="auto"/>
              <w:right w:val="single" w:sz="4" w:space="0" w:color="auto"/>
            </w:tcBorders>
            <w:shd w:val="clear" w:color="000000" w:fill="C6EFCE"/>
            <w:noWrap/>
            <w:vAlign w:val="bottom"/>
            <w:hideMark/>
          </w:tcPr>
          <w:p w:rsidR="00FD1A45" w:rsidRPr="00CC4A07" w:rsidRDefault="00FD1A45" w:rsidP="00CC4A07">
            <w:pPr>
              <w:bidi w:val="0"/>
              <w:spacing w:after="0" w:line="180" w:lineRule="exact"/>
              <w:jc w:val="center"/>
              <w:rPr>
                <w:rFonts w:ascii="Calibri" w:eastAsia="Times New Roman" w:hAnsi="Calibri" w:cs="Calibri"/>
                <w:color w:val="006100"/>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403</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0.171</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0.469</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3</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131</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-0.036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-0.406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0.333</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4</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141</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0.055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-0.267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0.377</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97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0.089</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-0.225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0.403</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104</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-0.228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-0.543</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0.086</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157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0.357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0.027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0.687</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296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-0.162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-0.427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0.105</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9</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157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0.066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-0.189</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0.322</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10</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147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0.207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-0.117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0.531</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11</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187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0.24</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0.029</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0.452</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12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167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0.466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1.133</w:t>
            </w:r>
          </w:p>
        </w:tc>
        <w:tc>
          <w:tcPr>
            <w:tcW w:w="1584" w:type="dxa"/>
            <w:tcBorders>
              <w:top w:val="nil"/>
              <w:left w:val="nil"/>
              <w:bottom w:val="single" w:sz="4" w:space="0" w:color="auto"/>
              <w:right w:val="single" w:sz="4" w:space="0" w:color="auto"/>
            </w:tcBorders>
            <w:shd w:val="clear" w:color="000000" w:fill="C6EFCE"/>
            <w:noWrap/>
            <w:vAlign w:val="bottom"/>
            <w:hideMark/>
          </w:tcPr>
          <w:p w:rsidR="00FD1A45" w:rsidRPr="00CC4A07" w:rsidRDefault="00FD1A45" w:rsidP="00CC4A07">
            <w:pPr>
              <w:bidi w:val="0"/>
              <w:spacing w:after="0" w:line="180" w:lineRule="exact"/>
              <w:jc w:val="center"/>
              <w:rPr>
                <w:rFonts w:ascii="Calibri" w:eastAsia="Times New Roman" w:hAnsi="Calibri" w:cs="Calibri"/>
                <w:color w:val="006100"/>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13</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86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0.055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-0.365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0.476</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Teacher 14</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58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0.183</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-0.152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0.518</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Civil or architecture</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330</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0.158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-0.046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0.36</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Computer Engineering</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834</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-0.146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-0.271</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-0.022</w:t>
            </w:r>
          </w:p>
        </w:tc>
        <w:tc>
          <w:tcPr>
            <w:tcW w:w="1584" w:type="dxa"/>
            <w:tcBorders>
              <w:top w:val="nil"/>
              <w:left w:val="nil"/>
              <w:bottom w:val="single" w:sz="4" w:space="0" w:color="auto"/>
              <w:right w:val="single" w:sz="4" w:space="0" w:color="auto"/>
            </w:tcBorders>
            <w:shd w:val="clear" w:color="000000" w:fill="C6EFCE"/>
            <w:noWrap/>
            <w:vAlign w:val="bottom"/>
            <w:hideMark/>
          </w:tcPr>
          <w:p w:rsidR="00FD1A45" w:rsidRPr="00CC4A07" w:rsidRDefault="00FD1A45" w:rsidP="00CC4A07">
            <w:pPr>
              <w:bidi w:val="0"/>
              <w:spacing w:after="0" w:line="180" w:lineRule="exact"/>
              <w:jc w:val="center"/>
              <w:rPr>
                <w:rFonts w:ascii="Calibri" w:eastAsia="Times New Roman" w:hAnsi="Calibri" w:cs="Calibri"/>
                <w:color w:val="006100"/>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Industrial and Chemical Engineering</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152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0.208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-0.095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0.511</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Physics</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30</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-0.174</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-0.877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0.529</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Information Technology</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742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0.438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0.303</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0.573</w:t>
            </w:r>
          </w:p>
        </w:tc>
        <w:tc>
          <w:tcPr>
            <w:tcW w:w="1584" w:type="dxa"/>
            <w:tcBorders>
              <w:top w:val="nil"/>
              <w:left w:val="nil"/>
              <w:bottom w:val="single" w:sz="4" w:space="0" w:color="auto"/>
              <w:right w:val="single" w:sz="4" w:space="0" w:color="auto"/>
            </w:tcBorders>
            <w:shd w:val="clear" w:color="000000" w:fill="C6EFCE"/>
            <w:noWrap/>
            <w:vAlign w:val="bottom"/>
            <w:hideMark/>
          </w:tcPr>
          <w:p w:rsidR="00FD1A45" w:rsidRPr="00CC4A07" w:rsidRDefault="00FD1A45" w:rsidP="00CC4A07">
            <w:pPr>
              <w:bidi w:val="0"/>
              <w:spacing w:after="0" w:line="180" w:lineRule="exact"/>
              <w:jc w:val="center"/>
              <w:rPr>
                <w:rFonts w:ascii="Calibri" w:eastAsia="Times New Roman" w:hAnsi="Calibri" w:cs="Calibri"/>
                <w:color w:val="006100"/>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Mathematics</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47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0.007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-0.618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0.632</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Other</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75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0.69</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0.287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1.091</w:t>
            </w:r>
          </w:p>
        </w:tc>
        <w:tc>
          <w:tcPr>
            <w:tcW w:w="1584" w:type="dxa"/>
            <w:tcBorders>
              <w:top w:val="nil"/>
              <w:left w:val="nil"/>
              <w:bottom w:val="single" w:sz="4" w:space="0" w:color="auto"/>
              <w:right w:val="single" w:sz="4" w:space="0" w:color="auto"/>
            </w:tcBorders>
            <w:shd w:val="clear" w:color="000000" w:fill="C6EFCE"/>
            <w:noWrap/>
            <w:vAlign w:val="bottom"/>
            <w:hideMark/>
          </w:tcPr>
          <w:p w:rsidR="00FD1A45" w:rsidRPr="00CC4A07" w:rsidRDefault="00FD1A45" w:rsidP="00CC4A07">
            <w:pPr>
              <w:bidi w:val="0"/>
              <w:spacing w:after="0" w:line="180" w:lineRule="exact"/>
              <w:jc w:val="center"/>
              <w:rPr>
                <w:rFonts w:ascii="Calibri" w:eastAsia="Times New Roman" w:hAnsi="Calibri" w:cs="Calibri"/>
                <w:color w:val="006100"/>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Failed before, Yes</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215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0.568</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0.315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0.821</w:t>
            </w:r>
          </w:p>
        </w:tc>
        <w:tc>
          <w:tcPr>
            <w:tcW w:w="1584" w:type="dxa"/>
            <w:tcBorders>
              <w:top w:val="nil"/>
              <w:left w:val="nil"/>
              <w:bottom w:val="single" w:sz="4" w:space="0" w:color="auto"/>
              <w:right w:val="single" w:sz="4" w:space="0" w:color="auto"/>
            </w:tcBorders>
            <w:shd w:val="clear" w:color="000000" w:fill="C6EFCE"/>
            <w:noWrap/>
            <w:vAlign w:val="bottom"/>
            <w:hideMark/>
          </w:tcPr>
          <w:p w:rsidR="00FD1A45" w:rsidRPr="00CC4A07" w:rsidRDefault="00FD1A45" w:rsidP="00CC4A07">
            <w:pPr>
              <w:bidi w:val="0"/>
              <w:spacing w:after="0" w:line="180" w:lineRule="exact"/>
              <w:jc w:val="center"/>
              <w:rPr>
                <w:rFonts w:ascii="Calibri" w:eastAsia="Times New Roman" w:hAnsi="Calibri" w:cs="Calibri"/>
                <w:color w:val="006100"/>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High school score 60 to69.99</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132</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0.915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0.674</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1.155</w:t>
            </w:r>
          </w:p>
        </w:tc>
        <w:tc>
          <w:tcPr>
            <w:tcW w:w="1584" w:type="dxa"/>
            <w:tcBorders>
              <w:top w:val="nil"/>
              <w:left w:val="nil"/>
              <w:bottom w:val="single" w:sz="4" w:space="0" w:color="auto"/>
              <w:right w:val="single" w:sz="4" w:space="0" w:color="auto"/>
            </w:tcBorders>
            <w:shd w:val="clear" w:color="000000" w:fill="C6EFCE"/>
            <w:noWrap/>
            <w:vAlign w:val="bottom"/>
            <w:hideMark/>
          </w:tcPr>
          <w:p w:rsidR="00FD1A45" w:rsidRPr="00CC4A07" w:rsidRDefault="00FD1A45" w:rsidP="00CC4A07">
            <w:pPr>
              <w:bidi w:val="0"/>
              <w:spacing w:after="0" w:line="180" w:lineRule="exact"/>
              <w:jc w:val="center"/>
              <w:rPr>
                <w:rFonts w:ascii="Calibri" w:eastAsia="Times New Roman" w:hAnsi="Calibri" w:cs="Calibri"/>
                <w:color w:val="006100"/>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High school score 70 to79.99</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335</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0.516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0.333</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0.699</w:t>
            </w:r>
          </w:p>
        </w:tc>
        <w:tc>
          <w:tcPr>
            <w:tcW w:w="1584" w:type="dxa"/>
            <w:tcBorders>
              <w:top w:val="nil"/>
              <w:left w:val="nil"/>
              <w:bottom w:val="single" w:sz="4" w:space="0" w:color="auto"/>
              <w:right w:val="single" w:sz="4" w:space="0" w:color="auto"/>
            </w:tcBorders>
            <w:shd w:val="clear" w:color="000000" w:fill="C6EFCE"/>
            <w:noWrap/>
            <w:vAlign w:val="bottom"/>
            <w:hideMark/>
          </w:tcPr>
          <w:p w:rsidR="00FD1A45" w:rsidRPr="00CC4A07" w:rsidRDefault="00FD1A45" w:rsidP="00CC4A07">
            <w:pPr>
              <w:bidi w:val="0"/>
              <w:spacing w:after="0" w:line="180" w:lineRule="exact"/>
              <w:jc w:val="center"/>
              <w:rPr>
                <w:rFonts w:ascii="Calibri" w:eastAsia="Times New Roman" w:hAnsi="Calibri" w:cs="Calibri"/>
                <w:color w:val="006100"/>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High school score 80 to 89.99</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786</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0.284</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0.144</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0.423</w:t>
            </w:r>
          </w:p>
        </w:tc>
        <w:tc>
          <w:tcPr>
            <w:tcW w:w="1584" w:type="dxa"/>
            <w:tcBorders>
              <w:top w:val="nil"/>
              <w:left w:val="nil"/>
              <w:bottom w:val="single" w:sz="4" w:space="0" w:color="auto"/>
              <w:right w:val="single" w:sz="4" w:space="0" w:color="auto"/>
            </w:tcBorders>
            <w:shd w:val="clear" w:color="000000" w:fill="FFC7CE"/>
            <w:noWrap/>
            <w:vAlign w:val="bottom"/>
            <w:hideMark/>
          </w:tcPr>
          <w:p w:rsidR="00FD1A45" w:rsidRPr="00CC4A07" w:rsidRDefault="00FD1A45" w:rsidP="00CC4A07">
            <w:pPr>
              <w:bidi w:val="0"/>
              <w:spacing w:after="0" w:line="180" w:lineRule="exact"/>
              <w:jc w:val="center"/>
              <w:rPr>
                <w:rFonts w:ascii="Calibri" w:eastAsia="Times New Roman" w:hAnsi="Calibri" w:cs="Calibri"/>
                <w:color w:val="9C0006"/>
                <w:sz w:val="20"/>
                <w:szCs w:val="20"/>
              </w:rPr>
            </w:pPr>
          </w:p>
        </w:tc>
      </w:tr>
      <w:tr w:rsidR="00CC4A07" w:rsidRPr="00C17676" w:rsidTr="00CE48A1">
        <w:trPr>
          <w:trHeight w:hRule="exact" w:val="216"/>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High school score 90 to 99.99</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bidi w:val="0"/>
              <w:spacing w:after="0" w:line="180" w:lineRule="exact"/>
              <w:jc w:val="center"/>
              <w:rPr>
                <w:rFonts w:ascii="Calibri" w:eastAsia="Times New Roman" w:hAnsi="Calibri" w:cs="Calibri"/>
                <w:color w:val="000000"/>
                <w:sz w:val="20"/>
                <w:szCs w:val="20"/>
              </w:rPr>
            </w:pPr>
            <w:r w:rsidRPr="00CC4A07">
              <w:rPr>
                <w:rFonts w:ascii="Calibri" w:eastAsia="Times New Roman" w:hAnsi="Calibri" w:cs="Calibri"/>
                <w:color w:val="000000"/>
                <w:sz w:val="20"/>
                <w:szCs w:val="20"/>
              </w:rPr>
              <w:t>937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-0.207</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-0.323</w:t>
            </w:r>
          </w:p>
        </w:tc>
        <w:tc>
          <w:tcPr>
            <w:tcW w:w="1584" w:type="dxa"/>
            <w:tcBorders>
              <w:top w:val="nil"/>
              <w:left w:val="nil"/>
              <w:bottom w:val="single" w:sz="4" w:space="0" w:color="auto"/>
              <w:right w:val="single" w:sz="4" w:space="0" w:color="auto"/>
            </w:tcBorders>
            <w:shd w:val="clear" w:color="auto" w:fill="auto"/>
            <w:noWrap/>
            <w:vAlign w:val="bottom"/>
            <w:hideMark/>
          </w:tcPr>
          <w:p w:rsidR="00FD1A45" w:rsidRPr="00CC4A07" w:rsidRDefault="00FD1A45" w:rsidP="00CC4A07">
            <w:pPr>
              <w:spacing w:line="180" w:lineRule="exact"/>
              <w:jc w:val="center"/>
              <w:rPr>
                <w:sz w:val="20"/>
                <w:szCs w:val="20"/>
              </w:rPr>
            </w:pPr>
            <w:r w:rsidRPr="00CC4A07">
              <w:rPr>
                <w:sz w:val="20"/>
                <w:szCs w:val="20"/>
              </w:rPr>
              <w:t>-0.091</w:t>
            </w:r>
          </w:p>
        </w:tc>
        <w:tc>
          <w:tcPr>
            <w:tcW w:w="1584" w:type="dxa"/>
            <w:tcBorders>
              <w:top w:val="nil"/>
              <w:left w:val="nil"/>
              <w:bottom w:val="single" w:sz="4" w:space="0" w:color="auto"/>
              <w:right w:val="single" w:sz="4" w:space="0" w:color="auto"/>
            </w:tcBorders>
            <w:shd w:val="clear" w:color="000000" w:fill="C6EFCE"/>
            <w:noWrap/>
            <w:vAlign w:val="bottom"/>
            <w:hideMark/>
          </w:tcPr>
          <w:p w:rsidR="00FD1A45" w:rsidRPr="00CC4A07" w:rsidRDefault="00FD1A45" w:rsidP="00CC4A07">
            <w:pPr>
              <w:bidi w:val="0"/>
              <w:spacing w:after="0" w:line="180" w:lineRule="exact"/>
              <w:jc w:val="center"/>
              <w:rPr>
                <w:rFonts w:ascii="Calibri" w:eastAsia="Times New Roman" w:hAnsi="Calibri" w:cs="Calibri"/>
                <w:color w:val="006100"/>
                <w:sz w:val="20"/>
                <w:szCs w:val="20"/>
              </w:rPr>
            </w:pPr>
          </w:p>
        </w:tc>
      </w:tr>
    </w:tbl>
    <w:p w:rsidR="00AB4854" w:rsidRDefault="00AB4854" w:rsidP="00FD1A45">
      <w:pPr>
        <w:bidi w:val="0"/>
        <w:spacing w:line="200" w:lineRule="exact"/>
        <w:rPr>
          <w:rFonts w:asciiTheme="majorBidi" w:hAnsiTheme="majorBidi" w:cstheme="majorBidi"/>
          <w:sz w:val="24"/>
          <w:szCs w:val="24"/>
          <w:rtl/>
          <w:lang w:bidi="ar-JO"/>
        </w:rPr>
      </w:pPr>
    </w:p>
    <w:p w:rsidR="00CE48A1" w:rsidRDefault="00CE48A1" w:rsidP="00CE48A1">
      <w:pPr>
        <w:bidi w:val="0"/>
        <w:spacing w:line="200" w:lineRule="exact"/>
        <w:rPr>
          <w:rFonts w:asciiTheme="majorBidi" w:hAnsiTheme="majorBidi" w:cstheme="majorBidi"/>
          <w:sz w:val="24"/>
          <w:szCs w:val="24"/>
          <w:rtl/>
          <w:lang w:bidi="ar-JO"/>
        </w:rPr>
      </w:pPr>
    </w:p>
    <w:p w:rsidR="00CE48A1" w:rsidRDefault="00CE48A1" w:rsidP="00CE48A1">
      <w:pPr>
        <w:bidi w:val="0"/>
        <w:spacing w:line="200" w:lineRule="exact"/>
        <w:rPr>
          <w:rFonts w:asciiTheme="majorBidi" w:hAnsiTheme="majorBidi" w:cstheme="majorBidi"/>
          <w:sz w:val="24"/>
          <w:szCs w:val="24"/>
          <w:rtl/>
          <w:lang w:bidi="ar-JO"/>
        </w:rPr>
      </w:pPr>
    </w:p>
    <w:p w:rsidR="00CE48A1" w:rsidRDefault="00CE48A1" w:rsidP="00CE48A1">
      <w:pPr>
        <w:bidi w:val="0"/>
        <w:spacing w:line="200" w:lineRule="exact"/>
        <w:rPr>
          <w:rFonts w:asciiTheme="majorBidi" w:hAnsiTheme="majorBidi" w:cstheme="majorBidi"/>
          <w:sz w:val="24"/>
          <w:szCs w:val="24"/>
          <w:rtl/>
          <w:lang w:bidi="ar-JO"/>
        </w:rPr>
      </w:pPr>
    </w:p>
    <w:p w:rsidR="0075672F" w:rsidRDefault="00CE48A1" w:rsidP="0075672F">
      <w:pPr>
        <w:bidi w:val="0"/>
        <w:spacing w:line="240" w:lineRule="auto"/>
        <w:rPr>
          <w:rFonts w:asciiTheme="majorBidi" w:hAnsiTheme="majorBidi" w:cstheme="majorBidi"/>
          <w:sz w:val="24"/>
          <w:szCs w:val="24"/>
          <w:rtl/>
          <w:lang w:bidi="ar-JO"/>
        </w:rPr>
      </w:pPr>
      <w:r w:rsidRPr="0075672F">
        <w:rPr>
          <w:rFonts w:asciiTheme="majorBidi" w:hAnsiTheme="majorBidi" w:cstheme="majorBidi"/>
          <w:b/>
          <w:bCs/>
          <w:sz w:val="24"/>
          <w:szCs w:val="24"/>
          <w:lang w:bidi="ar-JO"/>
        </w:rPr>
        <w:lastRenderedPageBreak/>
        <w:t>Figure A5.</w:t>
      </w:r>
      <w:r>
        <w:rPr>
          <w:rFonts w:asciiTheme="majorBidi" w:hAnsiTheme="majorBidi" w:cstheme="majorBidi"/>
          <w:sz w:val="24"/>
          <w:szCs w:val="24"/>
          <w:lang w:bidi="ar-JO"/>
        </w:rPr>
        <w:t xml:space="preserve"> </w:t>
      </w:r>
      <w:r w:rsidR="0075672F" w:rsidRPr="0075672F">
        <w:rPr>
          <w:rFonts w:asciiTheme="majorBidi" w:hAnsiTheme="majorBidi" w:cstheme="majorBidi"/>
          <w:b/>
          <w:bCs/>
          <w:sz w:val="24"/>
          <w:szCs w:val="24"/>
          <w:lang w:bidi="ar-JO"/>
        </w:rPr>
        <w:t>Standardized</w:t>
      </w:r>
      <w:r w:rsidR="0075672F">
        <w:rPr>
          <w:rFonts w:asciiTheme="majorBidi" w:hAnsiTheme="majorBidi" w:cstheme="majorBidi"/>
          <w:sz w:val="24"/>
          <w:szCs w:val="24"/>
          <w:lang w:bidi="ar-JO"/>
        </w:rPr>
        <w:t xml:space="preserve"> </w:t>
      </w:r>
      <w:r w:rsidR="0075672F" w:rsidRPr="007056E2">
        <w:rPr>
          <w:rFonts w:asciiTheme="majorBidi" w:hAnsiTheme="majorBidi" w:cstheme="majorBidi"/>
          <w:b/>
          <w:bCs/>
          <w:sz w:val="24"/>
          <w:szCs w:val="24"/>
        </w:rPr>
        <w:t>Subgroups effects of online versus face-to-face education.</w:t>
      </w:r>
      <w:r w:rsidR="0075672F" w:rsidRPr="007056E2">
        <w:rPr>
          <w:rFonts w:asciiTheme="majorBidi" w:hAnsiTheme="majorBidi" w:cstheme="majorBidi"/>
          <w:sz w:val="24"/>
          <w:szCs w:val="24"/>
        </w:rPr>
        <w:t xml:space="preserve"> The blue area represents the overall population average effect</w:t>
      </w:r>
      <w:r w:rsidR="0075672F">
        <w:rPr>
          <w:rFonts w:asciiTheme="majorBidi" w:hAnsiTheme="majorBidi" w:cstheme="majorBidi"/>
          <w:sz w:val="24"/>
          <w:szCs w:val="24"/>
        </w:rPr>
        <w:t xml:space="preserve"> (Standardized)</w:t>
      </w:r>
      <w:r w:rsidR="0075672F" w:rsidRPr="007056E2">
        <w:rPr>
          <w:rFonts w:asciiTheme="majorBidi" w:hAnsiTheme="majorBidi" w:cstheme="majorBidi"/>
          <w:sz w:val="24"/>
          <w:szCs w:val="24"/>
        </w:rPr>
        <w:t xml:space="preserve"> with its 95% confidence interval.</w:t>
      </w:r>
    </w:p>
    <w:p w:rsidR="00CE48A1" w:rsidRPr="00302190" w:rsidRDefault="0075672F" w:rsidP="0075672F">
      <w:pPr>
        <w:bidi w:val="0"/>
        <w:spacing w:line="240" w:lineRule="auto"/>
        <w:rPr>
          <w:rFonts w:asciiTheme="majorBidi" w:hAnsiTheme="majorBidi" w:cstheme="majorBidi"/>
          <w:sz w:val="24"/>
          <w:szCs w:val="24"/>
          <w:lang w:bidi="ar-JO"/>
        </w:rPr>
      </w:pPr>
      <w:r>
        <w:rPr>
          <w:rFonts w:asciiTheme="majorBidi" w:hAnsiTheme="majorBidi" w:cstheme="majorBidi"/>
          <w:noProof/>
          <w:sz w:val="24"/>
          <w:szCs w:val="24"/>
        </w:rPr>
        <w:drawing>
          <wp:inline distT="0" distB="0" distL="0" distR="0">
            <wp:extent cx="9009654" cy="5631180"/>
            <wp:effectExtent l="0" t="0" r="127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bgroups STANDARDIZE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10070" cy="5631440"/>
                    </a:xfrm>
                    <a:prstGeom prst="rect">
                      <a:avLst/>
                    </a:prstGeom>
                  </pic:spPr>
                </pic:pic>
              </a:graphicData>
            </a:graphic>
          </wp:inline>
        </w:drawing>
      </w:r>
      <w:r>
        <w:rPr>
          <w:rFonts w:asciiTheme="majorBidi" w:hAnsiTheme="majorBidi" w:cstheme="majorBidi"/>
          <w:sz w:val="24"/>
          <w:szCs w:val="24"/>
        </w:rPr>
        <w:br/>
      </w:r>
    </w:p>
    <w:sectPr w:rsidR="00CE48A1" w:rsidRPr="00302190" w:rsidSect="00263820">
      <w:pgSz w:w="16838" w:h="11906" w:orient="landscape"/>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8E8" w:rsidRDefault="009F78E8" w:rsidP="00263820">
      <w:pPr>
        <w:spacing w:after="0" w:line="240" w:lineRule="auto"/>
      </w:pPr>
      <w:r>
        <w:separator/>
      </w:r>
    </w:p>
  </w:endnote>
  <w:endnote w:type="continuationSeparator" w:id="0">
    <w:p w:rsidR="009F78E8" w:rsidRDefault="009F78E8" w:rsidP="00263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8E8" w:rsidRDefault="009F78E8" w:rsidP="00263820">
      <w:pPr>
        <w:spacing w:after="0" w:line="240" w:lineRule="auto"/>
      </w:pPr>
      <w:r>
        <w:separator/>
      </w:r>
    </w:p>
  </w:footnote>
  <w:footnote w:type="continuationSeparator" w:id="0">
    <w:p w:rsidR="009F78E8" w:rsidRDefault="009F78E8" w:rsidP="002638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A0B8C"/>
    <w:multiLevelType w:val="multilevel"/>
    <w:tmpl w:val="34DAD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CC"/>
    <w:rsid w:val="00004419"/>
    <w:rsid w:val="0012067B"/>
    <w:rsid w:val="001B1F52"/>
    <w:rsid w:val="00207AB1"/>
    <w:rsid w:val="00263820"/>
    <w:rsid w:val="00302190"/>
    <w:rsid w:val="003D35CC"/>
    <w:rsid w:val="00584C1E"/>
    <w:rsid w:val="005E2071"/>
    <w:rsid w:val="006E4747"/>
    <w:rsid w:val="0071291B"/>
    <w:rsid w:val="0075672F"/>
    <w:rsid w:val="00766986"/>
    <w:rsid w:val="00771694"/>
    <w:rsid w:val="00821D4C"/>
    <w:rsid w:val="008642B1"/>
    <w:rsid w:val="00875579"/>
    <w:rsid w:val="00946833"/>
    <w:rsid w:val="0095684F"/>
    <w:rsid w:val="00963786"/>
    <w:rsid w:val="009D15DA"/>
    <w:rsid w:val="009F3856"/>
    <w:rsid w:val="009F78E8"/>
    <w:rsid w:val="00A7248C"/>
    <w:rsid w:val="00AB4854"/>
    <w:rsid w:val="00AF5384"/>
    <w:rsid w:val="00AF77EA"/>
    <w:rsid w:val="00B07435"/>
    <w:rsid w:val="00B85D2E"/>
    <w:rsid w:val="00B9673C"/>
    <w:rsid w:val="00C17676"/>
    <w:rsid w:val="00C47AD7"/>
    <w:rsid w:val="00C75DFD"/>
    <w:rsid w:val="00CB46AF"/>
    <w:rsid w:val="00CC495B"/>
    <w:rsid w:val="00CC4A07"/>
    <w:rsid w:val="00CE48A1"/>
    <w:rsid w:val="00D01B73"/>
    <w:rsid w:val="00D227F9"/>
    <w:rsid w:val="00D40D15"/>
    <w:rsid w:val="00D84C16"/>
    <w:rsid w:val="00D9737C"/>
    <w:rsid w:val="00E82E94"/>
    <w:rsid w:val="00EB44C5"/>
    <w:rsid w:val="00EF78A5"/>
    <w:rsid w:val="00FC2033"/>
    <w:rsid w:val="00FD1A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0E41C"/>
  <w15:chartTrackingRefBased/>
  <w15:docId w15:val="{3CE44D6E-3F2A-4E31-9685-DE0F0516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82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3820"/>
  </w:style>
  <w:style w:type="paragraph" w:styleId="Footer">
    <w:name w:val="footer"/>
    <w:basedOn w:val="Normal"/>
    <w:link w:val="FooterChar"/>
    <w:uiPriority w:val="99"/>
    <w:unhideWhenUsed/>
    <w:rsid w:val="002638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3820"/>
  </w:style>
  <w:style w:type="table" w:styleId="TableGrid">
    <w:name w:val="Table Grid"/>
    <w:basedOn w:val="TableNormal"/>
    <w:uiPriority w:val="39"/>
    <w:rsid w:val="00207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4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7F2F8-1C71-49AD-BD50-1FAAED624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7</Pages>
  <Words>1384</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17</cp:revision>
  <dcterms:created xsi:type="dcterms:W3CDTF">2025-05-15T09:54:00Z</dcterms:created>
  <dcterms:modified xsi:type="dcterms:W3CDTF">2025-11-09T11:58:00Z</dcterms:modified>
</cp:coreProperties>
</file>