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5083F" w14:textId="77777777" w:rsidR="00C40682" w:rsidRDefault="00C40682" w:rsidP="00C40682">
      <w:pPr>
        <w:rPr>
          <w:rFonts w:hint="eastAsia"/>
        </w:rPr>
      </w:pPr>
    </w:p>
    <w:p w14:paraId="115A3188" w14:textId="77777777" w:rsidR="00C40682" w:rsidRPr="00C03792" w:rsidRDefault="00C40682" w:rsidP="00C40682">
      <w:pPr>
        <w:widowControl/>
        <w:ind w:firstLine="420"/>
        <w:jc w:val="center"/>
        <w:textAlignment w:val="center"/>
        <w:rPr>
          <w:rFonts w:ascii="Times New Roman" w:hAnsi="Times New Roman" w:cs="Times New Roman"/>
          <w:color w:val="000000"/>
          <w:kern w:val="0"/>
          <w:sz w:val="20"/>
          <w:szCs w:val="20"/>
          <w:lang w:bidi="ar"/>
        </w:rPr>
      </w:pPr>
      <w:r w:rsidRPr="008F382F">
        <w:rPr>
          <w:rFonts w:ascii="Times New Roman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Supplementary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 xml:space="preserve"> </w:t>
      </w:r>
      <w:r w:rsidRPr="00C03792"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1</w:t>
      </w:r>
      <w:r>
        <w:rPr>
          <w:rFonts w:ascii="Times New Roman" w:hAnsi="Times New Roman" w:cs="Times New Roman" w:hint="eastAsia"/>
          <w:color w:val="000000"/>
          <w:kern w:val="0"/>
          <w:sz w:val="20"/>
          <w:szCs w:val="20"/>
          <w:lang w:bidi="ar"/>
        </w:rPr>
        <w:t>.</w:t>
      </w:r>
      <w:r w:rsidRPr="00C03792">
        <w:rPr>
          <w:rFonts w:ascii="Times New Roman" w:hAnsi="Times New Roman" w:cs="Times New Roman"/>
          <w:color w:val="000000"/>
          <w:kern w:val="0"/>
          <w:sz w:val="20"/>
          <w:szCs w:val="20"/>
          <w:lang w:bidi="ar"/>
        </w:rPr>
        <w:t xml:space="preserve"> Statistics of traditional villages in the city</w:t>
      </w:r>
    </w:p>
    <w:tbl>
      <w:tblPr>
        <w:tblStyle w:val="af2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67"/>
        <w:gridCol w:w="992"/>
        <w:gridCol w:w="567"/>
        <w:gridCol w:w="850"/>
        <w:gridCol w:w="1134"/>
        <w:gridCol w:w="1210"/>
        <w:gridCol w:w="1058"/>
        <w:gridCol w:w="567"/>
        <w:gridCol w:w="850"/>
        <w:gridCol w:w="1134"/>
      </w:tblGrid>
      <w:tr w:rsidR="00C40682" w14:paraId="20D33089" w14:textId="77777777" w:rsidTr="00FB5CDA">
        <w:trPr>
          <w:trHeight w:val="522"/>
          <w:jc w:val="center"/>
        </w:trPr>
        <w:tc>
          <w:tcPr>
            <w:tcW w:w="1209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DD50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rFonts w:eastAsiaTheme="minorEastAsia"/>
                <w:b/>
                <w:bCs/>
                <w:sz w:val="15"/>
                <w:szCs w:val="15"/>
              </w:rPr>
              <w:t>Name</w:t>
            </w:r>
          </w:p>
        </w:tc>
        <w:tc>
          <w:tcPr>
            <w:tcW w:w="1059" w:type="dxa"/>
            <w:gridSpan w:val="2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14AA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Number of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 </w:t>
            </w:r>
            <w:r w:rsidRPr="00A60347">
              <w:rPr>
                <w:b/>
                <w:bCs/>
                <w:sz w:val="15"/>
                <w:szCs w:val="15"/>
              </w:rPr>
              <w:t>villages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85FC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Rank</w:t>
            </w:r>
            <w:r>
              <w:rPr>
                <w:rFonts w:hint="eastAsia"/>
                <w:b/>
                <w:bCs/>
                <w:sz w:val="15"/>
                <w:szCs w:val="15"/>
              </w:rPr>
              <w:t>ing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18A5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Percentage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54C5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Cumulative percentage</w:t>
            </w:r>
          </w:p>
        </w:tc>
        <w:tc>
          <w:tcPr>
            <w:tcW w:w="1210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F9D0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City</w:t>
            </w:r>
          </w:p>
        </w:tc>
        <w:tc>
          <w:tcPr>
            <w:tcW w:w="1058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57CA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Number of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 </w:t>
            </w:r>
            <w:r w:rsidRPr="00A60347">
              <w:rPr>
                <w:b/>
                <w:bCs/>
                <w:sz w:val="15"/>
                <w:szCs w:val="15"/>
              </w:rPr>
              <w:t>villages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8ED7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Rank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9943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Percentage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684E" w14:textId="77777777" w:rsidR="00C40682" w:rsidRPr="00A60347" w:rsidRDefault="00C40682" w:rsidP="00FB5CDA">
            <w:pPr>
              <w:jc w:val="center"/>
              <w:rPr>
                <w:b/>
                <w:bCs/>
                <w:sz w:val="15"/>
                <w:szCs w:val="15"/>
              </w:rPr>
            </w:pPr>
            <w:r w:rsidRPr="00A60347">
              <w:rPr>
                <w:b/>
                <w:bCs/>
                <w:sz w:val="15"/>
                <w:szCs w:val="15"/>
              </w:rPr>
              <w:t>Cumulative percentage</w:t>
            </w:r>
          </w:p>
        </w:tc>
      </w:tr>
      <w:tr w:rsidR="00C40682" w:rsidRPr="00537A32" w14:paraId="6940916D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B416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Jincheng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A94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185</w:t>
            </w:r>
          </w:p>
        </w:tc>
        <w:tc>
          <w:tcPr>
            <w:tcW w:w="567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CBB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C03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13.87%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E9E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13.87%</w:t>
            </w:r>
          </w:p>
        </w:tc>
        <w:tc>
          <w:tcPr>
            <w:tcW w:w="1210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DF92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Jining</w:t>
            </w:r>
          </w:p>
        </w:tc>
        <w:tc>
          <w:tcPr>
            <w:tcW w:w="1058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BFE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14</w:t>
            </w:r>
          </w:p>
        </w:tc>
        <w:tc>
          <w:tcPr>
            <w:tcW w:w="567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CEE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24</w:t>
            </w:r>
          </w:p>
        </w:tc>
        <w:tc>
          <w:tcPr>
            <w:tcW w:w="850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EA9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1.04%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2E7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92.71%</w:t>
            </w:r>
          </w:p>
        </w:tc>
      </w:tr>
      <w:tr w:rsidR="00C40682" w:rsidRPr="00537A32" w14:paraId="42399693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6D17E8A6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Jinzhong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945114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9B4BD1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5C5FAB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6.84%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72FE12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20.71%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42DE32A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Nanyang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6149BFB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54D2FF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24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D35F81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1.04%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A7A55C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93.75%</w:t>
            </w:r>
          </w:p>
        </w:tc>
      </w:tr>
      <w:tr w:rsidR="00C40682" w:rsidRPr="00537A32" w14:paraId="24E55208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365252C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</w:rPr>
              <w:t>Changzhi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F3F74A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06B70B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4CF862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5.85%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85A5B1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26.56%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D6446E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Shuozhou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7B021BA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AEBFE4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A85F82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0.89%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08CCEC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94.64%</w:t>
            </w:r>
          </w:p>
        </w:tc>
      </w:tr>
      <w:tr w:rsidR="00C40682" w:rsidRPr="00537A32" w14:paraId="710B6160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0C88B70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Xingtai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3E345C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F8341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CF31FB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5.63%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6145C5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32.19%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6282E22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Zhengzhou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6E7E99B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DC6A7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7EBF38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0.89%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1EA354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95.53%</w:t>
            </w:r>
          </w:p>
        </w:tc>
      </w:tr>
      <w:tr w:rsidR="00C40682" w:rsidRPr="00537A32" w14:paraId="3E7CCCD3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5CA385A0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</w:rPr>
              <w:t>Lvliang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84A3EB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55BCE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B3D383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5.63%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6A1B22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37.82%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643D4448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Weifang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1D71797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4E898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0FDCC3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0.44%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390363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95.97%</w:t>
            </w:r>
          </w:p>
        </w:tc>
      </w:tr>
      <w:tr w:rsidR="00C40682" w:rsidRPr="00537A32" w14:paraId="3E6B821A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54CA8342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Shijiazhuang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81A553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4306F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76E838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4.50%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05B79C9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42.32%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6FFE430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Xuchang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085F953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ECB8C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57A451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0.44%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EB8B10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96.41%</w:t>
            </w:r>
          </w:p>
        </w:tc>
      </w:tr>
      <w:tr w:rsidR="00C40682" w:rsidRPr="00537A32" w14:paraId="6574332C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3D6AFA5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Zhangjiakou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C12756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59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2DF6A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D5C84D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4.43%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161F99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46.75%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36B1C20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Taian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5C6D065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D983CB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45E633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0.38%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41219C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96.79%</w:t>
            </w:r>
          </w:p>
        </w:tc>
      </w:tr>
      <w:tr w:rsidR="00C40682" w:rsidRPr="00537A32" w14:paraId="77672F26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35DC0231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Handan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44CD82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0D65E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40A191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4.20%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270811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50.95%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5114EFA6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Qingdao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2B3A982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EC231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B0B7DD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0.38%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2E7F32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97.17%</w:t>
            </w:r>
          </w:p>
        </w:tc>
      </w:tr>
      <w:tr w:rsidR="00C40682" w:rsidRPr="00537A32" w14:paraId="180BE035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4C88AFCD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Yangquan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2CD340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550A66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20BFB4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3.83%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0B2DDE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54.78%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08F7D957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Rizhao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275990B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1243A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1B94E5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0.38%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CFEDA5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97.55%</w:t>
            </w:r>
          </w:p>
        </w:tc>
      </w:tr>
      <w:tr w:rsidR="00C40682" w:rsidRPr="00537A32" w14:paraId="10370C3F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AA50123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Linfen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72951D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3477F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2EA618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3.75%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04AC06A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58.53%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56881E9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  <w:lang w:bidi="ar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Tangshan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3F0B671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37ED97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4686FB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0.38%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593552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97.93%</w:t>
            </w:r>
          </w:p>
        </w:tc>
      </w:tr>
      <w:tr w:rsidR="00C40682" w:rsidRPr="00537A32" w14:paraId="78C8BF0D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2ADD7427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Pingdingshan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CBDB68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37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51092B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7D9545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2.78%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786647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61.31%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9C97D59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r w:rsidRPr="00537A32">
              <w:rPr>
                <w:sz w:val="15"/>
                <w:szCs w:val="15"/>
              </w:rPr>
              <w:t>Taiyuan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41DAC83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402D8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28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61EEFA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0.30%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BDBC2B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98.23%</w:t>
            </w:r>
          </w:p>
        </w:tc>
      </w:tr>
      <w:tr w:rsidR="00C40682" w:rsidRPr="00537A32" w14:paraId="168B767F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48564777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Luoyang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1006FE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8D0E7C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1596DE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2.55%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ED9127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63.86%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48A5AB1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Liaocheng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16A119C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659B6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29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E0801F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0.22%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440D72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98.45%</w:t>
            </w:r>
          </w:p>
        </w:tc>
      </w:tr>
      <w:tr w:rsidR="00C40682" w:rsidRPr="00537A32" w14:paraId="559DE48E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7F4DB2DC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Xinyang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2D3A21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BFF775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29357D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2.48%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99ED04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66.34%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4CA89AC4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Puyang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7B4637C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D6C0A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29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CAAC8E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0.22%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EEAED4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98.67%</w:t>
            </w:r>
          </w:p>
        </w:tc>
      </w:tr>
      <w:tr w:rsidR="00C40682" w:rsidRPr="00537A32" w14:paraId="4EB5004C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25561007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Anyang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1B19A5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57B8FA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04266B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2.48%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E6B2FA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68.82%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110FEB3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r w:rsidRPr="00537A32">
              <w:rPr>
                <w:sz w:val="15"/>
                <w:szCs w:val="15"/>
              </w:rPr>
              <w:t>Heze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340806C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F99DF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D2F09F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009E29C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98.82%</w:t>
            </w:r>
          </w:p>
        </w:tc>
      </w:tr>
      <w:tr w:rsidR="00C40682" w:rsidRPr="00537A32" w14:paraId="2F6B25B9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0D93104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Xinzhou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73A176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9FD58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0CF8E7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2.40%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599065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71.22%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A95A174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Laiwu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595FDB8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D756B3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C9FC88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08DD5DF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98.97%</w:t>
            </w:r>
          </w:p>
        </w:tc>
      </w:tr>
      <w:tr w:rsidR="00C40682" w:rsidRPr="00537A32" w14:paraId="7B2C94C7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3C93053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Sanmenxia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F3D0FF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9A348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14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ADEB32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2.25%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C8BC64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73.47%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9421C82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r w:rsidRPr="00537A32">
              <w:rPr>
                <w:sz w:val="15"/>
                <w:szCs w:val="15"/>
              </w:rPr>
              <w:t>Chengde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684C801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DADC8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C4B0FA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6A3F64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99.12%</w:t>
            </w:r>
          </w:p>
        </w:tc>
      </w:tr>
      <w:tr w:rsidR="00C40682" w:rsidRPr="00537A32" w14:paraId="2DE6D129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785487F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  <w:lang w:bidi="ar"/>
              </w:rPr>
              <w:t>Zibo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DF0B0F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29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5C21AB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288E68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2.18%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8FFC9E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75.65%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7F1004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r w:rsidRPr="00537A32">
              <w:rPr>
                <w:sz w:val="15"/>
                <w:szCs w:val="15"/>
              </w:rPr>
              <w:t>Qinhuangdao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13A566F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B6BAEC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D1DDA9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D57D72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99.27%</w:t>
            </w:r>
          </w:p>
        </w:tc>
      </w:tr>
      <w:tr w:rsidR="00C40682" w:rsidRPr="00537A32" w14:paraId="4EB59126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0AF2D675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</w:rPr>
              <w:t>Hebi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11A01B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29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DBFF68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15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861BCB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2.18%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8907A6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77.83%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09B408A0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Jiyuan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5ABBA1B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B38B1A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904B71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4F0388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99.42%</w:t>
            </w:r>
          </w:p>
        </w:tc>
      </w:tr>
      <w:tr w:rsidR="00C40682" w:rsidRPr="00537A32" w14:paraId="5404F392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268E2D2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Yantai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768176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F568E2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6984FC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2.09%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C3A38F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79.92%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0A79513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Zhumadian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580EC8B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A3764B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A1F452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2CABC08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99.57%</w:t>
            </w:r>
          </w:p>
        </w:tc>
      </w:tr>
      <w:tr w:rsidR="00C40682" w:rsidRPr="00537A32" w14:paraId="4285641C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5D0118A8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Jinan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E1BBF1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7EE24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17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3BC4AA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1.65%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9881E9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81.57%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60961F1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Shangqiu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00FF160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4FD866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D18FDA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0.15%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2C88AE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99.72%</w:t>
            </w:r>
          </w:p>
        </w:tc>
      </w:tr>
      <w:tr w:rsidR="00C40682" w:rsidRPr="00537A32" w14:paraId="3E2E0972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25E55C0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Yuncheng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80C567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5E7B3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18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FA987E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1.58%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5CEA49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83.15%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38D3DB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Hengshui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0C86C31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8F8441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75A142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0.07%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5C4138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99.79%</w:t>
            </w:r>
          </w:p>
        </w:tc>
      </w:tr>
      <w:tr w:rsidR="00C40682" w:rsidRPr="00537A32" w14:paraId="3722B316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072D275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Datong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A4C098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19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166BB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19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12F25F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1.43%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8D16B4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84.58%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50E3447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Zhoukou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5CF8506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31334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388AC3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0.07%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4D43A52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99.86%</w:t>
            </w:r>
          </w:p>
        </w:tc>
      </w:tr>
      <w:tr w:rsidR="00C40682" w:rsidRPr="00537A32" w14:paraId="75AF8EE6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493D3380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Jiaozuo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BED8D8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5BD16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20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47C65C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1.35%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35A7B8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85.93%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514104BD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Luohe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465FB0A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00A043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B5169C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0.07%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D5309E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99.93%</w:t>
            </w:r>
          </w:p>
        </w:tc>
      </w:tr>
      <w:tr w:rsidR="00C40682" w:rsidRPr="00537A32" w14:paraId="48C7B36C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6B09FF5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Weihai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996B60D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17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D3092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C12334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1.27%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5146AB3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87.20%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F228D09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r w:rsidRPr="00537A32">
              <w:rPr>
                <w:sz w:val="15"/>
                <w:szCs w:val="15"/>
              </w:rPr>
              <w:t>Kaifeng</w:t>
            </w:r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0B894D0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5C558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A49723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0.07%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EB033F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100%</w:t>
            </w:r>
          </w:p>
        </w:tc>
      </w:tr>
      <w:tr w:rsidR="00C40682" w:rsidRPr="00537A32" w14:paraId="18C2E154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303B24C1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Xinxiang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7FDD6E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0295C9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DD2DBF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1.19%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D4C450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88.39%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3201ECC6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Cangzhou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0EE534B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24CAB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31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082A89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F89E92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100%</w:t>
            </w:r>
          </w:p>
        </w:tc>
      </w:tr>
      <w:tr w:rsidR="00C40682" w:rsidRPr="00537A32" w14:paraId="4F7358FA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074B0ABE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Linyi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4E7C97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B293ED7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85C78B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1.12%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3E8F4684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89.51%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991077A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Dezhou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6BD89EC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4FE86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4935C35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64453E4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100%</w:t>
            </w:r>
          </w:p>
        </w:tc>
      </w:tr>
      <w:tr w:rsidR="00C40682" w:rsidRPr="00537A32" w14:paraId="59B4C8D1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7293C39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r w:rsidRPr="00537A32">
              <w:rPr>
                <w:color w:val="0D0D0D" w:themeColor="text1" w:themeTint="F2"/>
                <w:sz w:val="15"/>
                <w:szCs w:val="15"/>
              </w:rPr>
              <w:t>Baoding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3F82289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51B4B8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68EAD3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1.12%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A98F86C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90.63%</w:t>
            </w:r>
          </w:p>
        </w:tc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97EFE74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Binzhou</w:t>
            </w:r>
            <w:proofErr w:type="spellEnd"/>
          </w:p>
        </w:tc>
        <w:tc>
          <w:tcPr>
            <w:tcW w:w="1058" w:type="dxa"/>
            <w:tcMar>
              <w:left w:w="0" w:type="dxa"/>
              <w:right w:w="0" w:type="dxa"/>
            </w:tcMar>
            <w:vAlign w:val="center"/>
          </w:tcPr>
          <w:p w14:paraId="17F4A353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2A724F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32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A6FFB4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0.00%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750847BB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100%</w:t>
            </w:r>
          </w:p>
        </w:tc>
      </w:tr>
      <w:tr w:rsidR="00C40682" w:rsidRPr="00537A32" w14:paraId="2D547458" w14:textId="77777777" w:rsidTr="00FB5CDA">
        <w:trPr>
          <w:trHeight w:val="336"/>
          <w:jc w:val="center"/>
        </w:trPr>
        <w:tc>
          <w:tcPr>
            <w:tcW w:w="1276" w:type="dxa"/>
            <w:gridSpan w:val="2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EBBF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color w:val="0D0D0D" w:themeColor="text1" w:themeTint="F2"/>
                <w:sz w:val="15"/>
                <w:szCs w:val="15"/>
              </w:rPr>
            </w:pPr>
            <w:proofErr w:type="spellStart"/>
            <w:r w:rsidRPr="00537A32">
              <w:rPr>
                <w:color w:val="0D0D0D" w:themeColor="text1" w:themeTint="F2"/>
                <w:sz w:val="15"/>
                <w:szCs w:val="15"/>
              </w:rPr>
              <w:t>Zaozhuang</w:t>
            </w:r>
            <w:proofErr w:type="spellEnd"/>
          </w:p>
        </w:tc>
        <w:tc>
          <w:tcPr>
            <w:tcW w:w="992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AE7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E2C6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24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BF5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1.04%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43CA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91.67%</w:t>
            </w:r>
          </w:p>
        </w:tc>
        <w:tc>
          <w:tcPr>
            <w:tcW w:w="121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9386" w14:textId="77777777" w:rsidR="00C40682" w:rsidRPr="00537A32" w:rsidRDefault="00C40682" w:rsidP="00FB5CDA">
            <w:pPr>
              <w:widowControl/>
              <w:ind w:firstLine="300"/>
              <w:textAlignment w:val="center"/>
              <w:rPr>
                <w:sz w:val="15"/>
                <w:szCs w:val="15"/>
              </w:rPr>
            </w:pPr>
            <w:proofErr w:type="spellStart"/>
            <w:r w:rsidRPr="00537A32">
              <w:rPr>
                <w:sz w:val="15"/>
                <w:szCs w:val="15"/>
              </w:rPr>
              <w:t>Dongying</w:t>
            </w:r>
            <w:proofErr w:type="spellEnd"/>
          </w:p>
        </w:tc>
        <w:tc>
          <w:tcPr>
            <w:tcW w:w="1058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27D1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2FE0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32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91FE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0.00%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B382" w14:textId="77777777" w:rsidR="00C40682" w:rsidRPr="00537A32" w:rsidRDefault="00C40682" w:rsidP="00FB5CDA">
            <w:pPr>
              <w:widowControl/>
              <w:jc w:val="center"/>
              <w:textAlignment w:val="center"/>
              <w:rPr>
                <w:sz w:val="15"/>
                <w:szCs w:val="15"/>
                <w:lang w:bidi="ar"/>
              </w:rPr>
            </w:pPr>
            <w:r w:rsidRPr="00537A32">
              <w:rPr>
                <w:rFonts w:eastAsiaTheme="minorEastAsia"/>
                <w:sz w:val="15"/>
                <w:szCs w:val="15"/>
                <w:lang w:bidi="ar"/>
              </w:rPr>
              <w:t>100%</w:t>
            </w:r>
          </w:p>
        </w:tc>
      </w:tr>
    </w:tbl>
    <w:p w14:paraId="1C002006" w14:textId="77777777" w:rsidR="00C40682" w:rsidRDefault="00C40682" w:rsidP="00C40682">
      <w:pPr>
        <w:rPr>
          <w:rFonts w:hint="eastAsia"/>
        </w:rPr>
      </w:pPr>
    </w:p>
    <w:p w14:paraId="4BD947AB" w14:textId="77777777" w:rsidR="00C40682" w:rsidRPr="002B3E1E" w:rsidRDefault="00C40682" w:rsidP="00C40682">
      <w:pPr>
        <w:pStyle w:val="MDPI41tablecaption"/>
        <w:rPr>
          <w:lang w:eastAsia="zh-CN"/>
        </w:rPr>
      </w:pPr>
      <w:r w:rsidRPr="008F382F">
        <w:rPr>
          <w:rFonts w:ascii="Times New Roman" w:hAnsi="Times New Roman" w:cs="Times New Roman" w:hint="eastAsia"/>
          <w:b/>
          <w:bCs/>
          <w:kern w:val="0"/>
          <w:sz w:val="20"/>
          <w:szCs w:val="20"/>
          <w:lang w:bidi="ar"/>
        </w:rPr>
        <w:t>Supplementary</w:t>
      </w:r>
      <w:r w:rsidRPr="00B65D0C">
        <w:rPr>
          <w:b/>
        </w:rPr>
        <w:t xml:space="preserve"> Table </w:t>
      </w:r>
      <w:r>
        <w:rPr>
          <w:rFonts w:eastAsiaTheme="minorEastAsia" w:hint="eastAsia"/>
          <w:b/>
          <w:lang w:eastAsia="zh-CN"/>
        </w:rPr>
        <w:t>2</w:t>
      </w:r>
      <w:r w:rsidRPr="00B65D0C">
        <w:rPr>
          <w:b/>
        </w:rPr>
        <w:t xml:space="preserve">. </w:t>
      </w:r>
      <w:r w:rsidRPr="002B3E1E">
        <w:t>Spatial analysis research methods.</w:t>
      </w:r>
    </w:p>
    <w:tbl>
      <w:tblPr>
        <w:tblW w:w="1046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185"/>
        <w:gridCol w:w="5295"/>
      </w:tblGrid>
      <w:tr w:rsidR="00C40682" w:rsidRPr="002B3E1E" w14:paraId="135C4ADC" w14:textId="77777777" w:rsidTr="00FB5CDA">
        <w:trPr>
          <w:jc w:val="center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99F3B84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b/>
                <w:color w:val="auto"/>
                <w:lang w:eastAsia="zh-CN"/>
              </w:rPr>
            </w:pPr>
            <w:r w:rsidRPr="002B3E1E">
              <w:rPr>
                <w:b/>
                <w:snapToGrid/>
                <w:color w:val="auto"/>
              </w:rPr>
              <w:t>Analytical Methods</w:t>
            </w:r>
          </w:p>
        </w:tc>
        <w:tc>
          <w:tcPr>
            <w:tcW w:w="3185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CBB3356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b/>
                <w:snapToGrid/>
                <w:color w:val="auto"/>
                <w:lang w:eastAsia="zh-CN"/>
              </w:rPr>
            </w:pPr>
            <w:r w:rsidRPr="002B3E1E">
              <w:rPr>
                <w:rFonts w:hint="eastAsia"/>
                <w:b/>
                <w:snapToGrid/>
                <w:color w:val="auto"/>
                <w:lang w:eastAsia="zh-CN"/>
              </w:rPr>
              <w:t>F</w:t>
            </w:r>
            <w:r w:rsidRPr="002B3E1E">
              <w:rPr>
                <w:rFonts w:hint="eastAsia"/>
                <w:b/>
                <w:snapToGrid/>
                <w:color w:val="auto"/>
              </w:rPr>
              <w:t>ormula</w:t>
            </w:r>
          </w:p>
        </w:tc>
        <w:tc>
          <w:tcPr>
            <w:tcW w:w="5295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4AD31CC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b/>
                <w:snapToGrid/>
                <w:color w:val="auto"/>
                <w:lang w:eastAsia="zh-CN"/>
              </w:rPr>
            </w:pPr>
            <w:r w:rsidRPr="002B3E1E">
              <w:rPr>
                <w:rFonts w:hint="eastAsia"/>
                <w:b/>
                <w:snapToGrid/>
                <w:color w:val="auto"/>
                <w:lang w:eastAsia="zh-CN"/>
              </w:rPr>
              <w:t>Formula Description</w:t>
            </w:r>
          </w:p>
        </w:tc>
      </w:tr>
      <w:tr w:rsidR="00C40682" w:rsidRPr="002B3E1E" w14:paraId="1991A347" w14:textId="77777777" w:rsidTr="00FB5CDA">
        <w:trPr>
          <w:jc w:val="center"/>
        </w:trPr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B0950A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</w:rPr>
            </w:pPr>
            <w:r w:rsidRPr="002B3E1E">
              <w:rPr>
                <w:color w:val="auto"/>
                <w:lang w:eastAsia="zh-CN"/>
              </w:rPr>
              <w:t>Nearest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Neighbor Index (NNI)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528689" w14:textId="77777777" w:rsidR="00C40682" w:rsidRPr="004D2D5A" w:rsidRDefault="00C40682" w:rsidP="00FB5CDA">
            <w:pPr>
              <w:pStyle w:val="MDPI42tablebody"/>
              <w:autoSpaceDE w:val="0"/>
              <w:autoSpaceDN w:val="0"/>
              <w:rPr>
                <w:rFonts w:eastAsiaTheme="minorEastAsia"/>
                <w:color w:val="auto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 xml:space="preserve">R= </m:t>
              </m:r>
              <m:f>
                <m:f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γ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γ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E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>=2</m:t>
              </m:r>
              <m:rad>
                <m:radPr>
                  <m:degHide m:val="1"/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D</m:t>
                  </m:r>
                </m:e>
              </m:rad>
            </m:oMath>
            <w:r w:rsidRPr="002B3E1E">
              <w:rPr>
                <w:color w:val="auto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auto"/>
                <w:lang w:eastAsia="zh-CN"/>
              </w:rPr>
              <w:t>(1)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0010CF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left"/>
              <w:rPr>
                <w:color w:val="auto"/>
                <w:lang w:eastAsia="zh-CN"/>
              </w:rPr>
            </w:pPr>
            <m:oMath>
              <m:sSub>
                <m:sSub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E</m:t>
                  </m:r>
                </m:sub>
              </m:sSub>
            </m:oMath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is the average theoretical nearest neighbor distance,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γ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1</m:t>
                  </m:r>
                </m:sub>
              </m:sSub>
            </m:oMath>
            <w:r w:rsidRPr="002B3E1E">
              <w:rPr>
                <w:rFonts w:hint="eastAsia"/>
                <w:color w:val="auto"/>
                <w:lang w:eastAsia="zh-CN"/>
              </w:rPr>
              <w:t xml:space="preserve"> r</w:t>
            </w:r>
            <w:proofErr w:type="spellStart"/>
            <w:r w:rsidRPr="002B3E1E">
              <w:rPr>
                <w:color w:val="auto"/>
                <w:lang w:eastAsia="zh-CN"/>
              </w:rPr>
              <w:t>epresents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the actual nearest neighbor distance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, </w:t>
            </w:r>
            <w:r w:rsidRPr="002B3E1E">
              <w:rPr>
                <w:color w:val="auto"/>
                <w:lang w:eastAsia="zh-CN"/>
              </w:rPr>
              <w:t xml:space="preserve">and 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D </w:t>
            </w:r>
            <w:r w:rsidRPr="002B3E1E">
              <w:rPr>
                <w:color w:val="auto"/>
                <w:lang w:eastAsia="zh-CN"/>
              </w:rPr>
              <w:t>is the point density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. </w:t>
            </w:r>
            <w:r w:rsidRPr="002B3E1E">
              <w:rPr>
                <w:color w:val="auto"/>
                <w:lang w:eastAsia="zh-CN"/>
              </w:rPr>
              <w:t>The distribution of points can be divided into three states: uniform, random, and clustered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. </w:t>
            </w:r>
            <w:r w:rsidRPr="002B3E1E">
              <w:rPr>
                <w:color w:val="auto"/>
                <w:lang w:eastAsia="zh-CN"/>
              </w:rPr>
              <w:t>W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hen R = 1, </w:t>
            </w:r>
            <w:r w:rsidRPr="002B3E1E">
              <w:rPr>
                <w:color w:val="auto"/>
                <w:lang w:eastAsia="zh-CN"/>
              </w:rPr>
              <w:t>the distances between the points are neither too uniform nor too clustered, showing a random pattern;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when R &gt; 1, </w:t>
            </w:r>
            <w:r w:rsidRPr="002B3E1E">
              <w:rPr>
                <w:color w:val="auto"/>
                <w:lang w:eastAsia="zh-CN"/>
              </w:rPr>
              <w:t xml:space="preserve">the distances between the indicated points show a uniform </w:t>
            </w:r>
            <w:r w:rsidRPr="002B3E1E">
              <w:rPr>
                <w:color w:val="auto"/>
                <w:lang w:eastAsia="zh-CN"/>
              </w:rPr>
              <w:lastRenderedPageBreak/>
              <w:t>pattern;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when</w:t>
            </w:r>
            <w:r w:rsidRPr="002B3E1E">
              <w:rPr>
                <w:rFonts w:eastAsiaTheme="minorEastAsia" w:hint="eastAsia"/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R &lt; 1, </w:t>
            </w:r>
            <w:r w:rsidRPr="002B3E1E">
              <w:rPr>
                <w:color w:val="auto"/>
                <w:lang w:eastAsia="zh-CN"/>
              </w:rPr>
              <w:t>the distances between the indicated points show a clustering pattern.</w:t>
            </w:r>
          </w:p>
        </w:tc>
      </w:tr>
      <w:tr w:rsidR="00C40682" w:rsidRPr="002B3E1E" w14:paraId="634D3DEE" w14:textId="77777777" w:rsidTr="00FB5CD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31989D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</w:rPr>
            </w:pPr>
            <w:r w:rsidRPr="002B3E1E">
              <w:rPr>
                <w:color w:val="auto"/>
                <w:lang w:eastAsia="zh-CN"/>
              </w:rPr>
              <w:lastRenderedPageBreak/>
              <w:t xml:space="preserve">Kernel Density Estimation </w:t>
            </w:r>
            <w:r w:rsidRPr="002B3E1E">
              <w:rPr>
                <w:rFonts w:hint="eastAsia"/>
                <w:color w:val="auto"/>
                <w:lang w:eastAsia="zh-CN"/>
              </w:rPr>
              <w:t>(KDE)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B86CE5" w14:textId="77777777" w:rsidR="00C40682" w:rsidRPr="004D2D5A" w:rsidRDefault="00C40682" w:rsidP="00FB5CDA">
            <w:pPr>
              <w:pStyle w:val="MDPI42tablebody"/>
              <w:autoSpaceDE w:val="0"/>
              <w:autoSpaceDN w:val="0"/>
              <w:rPr>
                <w:rFonts w:eastAsiaTheme="minorEastAsia"/>
                <w:color w:val="auto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>KDE(x)=</m:t>
              </m:r>
              <m:f>
                <m:f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N</m:t>
                  </m:r>
                </m:den>
              </m:f>
              <m:nary>
                <m:naryPr>
                  <m:chr m:val="∑"/>
                  <m:limLoc m:val="subSup"/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k=1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h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K(</m:t>
                  </m:r>
                  <m:f>
                    <m:f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x-</m:t>
                      </m:r>
                      <m:sSub>
                        <m:sSub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k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h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)</m:t>
                  </m:r>
                </m:e>
              </m:nary>
            </m:oMath>
            <w:r w:rsidRPr="002B3E1E">
              <w:rPr>
                <w:color w:val="auto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auto"/>
                <w:lang w:eastAsia="zh-CN"/>
              </w:rPr>
              <w:t>(2)</w:t>
            </w:r>
          </w:p>
        </w:tc>
        <w:tc>
          <w:tcPr>
            <w:tcW w:w="5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3646F6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both"/>
              <w:rPr>
                <w:color w:val="auto"/>
                <w:lang w:eastAsia="zh-CN"/>
              </w:rPr>
            </w:pPr>
            <w:r w:rsidRPr="002B3E1E">
              <w:rPr>
                <w:rFonts w:hint="eastAsia"/>
                <w:color w:val="auto"/>
                <w:lang w:eastAsia="zh-CN"/>
              </w:rPr>
              <w:t>KDE(x)</w:t>
            </w:r>
            <w:r w:rsidRPr="002B3E1E">
              <w:rPr>
                <w:color w:val="auto"/>
                <w:lang w:eastAsia="zh-CN"/>
              </w:rPr>
              <w:t xml:space="preserve"> stands </w:t>
            </w:r>
            <w:r w:rsidRPr="002B3E1E">
              <w:rPr>
                <w:rFonts w:hint="eastAsia"/>
                <w:color w:val="auto"/>
                <w:lang w:eastAsia="zh-CN"/>
              </w:rPr>
              <w:t>f</w:t>
            </w:r>
            <w:r w:rsidRPr="002B3E1E">
              <w:rPr>
                <w:color w:val="auto"/>
                <w:lang w:eastAsia="zh-CN"/>
              </w:rPr>
              <w:t>or kernel density estimation.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K(x) </w:t>
            </w:r>
            <w:r w:rsidRPr="002B3E1E">
              <w:rPr>
                <w:color w:val="auto"/>
                <w:lang w:eastAsia="zh-CN"/>
              </w:rPr>
              <w:t>is the kernel function,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x</w:t>
            </w:r>
            <w:r w:rsidRPr="002B3E1E">
              <w:rPr>
                <w:color w:val="auto"/>
                <w:lang w:eastAsia="zh-CN"/>
              </w:rPr>
              <w:t xml:space="preserve"> − </w:t>
            </w:r>
            <w:proofErr w:type="spellStart"/>
            <w:r w:rsidRPr="002B3E1E">
              <w:rPr>
                <w:rFonts w:hint="eastAsia"/>
                <w:color w:val="auto"/>
                <w:lang w:eastAsia="zh-CN"/>
              </w:rPr>
              <w:t>x</w:t>
            </w:r>
            <w:r w:rsidRPr="002B3E1E">
              <w:rPr>
                <w:color w:val="auto"/>
                <w:vertAlign w:val="subscript"/>
                <w:lang w:eastAsia="zh-CN"/>
              </w:rPr>
              <w:t>k</w:t>
            </w:r>
            <w:proofErr w:type="spellEnd"/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represents the distance between the estimation point and the sample point,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N i</w:t>
            </w:r>
            <w:r w:rsidRPr="002B3E1E">
              <w:rPr>
                <w:color w:val="auto"/>
                <w:lang w:eastAsia="zh-CN"/>
              </w:rPr>
              <w:t>s the number of observation points,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and </w:t>
            </w:r>
            <w:r w:rsidRPr="002B3E1E">
              <w:rPr>
                <w:color w:val="auto"/>
                <w:lang w:eastAsia="zh-CN"/>
              </w:rPr>
              <w:t xml:space="preserve">h </w:t>
            </w:r>
            <w:r w:rsidRPr="002B3E1E">
              <w:rPr>
                <w:rFonts w:eastAsia="宋体" w:cs="宋体"/>
                <w:color w:val="auto"/>
                <w:lang w:eastAsia="zh-CN"/>
              </w:rPr>
              <w:t>(</w:t>
            </w:r>
            <w:r w:rsidRPr="002B3E1E">
              <w:rPr>
                <w:color w:val="auto"/>
                <w:lang w:eastAsia="zh-CN"/>
              </w:rPr>
              <w:t>h &gt; 0</w:t>
            </w:r>
            <w:r w:rsidRPr="002B3E1E">
              <w:rPr>
                <w:rFonts w:eastAsia="宋体" w:cs="宋体"/>
                <w:color w:val="auto"/>
                <w:lang w:eastAsia="zh-CN"/>
              </w:rPr>
              <w:t xml:space="preserve">) </w:t>
            </w:r>
            <w:r w:rsidRPr="002B3E1E">
              <w:rPr>
                <w:color w:val="auto"/>
                <w:lang w:eastAsia="zh-CN"/>
              </w:rPr>
              <w:t>denotes the bandwidth, which represents the range of observation points (determined using the empirical rule in this study).</w:t>
            </w:r>
          </w:p>
        </w:tc>
      </w:tr>
      <w:tr w:rsidR="00C40682" w:rsidRPr="002B3E1E" w14:paraId="45E24D44" w14:textId="77777777" w:rsidTr="00FB5CD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4DC940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  <w:lang w:eastAsia="zh-CN"/>
              </w:rPr>
            </w:pPr>
            <w:r w:rsidRPr="002B3E1E">
              <w:rPr>
                <w:color w:val="auto"/>
              </w:rPr>
              <w:t>Moran’s I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2E6468" w14:textId="77777777" w:rsidR="00C40682" w:rsidRPr="004D2D5A" w:rsidRDefault="00C40682" w:rsidP="00FB5CDA">
            <w:pPr>
              <w:pStyle w:val="MDPI42tablebody"/>
              <w:autoSpaceDE w:val="0"/>
              <w:autoSpaceDN w:val="0"/>
              <w:rPr>
                <w:rFonts w:eastAsiaTheme="minorEastAsia"/>
                <w:color w:val="auto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>I=</m:t>
              </m:r>
              <m:f>
                <m:f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n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S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 xml:space="preserve"> · </m:t>
              </m:r>
              <m:f>
                <m:f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n</m:t>
                      </m:r>
                    </m:sup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naryPr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j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w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 xml:space="preserve">ij </m:t>
                              </m:r>
                            </m:sub>
                          </m:sSub>
                        </m:e>
                      </m:nary>
                      <m:d>
                        <m:d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</m:acc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j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 xml:space="preserve"> </m:t>
                      </m:r>
                      <m:d>
                        <m:d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²</m:t>
                  </m:r>
                </m:den>
              </m:f>
            </m:oMath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auto"/>
                <w:lang w:eastAsia="zh-CN"/>
              </w:rPr>
              <w:t>(3)</w:t>
            </w:r>
          </w:p>
          <w:p w14:paraId="72CEC08C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  <w:lang w:eastAsia="zh-CN"/>
              </w:rPr>
            </w:pPr>
            <m:oMath>
              <m:sSub>
                <m:sSub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>=</m:t>
              </m:r>
              <m:sSub>
                <m:sSub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i</m:t>
                  </m:r>
                </m:sub>
              </m:sSub>
              <m:nary>
                <m:naryPr>
                  <m:chr m:val="∑"/>
                  <m:limLoc m:val="undOvr"/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i=0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ij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Z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j</m:t>
                      </m:r>
                    </m:sub>
                  </m:sSub>
                </m:e>
              </m:nary>
            </m:oMath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</w:p>
        </w:tc>
        <w:tc>
          <w:tcPr>
            <w:tcW w:w="5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BDA1BD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both"/>
              <w:rPr>
                <w:color w:val="auto"/>
                <w:lang w:eastAsia="zh-CN"/>
              </w:rPr>
            </w:pPr>
            <w:r w:rsidRPr="002B3E1E">
              <w:rPr>
                <w:color w:val="auto"/>
                <w:lang w:eastAsia="zh-CN"/>
              </w:rPr>
              <w:t>The global Moran’s I index assesses the degree of spatial autocorrelation across the entire study area. n represents the number of spatial units in the study area, x</w:t>
            </w:r>
            <w:r w:rsidRPr="002B3E1E">
              <w:rPr>
                <w:color w:val="auto"/>
                <w:vertAlign w:val="subscript"/>
                <w:lang w:eastAsia="zh-CN"/>
              </w:rPr>
              <w:t>i</w:t>
            </w:r>
            <w:r w:rsidRPr="002B3E1E">
              <w:rPr>
                <w:color w:val="auto"/>
                <w:lang w:eastAsia="zh-CN"/>
              </w:rPr>
              <w:t xml:space="preserve"> and </w:t>
            </w:r>
            <w:proofErr w:type="spellStart"/>
            <w:r w:rsidRPr="002B3E1E">
              <w:rPr>
                <w:color w:val="auto"/>
                <w:lang w:eastAsia="zh-CN"/>
              </w:rPr>
              <w:t>x</w:t>
            </w:r>
            <w:r w:rsidRPr="002B3E1E">
              <w:rPr>
                <w:color w:val="auto"/>
                <w:vertAlign w:val="subscript"/>
                <w:lang w:eastAsia="zh-CN"/>
              </w:rPr>
              <w:t>j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are the observed values of spatial units </w:t>
            </w:r>
            <w:proofErr w:type="spellStart"/>
            <w:r w:rsidRPr="002B3E1E">
              <w:rPr>
                <w:color w:val="auto"/>
                <w:lang w:eastAsia="zh-CN"/>
              </w:rPr>
              <w:t>i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and j,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color w:val="auto"/>
                      <w:lang w:eastAsia="zh-C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eastAsia="zh-CN"/>
                    </w:rPr>
                    <m:t>x</m:t>
                  </m:r>
                </m:e>
              </m:acc>
            </m:oMath>
            <w:r w:rsidRPr="002B3E1E">
              <w:rPr>
                <w:rFonts w:hAnsi="Cambria Math" w:hint="eastAsia"/>
                <w:color w:val="auto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is the mean of the observed values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, </w:t>
            </w:r>
            <w:proofErr w:type="spellStart"/>
            <w:r w:rsidRPr="002B3E1E">
              <w:rPr>
                <w:rFonts w:hint="eastAsia"/>
                <w:color w:val="auto"/>
                <w:lang w:eastAsia="zh-CN"/>
              </w:rPr>
              <w:t>w</w:t>
            </w:r>
            <w:r w:rsidRPr="002B3E1E">
              <w:rPr>
                <w:color w:val="auto"/>
                <w:vertAlign w:val="subscript"/>
                <w:lang w:eastAsia="zh-CN"/>
              </w:rPr>
              <w:t>ij</w:t>
            </w:r>
            <w:proofErr w:type="spellEnd"/>
            <w:r w:rsidRPr="002B3E1E">
              <w:rPr>
                <w:rFonts w:hint="eastAsia"/>
                <w:color w:val="auto"/>
                <w:vertAlign w:val="subscript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represents the spatial weight matrix, and S</w:t>
            </w:r>
            <w:r w:rsidRPr="002B3E1E">
              <w:rPr>
                <w:color w:val="auto"/>
                <w:vertAlign w:val="subscript"/>
                <w:lang w:eastAsia="zh-CN"/>
              </w:rPr>
              <w:t>0</w:t>
            </w:r>
            <w:r w:rsidRPr="002B3E1E">
              <w:rPr>
                <w:color w:val="auto"/>
                <w:lang w:eastAsia="zh-CN"/>
              </w:rPr>
              <w:t xml:space="preserve"> is the sum of the spatial weight matrix.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 w:rsidRPr="002B3E1E">
              <w:rPr>
                <w:color w:val="auto"/>
                <w:lang w:eastAsia="zh-CN"/>
              </w:rPr>
              <w:t>Its value ranges from −1 to 1, where positive values indicate clustering of similar values, negative values suggest dispersion of dissimilar values, and values close to 0 imply a random spatial distribution with no significant autocorrelation.</w:t>
            </w:r>
          </w:p>
          <w:p w14:paraId="05F29246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both"/>
              <w:rPr>
                <w:color w:val="auto"/>
                <w:lang w:eastAsia="zh-CN"/>
              </w:rPr>
            </w:pPr>
            <w:r w:rsidRPr="002B3E1E">
              <w:rPr>
                <w:color w:val="auto"/>
                <w:lang w:eastAsia="zh-CN"/>
              </w:rPr>
              <w:t>Z</w:t>
            </w:r>
            <w:r w:rsidRPr="002B3E1E">
              <w:rPr>
                <w:color w:val="auto"/>
                <w:vertAlign w:val="subscript"/>
                <w:lang w:eastAsia="zh-CN"/>
              </w:rPr>
              <w:t>i</w:t>
            </w:r>
            <w:r w:rsidRPr="002B3E1E">
              <w:rPr>
                <w:color w:val="auto"/>
                <w:lang w:eastAsia="zh-CN"/>
              </w:rPr>
              <w:t xml:space="preserve"> and </w:t>
            </w:r>
            <w:proofErr w:type="spellStart"/>
            <w:r w:rsidRPr="002B3E1E">
              <w:rPr>
                <w:color w:val="auto"/>
                <w:lang w:eastAsia="zh-CN"/>
              </w:rPr>
              <w:t>Z</w:t>
            </w:r>
            <w:r w:rsidRPr="002B3E1E">
              <w:rPr>
                <w:color w:val="auto"/>
                <w:vertAlign w:val="subscript"/>
                <w:lang w:eastAsia="zh-CN"/>
              </w:rPr>
              <w:t>j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represent the means of the observed values for spatial units </w:t>
            </w:r>
            <w:proofErr w:type="spellStart"/>
            <w:r w:rsidRPr="002B3E1E">
              <w:rPr>
                <w:color w:val="auto"/>
                <w:lang w:eastAsia="zh-CN"/>
              </w:rPr>
              <w:t>i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and j, respectively, and </w:t>
            </w:r>
            <w:proofErr w:type="spellStart"/>
            <w:r w:rsidRPr="002B3E1E">
              <w:rPr>
                <w:color w:val="auto"/>
                <w:lang w:eastAsia="zh-CN"/>
              </w:rPr>
              <w:t>W</w:t>
            </w:r>
            <w:r w:rsidRPr="002B3E1E">
              <w:rPr>
                <w:color w:val="auto"/>
                <w:vertAlign w:val="subscript"/>
                <w:lang w:eastAsia="zh-CN"/>
              </w:rPr>
              <w:t>ij</w:t>
            </w:r>
            <w:proofErr w:type="spellEnd"/>
            <w:r w:rsidRPr="002B3E1E">
              <w:rPr>
                <w:color w:val="auto"/>
                <w:lang w:eastAsia="zh-CN"/>
              </w:rPr>
              <w:t xml:space="preserve"> represents the spatial weight.</w:t>
            </w:r>
          </w:p>
        </w:tc>
      </w:tr>
      <w:tr w:rsidR="00C40682" w:rsidRPr="002B3E1E" w14:paraId="112B2EB7" w14:textId="77777777" w:rsidTr="00FB5CD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BAF3C5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  <w:lang w:eastAsia="zh-CN"/>
              </w:rPr>
            </w:pPr>
            <w:r w:rsidRPr="002B3E1E">
              <w:rPr>
                <w:color w:val="auto"/>
                <w:lang w:eastAsia="zh-CN"/>
              </w:rPr>
              <w:t>Geographic Concentration Index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267A6C" w14:textId="77777777" w:rsidR="00C40682" w:rsidRPr="004D2D5A" w:rsidRDefault="00C40682" w:rsidP="00FB5CDA">
            <w:pPr>
              <w:pStyle w:val="MDPI42tablebody"/>
              <w:autoSpaceDE w:val="0"/>
              <w:autoSpaceDN w:val="0"/>
              <w:rPr>
                <w:rFonts w:eastAsiaTheme="minorEastAsia"/>
                <w:color w:val="auto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 xml:space="preserve">G=100 X </m:t>
              </m:r>
              <m:rad>
                <m:radPr>
                  <m:degHide m:val="1"/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i=0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hint="eastAsia"/>
                                      <w:color w:val="auto"/>
                                      <w:lang w:eastAsia="zh-C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color w:val="auto"/>
                                      <w:lang w:eastAsia="zh-CN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color w:val="auto"/>
                                      <w:lang w:eastAsia="zh-CN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hint="eastAsia"/>
                                  <w:color w:val="auto"/>
                                  <w:lang w:eastAsia="zh-CN"/>
                                </w:rPr>
                                <m:t>T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²</m:t>
                      </m:r>
                    </m:e>
                  </m:nary>
                </m:e>
              </m:rad>
            </m:oMath>
            <w:r w:rsidRPr="002B3E1E">
              <w:rPr>
                <w:rFonts w:hint="eastAsia"/>
                <w:color w:val="auto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auto"/>
                <w:lang w:eastAsia="zh-CN"/>
              </w:rPr>
              <w:t>(4)</w:t>
            </w:r>
          </w:p>
        </w:tc>
        <w:tc>
          <w:tcPr>
            <w:tcW w:w="5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33615F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both"/>
              <w:rPr>
                <w:rFonts w:eastAsiaTheme="minorEastAsia"/>
                <w:color w:val="auto"/>
                <w:lang w:eastAsia="zh-CN"/>
              </w:rPr>
            </w:pPr>
            <w:r w:rsidRPr="002B3E1E">
              <w:rPr>
                <w:rFonts w:hint="eastAsia"/>
                <w:color w:val="auto"/>
                <w:lang w:eastAsia="zh-CN"/>
              </w:rPr>
              <w:t xml:space="preserve">G is the </w:t>
            </w:r>
            <w:r w:rsidRPr="002B3E1E">
              <w:rPr>
                <w:color w:val="auto"/>
                <w:lang w:eastAsia="zh-CN"/>
              </w:rPr>
              <w:t>g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eographic </w:t>
            </w:r>
            <w:r w:rsidRPr="002B3E1E">
              <w:rPr>
                <w:color w:val="auto"/>
                <w:lang w:eastAsia="zh-CN"/>
              </w:rPr>
              <w:t>c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oncentration </w:t>
            </w:r>
            <w:r w:rsidRPr="002B3E1E">
              <w:rPr>
                <w:color w:val="auto"/>
                <w:lang w:eastAsia="zh-CN"/>
              </w:rPr>
              <w:t>i</w:t>
            </w:r>
            <w:r w:rsidRPr="002B3E1E">
              <w:rPr>
                <w:rFonts w:hint="eastAsia"/>
                <w:color w:val="auto"/>
                <w:lang w:eastAsia="zh-CN"/>
              </w:rPr>
              <w:t>ndex for traditional villages, where X</w:t>
            </w:r>
            <w:r w:rsidRPr="002B3E1E">
              <w:rPr>
                <w:color w:val="auto"/>
                <w:vertAlign w:val="subscript"/>
                <w:lang w:eastAsia="zh-CN"/>
              </w:rPr>
              <w:t>i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represents the number of traditional villages in the </w:t>
            </w:r>
            <w:proofErr w:type="spellStart"/>
            <w:r w:rsidRPr="002B3E1E">
              <w:rPr>
                <w:rFonts w:hint="eastAsia"/>
                <w:color w:val="auto"/>
                <w:lang w:eastAsia="zh-CN"/>
              </w:rPr>
              <w:t>i-th</w:t>
            </w:r>
            <w:proofErr w:type="spellEnd"/>
            <w:r w:rsidRPr="002B3E1E">
              <w:rPr>
                <w:rFonts w:hint="eastAsia"/>
                <w:color w:val="auto"/>
                <w:lang w:eastAsia="zh-CN"/>
              </w:rPr>
              <w:t xml:space="preserve"> study area. T is the total number of traditional villages. n denotes the number of administrative districts at the city level within the study area, and G</w:t>
            </w:r>
            <w:r w:rsidRPr="002B3E1E">
              <w:rPr>
                <w:color w:val="auto"/>
                <w:vertAlign w:val="subscript"/>
                <w:lang w:eastAsia="zh-CN"/>
              </w:rPr>
              <w:t xml:space="preserve">0 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is the </w:t>
            </w:r>
            <w:r w:rsidRPr="002B3E1E">
              <w:rPr>
                <w:color w:val="auto"/>
                <w:lang w:eastAsia="zh-CN"/>
              </w:rPr>
              <w:t>g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eographic </w:t>
            </w:r>
            <w:r w:rsidRPr="002B3E1E">
              <w:rPr>
                <w:color w:val="auto"/>
                <w:lang w:eastAsia="zh-CN"/>
              </w:rPr>
              <w:t>c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oncentration </w:t>
            </w:r>
            <w:r w:rsidRPr="002B3E1E">
              <w:rPr>
                <w:color w:val="auto"/>
                <w:lang w:eastAsia="zh-CN"/>
              </w:rPr>
              <w:t>i</w:t>
            </w:r>
            <w:r w:rsidRPr="002B3E1E">
              <w:rPr>
                <w:rFonts w:hint="eastAsia"/>
                <w:color w:val="auto"/>
                <w:lang w:eastAsia="zh-CN"/>
              </w:rPr>
              <w:t>ndex for the average distribution of traditional villages across cities.</w:t>
            </w:r>
            <w:r w:rsidRPr="002B3E1E">
              <w:rPr>
                <w:rFonts w:eastAsiaTheme="minorEastAsia" w:hint="eastAsia"/>
                <w:color w:val="auto"/>
                <w:lang w:eastAsia="zh-CN"/>
              </w:rPr>
              <w:t xml:space="preserve"> </w:t>
            </w:r>
            <w:r w:rsidRPr="002B3E1E">
              <w:rPr>
                <w:rFonts w:eastAsiaTheme="minorEastAsia"/>
                <w:color w:val="auto"/>
                <w:lang w:eastAsia="zh-CN"/>
              </w:rPr>
              <w:t>The G value ranges from 0 to 100, with a higher G value indicating a more concentrated distribution of traditional villages, while a lower G value indicates a more dispersed distribution.</w:t>
            </w:r>
          </w:p>
        </w:tc>
      </w:tr>
      <w:tr w:rsidR="00C40682" w:rsidRPr="002B3E1E" w14:paraId="72412DBC" w14:textId="77777777" w:rsidTr="00FB5CD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ABD49C" w14:textId="77777777" w:rsidR="00C40682" w:rsidRPr="002B3E1E" w:rsidRDefault="00C40682" w:rsidP="00FB5CDA">
            <w:pPr>
              <w:pStyle w:val="MDPI42tablebody"/>
              <w:autoSpaceDE w:val="0"/>
              <w:autoSpaceDN w:val="0"/>
              <w:rPr>
                <w:color w:val="auto"/>
                <w:lang w:eastAsia="zh-CN"/>
              </w:rPr>
            </w:pPr>
            <w:r w:rsidRPr="002B3E1E">
              <w:rPr>
                <w:color w:val="auto"/>
                <w:lang w:eastAsia="zh-CN"/>
              </w:rPr>
              <w:t>Inequality Index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082C02" w14:textId="77777777" w:rsidR="00C40682" w:rsidRPr="004D2D5A" w:rsidRDefault="00C40682" w:rsidP="00FB5CDA">
            <w:pPr>
              <w:pStyle w:val="MDPI42tablebody"/>
              <w:autoSpaceDE w:val="0"/>
              <w:autoSpaceDN w:val="0"/>
              <w:rPr>
                <w:rFonts w:eastAsiaTheme="minorEastAsia"/>
                <w:color w:val="auto"/>
                <w:lang w:eastAsia="zh-CN"/>
              </w:rPr>
            </w:pPr>
            <m:oMath>
              <m:r>
                <m:rPr>
                  <m:sty m:val="p"/>
                </m:rPr>
                <w:rPr>
                  <w:rFonts w:ascii="Cambria Math" w:hAnsi="Cambria Math" w:hint="eastAsia"/>
                  <w:color w:val="auto"/>
                  <w:lang w:eastAsia="zh-CN"/>
                </w:rPr>
                <m:t>S=</m:t>
              </m:r>
              <m:f>
                <m:fPr>
                  <m:ctrlPr>
                    <w:rPr>
                      <w:rFonts w:ascii="Cambria Math" w:hAnsi="Cambria Math" w:hint="eastAsia"/>
                      <w:color w:val="auto"/>
                      <w:lang w:eastAsia="zh-CN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i=1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auto"/>
                          <w:lang w:eastAsia="zh-CN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color w:val="auto"/>
                              <w:lang w:eastAsia="zh-CN"/>
                            </w:rPr>
                            <m:t>i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-50(n+1)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auto"/>
                      <w:lang w:eastAsia="zh-CN"/>
                    </w:rPr>
                    <m:t>100n-50(n+1)</m:t>
                  </m:r>
                </m:den>
              </m:f>
              <m:r>
                <w:rPr>
                  <w:rFonts w:ascii="Cambria Math" w:hAnsi="Cambria Math"/>
                  <w:color w:val="auto"/>
                  <w:lang w:eastAsia="zh-CN"/>
                </w:rPr>
                <m:t xml:space="preserve"> </m:t>
              </m:r>
            </m:oMath>
            <w:r w:rsidRPr="002B3E1E">
              <w:rPr>
                <w:color w:val="auto"/>
                <w:lang w:eastAsia="zh-CN"/>
              </w:rPr>
              <w:t xml:space="preserve"> </w:t>
            </w:r>
            <w:r>
              <w:rPr>
                <w:rFonts w:eastAsiaTheme="minorEastAsia" w:hint="eastAsia"/>
                <w:color w:val="auto"/>
                <w:lang w:eastAsia="zh-CN"/>
              </w:rPr>
              <w:t>(5)</w:t>
            </w:r>
          </w:p>
        </w:tc>
        <w:tc>
          <w:tcPr>
            <w:tcW w:w="5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8CF935" w14:textId="77777777" w:rsidR="00C40682" w:rsidRPr="002B3E1E" w:rsidRDefault="00C40682" w:rsidP="00FB5CDA">
            <w:pPr>
              <w:pStyle w:val="MDPI42tablebody"/>
              <w:autoSpaceDE w:val="0"/>
              <w:autoSpaceDN w:val="0"/>
              <w:jc w:val="left"/>
              <w:rPr>
                <w:color w:val="auto"/>
                <w:lang w:eastAsia="zh-CN"/>
              </w:rPr>
            </w:pPr>
            <w:r w:rsidRPr="002B3E1E">
              <w:rPr>
                <w:rFonts w:hint="eastAsia"/>
                <w:color w:val="auto"/>
                <w:lang w:eastAsia="zh-CN"/>
              </w:rPr>
              <w:t>Y</w:t>
            </w:r>
            <w:r w:rsidRPr="002B3E1E">
              <w:rPr>
                <w:color w:val="auto"/>
                <w:vertAlign w:val="subscript"/>
                <w:lang w:eastAsia="zh-CN"/>
              </w:rPr>
              <w:t>i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 is the cumulative percentage of the number of traditional villages in each administrative district, ranked from largest to smallest within the study area. S is the Inequality Index, where 0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&lt;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S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&lt;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1,</w:t>
            </w:r>
            <w:r w:rsidRPr="002B3E1E">
              <w:rPr>
                <w:rFonts w:eastAsiaTheme="minorEastAsia" w:hint="eastAsia"/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S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=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 xml:space="preserve">1 indicates that traditional villages are completely concentrated in one city-level administrative district, </w:t>
            </w:r>
            <w:r w:rsidRPr="002B3E1E">
              <w:rPr>
                <w:color w:val="auto"/>
                <w:lang w:eastAsia="zh-CN"/>
              </w:rPr>
              <w:t xml:space="preserve">and </w:t>
            </w:r>
            <w:r w:rsidRPr="002B3E1E">
              <w:rPr>
                <w:rFonts w:hint="eastAsia"/>
                <w:color w:val="auto"/>
                <w:lang w:eastAsia="zh-CN"/>
              </w:rPr>
              <w:t>S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=</w:t>
            </w:r>
            <w:r w:rsidRPr="002B3E1E">
              <w:rPr>
                <w:color w:val="auto"/>
                <w:lang w:eastAsia="zh-CN"/>
              </w:rPr>
              <w:t xml:space="preserve"> </w:t>
            </w:r>
            <w:r w:rsidRPr="002B3E1E">
              <w:rPr>
                <w:rFonts w:hint="eastAsia"/>
                <w:color w:val="auto"/>
                <w:lang w:eastAsia="zh-CN"/>
              </w:rPr>
              <w:t>0 indicates that traditional villages are evenly distributed across all cities.</w:t>
            </w:r>
          </w:p>
        </w:tc>
      </w:tr>
    </w:tbl>
    <w:p w14:paraId="49846A13" w14:textId="77777777" w:rsidR="00C40682" w:rsidRPr="00D45276" w:rsidRDefault="00C40682" w:rsidP="00C40682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p w14:paraId="77E64094" w14:textId="77777777" w:rsidR="00C40682" w:rsidRPr="00786CE3" w:rsidRDefault="00C40682" w:rsidP="00C40682">
      <w:pPr>
        <w:widowControl/>
        <w:ind w:firstLine="420"/>
        <w:jc w:val="center"/>
        <w:textAlignment w:val="center"/>
        <w:rPr>
          <w:rFonts w:ascii="Times New Roman" w:hAnsi="Times New Roman" w:cs="Times New Roman"/>
          <w:color w:val="000000"/>
          <w:kern w:val="0"/>
          <w:lang w:bidi="ar"/>
        </w:rPr>
      </w:pPr>
      <w:r w:rsidRPr="008F382F">
        <w:rPr>
          <w:rFonts w:ascii="Times New Roman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Supplementary</w:t>
      </w:r>
      <w:r w:rsidRPr="00786CE3">
        <w:rPr>
          <w:rFonts w:ascii="Times New Roman" w:hAnsi="Times New Roman" w:cs="Times New Roman"/>
          <w:b/>
          <w:bCs/>
          <w:color w:val="000000"/>
          <w:kern w:val="0"/>
          <w:lang w:bidi="ar"/>
        </w:rPr>
        <w:t xml:space="preserve"> Table </w:t>
      </w:r>
      <w:r>
        <w:rPr>
          <w:rFonts w:ascii="Times New Roman" w:hAnsi="Times New Roman" w:cs="Times New Roman" w:hint="eastAsia"/>
          <w:b/>
          <w:bCs/>
          <w:color w:val="000000"/>
          <w:kern w:val="0"/>
          <w:lang w:bidi="ar"/>
        </w:rPr>
        <w:t>3</w:t>
      </w:r>
      <w:r w:rsidRPr="00786CE3">
        <w:rPr>
          <w:rFonts w:ascii="Times New Roman" w:hAnsi="Times New Roman" w:cs="Times New Roman"/>
          <w:b/>
          <w:bCs/>
          <w:color w:val="000000"/>
          <w:kern w:val="0"/>
          <w:lang w:bidi="ar"/>
        </w:rPr>
        <w:t xml:space="preserve">. </w:t>
      </w:r>
      <w:r w:rsidRPr="00786CE3">
        <w:rPr>
          <w:rFonts w:ascii="Times New Roman" w:hAnsi="Times New Roman" w:cs="Times New Roman"/>
          <w:color w:val="000000"/>
          <w:kern w:val="0"/>
          <w:lang w:bidi="ar"/>
        </w:rPr>
        <w:t>Geographical detector analysis method.</w:t>
      </w:r>
    </w:p>
    <w:tbl>
      <w:tblPr>
        <w:tblW w:w="10465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3414"/>
        <w:gridCol w:w="5426"/>
      </w:tblGrid>
      <w:tr w:rsidR="00C40682" w:rsidRPr="002B3E1E" w14:paraId="0082BC1F" w14:textId="77777777" w:rsidTr="00FB5CDA">
        <w:trPr>
          <w:jc w:val="center"/>
        </w:trPr>
        <w:tc>
          <w:tcPr>
            <w:tcW w:w="1587" w:type="dxa"/>
            <w:tcBorders>
              <w:top w:val="single" w:sz="8" w:space="0" w:color="auto"/>
              <w:bottom w:val="single" w:sz="4" w:space="0" w:color="000000"/>
            </w:tcBorders>
            <w:noWrap/>
            <w:vAlign w:val="center"/>
          </w:tcPr>
          <w:p w14:paraId="57485A43" w14:textId="77777777" w:rsidR="00C40682" w:rsidRPr="00786CE3" w:rsidRDefault="00C40682" w:rsidP="00FB5CDA">
            <w:pPr>
              <w:pStyle w:val="MDPI42tablebody"/>
              <w:autoSpaceDE w:val="0"/>
              <w:autoSpaceDN w:val="0"/>
              <w:rPr>
                <w:b/>
                <w:snapToGrid/>
                <w:color w:val="auto"/>
              </w:rPr>
            </w:pPr>
            <w:r w:rsidRPr="00786CE3">
              <w:rPr>
                <w:b/>
                <w:snapToGrid/>
                <w:color w:val="auto"/>
              </w:rPr>
              <w:t>Analytical Methods</w:t>
            </w:r>
          </w:p>
        </w:tc>
        <w:tc>
          <w:tcPr>
            <w:tcW w:w="3335" w:type="dxa"/>
            <w:tcBorders>
              <w:top w:val="single" w:sz="8" w:space="0" w:color="auto"/>
              <w:bottom w:val="single" w:sz="4" w:space="0" w:color="000000"/>
            </w:tcBorders>
            <w:noWrap/>
            <w:vAlign w:val="center"/>
          </w:tcPr>
          <w:p w14:paraId="0DBB96C8" w14:textId="77777777" w:rsidR="00C40682" w:rsidRPr="00786CE3" w:rsidRDefault="00C40682" w:rsidP="00FB5CDA">
            <w:pPr>
              <w:pStyle w:val="MDPI42tablebody"/>
              <w:autoSpaceDE w:val="0"/>
              <w:autoSpaceDN w:val="0"/>
              <w:rPr>
                <w:b/>
                <w:snapToGrid/>
                <w:color w:val="auto"/>
              </w:rPr>
            </w:pPr>
            <w:r w:rsidRPr="00786CE3">
              <w:rPr>
                <w:rFonts w:hint="eastAsia"/>
                <w:b/>
                <w:snapToGrid/>
                <w:color w:val="auto"/>
              </w:rPr>
              <w:t>Formula</w:t>
            </w:r>
          </w:p>
        </w:tc>
        <w:tc>
          <w:tcPr>
            <w:tcW w:w="5301" w:type="dxa"/>
            <w:tcBorders>
              <w:top w:val="single" w:sz="8" w:space="0" w:color="auto"/>
              <w:bottom w:val="single" w:sz="4" w:space="0" w:color="000000"/>
            </w:tcBorders>
            <w:noWrap/>
            <w:vAlign w:val="center"/>
          </w:tcPr>
          <w:p w14:paraId="70943358" w14:textId="77777777" w:rsidR="00C40682" w:rsidRPr="00786CE3" w:rsidRDefault="00C40682" w:rsidP="00FB5CDA">
            <w:pPr>
              <w:pStyle w:val="MDPI42tablebody"/>
              <w:autoSpaceDE w:val="0"/>
              <w:autoSpaceDN w:val="0"/>
              <w:rPr>
                <w:b/>
                <w:snapToGrid/>
                <w:color w:val="auto"/>
              </w:rPr>
            </w:pPr>
            <w:r w:rsidRPr="00786CE3">
              <w:rPr>
                <w:rFonts w:hint="eastAsia"/>
                <w:b/>
                <w:snapToGrid/>
                <w:color w:val="auto"/>
              </w:rPr>
              <w:t>Formula Description</w:t>
            </w:r>
          </w:p>
        </w:tc>
      </w:tr>
      <w:tr w:rsidR="00C40682" w:rsidRPr="002B3E1E" w14:paraId="78BBA052" w14:textId="77777777" w:rsidTr="00FB5CDA">
        <w:trPr>
          <w:jc w:val="center"/>
        </w:trPr>
        <w:tc>
          <w:tcPr>
            <w:tcW w:w="1587" w:type="dxa"/>
            <w:tcBorders>
              <w:top w:val="single" w:sz="4" w:space="0" w:color="000000"/>
            </w:tcBorders>
            <w:noWrap/>
            <w:vAlign w:val="center"/>
          </w:tcPr>
          <w:p w14:paraId="32779C32" w14:textId="77777777" w:rsidR="00C40682" w:rsidRPr="002B3E1E" w:rsidRDefault="00C40682" w:rsidP="00FB5CD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/>
                <w:szCs w:val="18"/>
              </w:rPr>
            </w:pPr>
            <w:proofErr w:type="spellStart"/>
            <w:r w:rsidRPr="00786CE3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bidi="en-US"/>
              </w:rPr>
              <w:t>GeoDetector</w:t>
            </w:r>
            <w:proofErr w:type="spellEnd"/>
          </w:p>
        </w:tc>
        <w:tc>
          <w:tcPr>
            <w:tcW w:w="3335" w:type="dxa"/>
            <w:tcBorders>
              <w:top w:val="single" w:sz="4" w:space="0" w:color="000000"/>
            </w:tcBorders>
            <w:noWrap/>
            <w:vAlign w:val="center"/>
          </w:tcPr>
          <w:p w14:paraId="31B00714" w14:textId="77777777" w:rsidR="00C40682" w:rsidRPr="002B3E1E" w:rsidRDefault="00C40682" w:rsidP="00FB5CD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q=1-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h=1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h</m:t>
                          </m:r>
                        </m:sub>
                      </m:sSub>
                    </m:e>
                  </m:nary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σ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h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σ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hint="eastAsia"/>
              </w:rPr>
              <w:t xml:space="preserve"> </w:t>
            </w:r>
            <w:r w:rsidRPr="004D2D5A">
              <w:rPr>
                <w:rFonts w:ascii="Palatino Linotype" w:hAnsi="Palatino Linotype" w:cs="Times New Roman" w:hint="eastAsia"/>
                <w:snapToGrid w:val="0"/>
                <w:sz w:val="20"/>
                <w:szCs w:val="20"/>
                <w:lang w:bidi="en-US"/>
                <w14:ligatures w14:val="standardContextual"/>
              </w:rPr>
              <w:t>(6)</w:t>
            </w:r>
          </w:p>
        </w:tc>
        <w:tc>
          <w:tcPr>
            <w:tcW w:w="5301" w:type="dxa"/>
            <w:tcBorders>
              <w:top w:val="single" w:sz="4" w:space="0" w:color="000000"/>
            </w:tcBorders>
            <w:noWrap/>
            <w:vAlign w:val="center"/>
          </w:tcPr>
          <w:p w14:paraId="490C523C" w14:textId="77777777" w:rsidR="00C40682" w:rsidRPr="002B3E1E" w:rsidRDefault="00C40682" w:rsidP="00FB5CDA">
            <w:pPr>
              <w:pStyle w:val="af3"/>
              <w:autoSpaceDE w:val="0"/>
              <w:autoSpaceDN w:val="0"/>
              <w:adjustRightInd w:val="0"/>
              <w:snapToGrid w:val="0"/>
              <w:rPr>
                <w:rFonts w:ascii="Cambria Math" w:eastAsia="Times New Roman" w:hAnsi="Cambria Math"/>
                <w:snapToGrid w:val="0"/>
                <w:szCs w:val="20"/>
                <w:lang w:eastAsia="de-DE" w:bidi="en-US"/>
              </w:rPr>
            </w:pP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>h = 1,</w:t>
            </w:r>
            <w:r w:rsidRPr="002B3E1E">
              <w:rPr>
                <w:rFonts w:eastAsia="Times New Roman"/>
                <w:snapToGrid w:val="0"/>
                <w:szCs w:val="20"/>
                <w:lang w:bidi="en-US"/>
              </w:rPr>
              <w:t xml:space="preserve"> </w:t>
            </w: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>2,</w:t>
            </w:r>
            <w:r w:rsidRPr="002B3E1E">
              <w:rPr>
                <w:rFonts w:eastAsia="Times New Roman"/>
                <w:snapToGrid w:val="0"/>
                <w:szCs w:val="20"/>
                <w:lang w:bidi="en-US"/>
              </w:rPr>
              <w:t xml:space="preserve"> </w:t>
            </w: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>…,</w:t>
            </w:r>
            <w:r w:rsidRPr="002B3E1E">
              <w:rPr>
                <w:rFonts w:hint="eastAsia"/>
                <w:snapToGrid w:val="0"/>
                <w:szCs w:val="20"/>
                <w:lang w:bidi="en-US"/>
              </w:rPr>
              <w:t xml:space="preserve"> l</w:t>
            </w: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 xml:space="preserve"> represents the partitions of variable Y or factor X</w:t>
            </w:r>
            <w:r w:rsidRPr="002B3E1E">
              <w:rPr>
                <w:rFonts w:eastAsia="Times New Roman"/>
                <w:snapToGrid w:val="0"/>
                <w:szCs w:val="20"/>
                <w:lang w:bidi="en-US"/>
              </w:rPr>
              <w:t>.</w:t>
            </w: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h</m:t>
                  </m:r>
                </m:sub>
              </m:sSub>
            </m:oMath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 xml:space="preserve"> and N denote the number of units in the h layer and the entire region. </w:t>
            </w:r>
            <m:oMath>
              <m:sSubSup>
                <m:sSubSupPr>
                  <m:ctrl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h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2</m:t>
                  </m:r>
                </m:sup>
              </m:sSubSup>
            </m:oMath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 xml:space="preserve"> and </w:t>
            </w:r>
            <m:oMath>
              <m:sSup>
                <m:sSupPr>
                  <m:ctrl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σ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hint="eastAsia"/>
                      <w:snapToGrid w:val="0"/>
                      <w:szCs w:val="20"/>
                      <w:lang w:bidi="en-US"/>
                    </w:rPr>
                    <m:t>2</m:t>
                  </m:r>
                </m:sup>
              </m:sSup>
            </m:oMath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 xml:space="preserve"> are the variances of Y for the h layer and the overall region, respectively. The value q indicates the degree of influence that this factor or combination of factors has on the spatial differentiation of traditional villages; a larger q</w:t>
            </w:r>
            <w:r w:rsidRPr="002B3E1E">
              <w:rPr>
                <w:rFonts w:eastAsia="Times New Roman"/>
                <w:snapToGrid w:val="0"/>
                <w:szCs w:val="20"/>
                <w:lang w:bidi="en-US"/>
              </w:rPr>
              <w:t>-</w:t>
            </w:r>
            <w:r w:rsidRPr="002B3E1E">
              <w:rPr>
                <w:rFonts w:eastAsia="Times New Roman" w:hint="eastAsia"/>
                <w:snapToGrid w:val="0"/>
                <w:szCs w:val="20"/>
                <w:lang w:bidi="en-US"/>
              </w:rPr>
              <w:t>value signifies a greater level of influence.</w:t>
            </w:r>
          </w:p>
        </w:tc>
      </w:tr>
    </w:tbl>
    <w:p w14:paraId="73A6F6CD" w14:textId="77777777" w:rsidR="00BA798A" w:rsidRPr="00C40682" w:rsidRDefault="00BA798A">
      <w:pPr>
        <w:rPr>
          <w:rFonts w:hint="eastAsia"/>
        </w:rPr>
      </w:pPr>
    </w:p>
    <w:sectPr w:rsidR="00BA798A" w:rsidRPr="00C40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612F" w14:textId="77777777" w:rsidR="00DE791D" w:rsidRDefault="00DE791D" w:rsidP="00C40682">
      <w:pPr>
        <w:rPr>
          <w:rFonts w:hint="eastAsia"/>
        </w:rPr>
      </w:pPr>
      <w:r>
        <w:separator/>
      </w:r>
    </w:p>
  </w:endnote>
  <w:endnote w:type="continuationSeparator" w:id="0">
    <w:p w14:paraId="7A5E0A18" w14:textId="77777777" w:rsidR="00DE791D" w:rsidRDefault="00DE791D" w:rsidP="00C406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588F" w14:textId="77777777" w:rsidR="00DE791D" w:rsidRDefault="00DE791D" w:rsidP="00C40682">
      <w:pPr>
        <w:rPr>
          <w:rFonts w:hint="eastAsia"/>
        </w:rPr>
      </w:pPr>
      <w:r>
        <w:separator/>
      </w:r>
    </w:p>
  </w:footnote>
  <w:footnote w:type="continuationSeparator" w:id="0">
    <w:p w14:paraId="22719470" w14:textId="77777777" w:rsidR="00DE791D" w:rsidRDefault="00DE791D" w:rsidP="00C406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97"/>
    <w:rsid w:val="00317C95"/>
    <w:rsid w:val="00561297"/>
    <w:rsid w:val="0087680E"/>
    <w:rsid w:val="00A229B6"/>
    <w:rsid w:val="00BA798A"/>
    <w:rsid w:val="00C40682"/>
    <w:rsid w:val="00DE791D"/>
    <w:rsid w:val="00E7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A2445F0-54CE-439A-8A3B-E4034BD0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682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5612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2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29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29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29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2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297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297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129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1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1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129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129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129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12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12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12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12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1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2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12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1297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5612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1297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5612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1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5612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129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406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406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406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40682"/>
    <w:rPr>
      <w:sz w:val="18"/>
      <w:szCs w:val="18"/>
    </w:rPr>
  </w:style>
  <w:style w:type="table" w:styleId="af2">
    <w:name w:val="Table Grid"/>
    <w:basedOn w:val="a1"/>
    <w:qFormat/>
    <w:rsid w:val="00C4068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C40682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  <w14:ligatures w14:val="standardContextual"/>
    </w:rPr>
  </w:style>
  <w:style w:type="paragraph" w:customStyle="1" w:styleId="MDPI42tablebody">
    <w:name w:val="MDPI_4.2_table_body"/>
    <w:qFormat/>
    <w:rsid w:val="00C40682"/>
    <w:pPr>
      <w:adjustRightInd w:val="0"/>
      <w:snapToGrid w:val="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  <w14:ligatures w14:val="standardContextual"/>
    </w:rPr>
  </w:style>
  <w:style w:type="paragraph" w:styleId="af3">
    <w:name w:val="Normal (Web)"/>
    <w:basedOn w:val="a"/>
    <w:uiPriority w:val="99"/>
    <w:unhideWhenUsed/>
    <w:qFormat/>
    <w:rsid w:val="00C4068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4683</Characters>
  <Application>Microsoft Office Word</Application>
  <DocSecurity>0</DocSecurity>
  <Lines>180</Lines>
  <Paragraphs>114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 Murry</dc:creator>
  <cp:keywords/>
  <dc:description/>
  <cp:lastModifiedBy>Mars Murry</cp:lastModifiedBy>
  <cp:revision>3</cp:revision>
  <dcterms:created xsi:type="dcterms:W3CDTF">2026-06-06T06:58:00Z</dcterms:created>
  <dcterms:modified xsi:type="dcterms:W3CDTF">2026-06-06T08:27:00Z</dcterms:modified>
</cp:coreProperties>
</file>