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E725B" w14:textId="77777777" w:rsidR="009410F6" w:rsidRPr="009410F6" w:rsidRDefault="009410F6" w:rsidP="009410F6">
      <w:pPr>
        <w:spacing w:after="0" w:line="360" w:lineRule="auto"/>
        <w:jc w:val="center"/>
        <w:rPr>
          <w:rFonts w:ascii="Times New Roman" w:eastAsia="DengXian" w:hAnsi="Times New Roman" w:cs="Times New Roman"/>
          <w:b/>
          <w:bCs/>
          <w:sz w:val="20"/>
          <w:szCs w:val="20"/>
        </w:rPr>
      </w:pPr>
      <w:bookmarkStart w:id="0" w:name="_Hlk198558090"/>
      <w:r w:rsidRPr="009410F6">
        <w:rPr>
          <w:rFonts w:ascii="Times New Roman" w:eastAsia="DengXian" w:hAnsi="Times New Roman" w:cs="Times New Roman"/>
          <w:b/>
          <w:bCs/>
          <w:sz w:val="20"/>
          <w:szCs w:val="20"/>
        </w:rPr>
        <w:t>Financial development and macroeconomic interdependencies in developing economies: a comparative panel analysis</w:t>
      </w:r>
    </w:p>
    <w:bookmarkEnd w:id="0"/>
    <w:p w14:paraId="6666A32A" w14:textId="77777777" w:rsidR="009410F6" w:rsidRDefault="009410F6" w:rsidP="00F67605">
      <w:pPr>
        <w:spacing w:after="0" w:line="360" w:lineRule="auto"/>
        <w:jc w:val="center"/>
        <w:rPr>
          <w:rFonts w:ascii="Times New Roman" w:eastAsia="DengXian" w:hAnsi="Times New Roman" w:cs="Times New Roman"/>
          <w:b/>
          <w:bCs/>
          <w:sz w:val="20"/>
          <w:szCs w:val="20"/>
        </w:rPr>
      </w:pPr>
    </w:p>
    <w:p w14:paraId="2A241EE5" w14:textId="3F316E70" w:rsidR="00F67605" w:rsidRPr="00F67605" w:rsidRDefault="00F67605" w:rsidP="00F67605">
      <w:pPr>
        <w:spacing w:after="0" w:line="360" w:lineRule="auto"/>
        <w:jc w:val="center"/>
        <w:rPr>
          <w:rFonts w:ascii="Times New Roman" w:eastAsia="DengXian" w:hAnsi="Times New Roman" w:cs="Times New Roman"/>
          <w:b/>
          <w:bCs/>
          <w:sz w:val="20"/>
          <w:szCs w:val="20"/>
        </w:rPr>
      </w:pPr>
      <w:r w:rsidRPr="00F67605">
        <w:rPr>
          <w:rFonts w:ascii="Times New Roman" w:eastAsia="DengXian" w:hAnsi="Times New Roman" w:cs="Times New Roman"/>
          <w:b/>
          <w:bCs/>
          <w:sz w:val="20"/>
          <w:szCs w:val="20"/>
        </w:rPr>
        <w:t>Appendix A</w:t>
      </w:r>
    </w:p>
    <w:p w14:paraId="46C20D82" w14:textId="77777777" w:rsidR="00F67605" w:rsidRPr="00F67605" w:rsidRDefault="00F67605" w:rsidP="00F67605">
      <w:pPr>
        <w:shd w:val="clear" w:color="auto" w:fill="FFFFFF"/>
        <w:spacing w:after="0" w:line="360" w:lineRule="auto"/>
        <w:jc w:val="both"/>
        <w:rPr>
          <w:rFonts w:ascii="Times New Roman" w:eastAsia="DengXian" w:hAnsi="Times New Roman" w:cs="Times New Roman"/>
          <w:sz w:val="20"/>
          <w:szCs w:val="20"/>
          <w:shd w:val="clear" w:color="auto" w:fill="FFFFFF"/>
        </w:rPr>
      </w:pPr>
      <w:r w:rsidRPr="00F67605">
        <w:rPr>
          <w:rFonts w:ascii="Times New Roman" w:eastAsia="DengXian" w:hAnsi="Times New Roman" w:cs="Times New Roman"/>
          <w:sz w:val="20"/>
          <w:szCs w:val="20"/>
          <w:shd w:val="clear" w:color="auto" w:fill="FFFFFF"/>
        </w:rPr>
        <w:t>For the PMG, we can formulate long-run and short-run models as depicted in Eqs. (2) and (3) below:</w:t>
      </w:r>
    </w:p>
    <w:p w14:paraId="1D8D17A9"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position w:val="-28"/>
          <w:sz w:val="20"/>
          <w:szCs w:val="20"/>
        </w:rPr>
        <w:object w:dxaOrig="4560" w:dyaOrig="660" w14:anchorId="428880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0.65pt;height:36pt" o:ole="">
            <v:imagedata r:id="rId6" o:title=""/>
          </v:shape>
          <o:OLEObject Type="Embed" ProgID="Equation.DSMT4" ShapeID="_x0000_i1025" DrawAspect="Content" ObjectID="_1846736478" r:id="rId7"/>
        </w:object>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t>(2)</w:t>
      </w:r>
    </w:p>
    <w:p w14:paraId="48D1634B" w14:textId="77777777" w:rsidR="00F67605" w:rsidRPr="00F67605" w:rsidRDefault="00F67605" w:rsidP="00F67605">
      <w:pPr>
        <w:spacing w:after="0" w:line="360" w:lineRule="auto"/>
        <w:rPr>
          <w:rFonts w:ascii="Times New Roman" w:eastAsia="DengXian" w:hAnsi="Times New Roman" w:cs="Times New Roman"/>
          <w:sz w:val="20"/>
          <w:szCs w:val="20"/>
        </w:rPr>
      </w:pPr>
      <w:r w:rsidRPr="00F67605">
        <w:rPr>
          <w:rFonts w:ascii="Times New Roman" w:eastAsia="DengXian" w:hAnsi="Times New Roman" w:cs="Times New Roman"/>
          <w:sz w:val="20"/>
          <w:szCs w:val="20"/>
        </w:rPr>
        <w:t xml:space="preserve">The cross-sectional unit, time frame and optimal lags, are depicted by </w:t>
      </w:r>
      <w:r w:rsidRPr="00F67605">
        <w:rPr>
          <w:rFonts w:ascii="Times New Roman" w:eastAsia="DengXian" w:hAnsi="Times New Roman" w:cs="Times New Roman"/>
          <w:position w:val="-6"/>
          <w:sz w:val="20"/>
          <w:szCs w:val="20"/>
        </w:rPr>
        <w:object w:dxaOrig="120" w:dyaOrig="288" w14:anchorId="09AC27FC">
          <v:shape id="_x0000_i1026" type="#_x0000_t75" style="width:7.15pt;height:14.25pt" o:ole="">
            <v:imagedata r:id="rId8" o:title=""/>
          </v:shape>
          <o:OLEObject Type="Embed" ProgID="Equation.DSMT4" ShapeID="_x0000_i1026" DrawAspect="Content" ObjectID="_1846736479" r:id="rId9"/>
        </w:object>
      </w:r>
      <w:r w:rsidRPr="00F67605">
        <w:rPr>
          <w:rFonts w:ascii="Times New Roman" w:eastAsia="DengXian" w:hAnsi="Times New Roman" w:cs="Times New Roman"/>
          <w:sz w:val="20"/>
          <w:szCs w:val="20"/>
        </w:rPr>
        <w:t xml:space="preserve">, </w:t>
      </w:r>
      <w:r w:rsidRPr="00F67605">
        <w:rPr>
          <w:rFonts w:ascii="Times New Roman" w:eastAsia="DengXian" w:hAnsi="Times New Roman" w:cs="Times New Roman"/>
          <w:position w:val="-6"/>
          <w:sz w:val="20"/>
          <w:szCs w:val="20"/>
        </w:rPr>
        <w:object w:dxaOrig="120" w:dyaOrig="228" w14:anchorId="2C86AC24">
          <v:shape id="_x0000_i1027" type="#_x0000_t75" style="width:7.15pt;height:14.25pt" o:ole="">
            <v:imagedata r:id="rId10" o:title=""/>
          </v:shape>
          <o:OLEObject Type="Embed" ProgID="Equation.DSMT4" ShapeID="_x0000_i1027" DrawAspect="Content" ObjectID="_1846736480" r:id="rId11"/>
        </w:object>
      </w:r>
      <w:r w:rsidRPr="00F67605">
        <w:rPr>
          <w:rFonts w:ascii="Times New Roman" w:eastAsia="DengXian" w:hAnsi="Times New Roman" w:cs="Times New Roman"/>
          <w:sz w:val="20"/>
          <w:szCs w:val="20"/>
        </w:rPr>
        <w:t xml:space="preserve"> and </w:t>
      </w:r>
      <w:r w:rsidRPr="00F67605">
        <w:rPr>
          <w:rFonts w:ascii="Times New Roman" w:eastAsia="DengXian" w:hAnsi="Times New Roman" w:cs="Times New Roman"/>
          <w:position w:val="-10"/>
          <w:sz w:val="20"/>
          <w:szCs w:val="20"/>
        </w:rPr>
        <w:object w:dxaOrig="228" w:dyaOrig="348" w14:anchorId="4586A064">
          <v:shape id="_x0000_i1028" type="#_x0000_t75" style="width:14.25pt;height:14.25pt" o:ole="">
            <v:imagedata r:id="rId12" o:title=""/>
          </v:shape>
          <o:OLEObject Type="Embed" ProgID="Equation.DSMT4" ShapeID="_x0000_i1028" DrawAspect="Content" ObjectID="_1846736481" r:id="rId13"/>
        </w:object>
      </w:r>
      <w:r w:rsidRPr="00F67605">
        <w:rPr>
          <w:rFonts w:ascii="Times New Roman" w:eastAsia="DengXian" w:hAnsi="Times New Roman" w:cs="Times New Roman"/>
          <w:sz w:val="20"/>
          <w:szCs w:val="20"/>
        </w:rPr>
        <w:t xml:space="preserve"> respectively. </w:t>
      </w:r>
      <w:r w:rsidRPr="00F67605">
        <w:rPr>
          <w:rFonts w:ascii="Times New Roman" w:eastAsia="DengXian" w:hAnsi="Times New Roman" w:cs="Times New Roman"/>
          <w:position w:val="-12"/>
          <w:sz w:val="20"/>
          <w:szCs w:val="20"/>
        </w:rPr>
        <w:object w:dxaOrig="348" w:dyaOrig="372" w14:anchorId="58C408D3">
          <v:shape id="_x0000_i1029" type="#_x0000_t75" style="width:14.25pt;height:21.75pt" o:ole="">
            <v:imagedata r:id="rId14" o:title=""/>
          </v:shape>
          <o:OLEObject Type="Embed" ProgID="Equation.DSMT4" ShapeID="_x0000_i1029" DrawAspect="Content" ObjectID="_1846736482" r:id="rId15"/>
        </w:object>
      </w:r>
      <w:r w:rsidRPr="00F67605">
        <w:rPr>
          <w:rFonts w:ascii="Times New Roman" w:eastAsia="DengXian" w:hAnsi="Times New Roman" w:cs="Times New Roman"/>
          <w:sz w:val="20"/>
          <w:szCs w:val="20"/>
        </w:rPr>
        <w:t xml:space="preserve"> indicates the exogenous variables,  ΔGDP, ΔLNFDIIN, ΔLNFDIOUT, ΔLNGDI, ΔLNGCF, ΔLNEXP, ΔLNIMP, ΔLNTRADE, ΔINF, representing the independent variables. Moreover, optimal lag orders are depicted by p and q while</w:t>
      </w:r>
      <w:r w:rsidRPr="00F67605">
        <w:rPr>
          <w:rFonts w:ascii="Times New Roman" w:eastAsia="DengXian" w:hAnsi="Times New Roman" w:cs="Times New Roman"/>
          <w:position w:val="-12"/>
          <w:sz w:val="20"/>
          <w:szCs w:val="20"/>
        </w:rPr>
        <w:object w:dxaOrig="252" w:dyaOrig="372" w14:anchorId="73936117">
          <v:shape id="_x0000_i1030" type="#_x0000_t75" style="width:14.25pt;height:21.75pt" o:ole="">
            <v:imagedata r:id="rId16" o:title=""/>
          </v:shape>
          <o:OLEObject Type="Embed" ProgID="Equation.DSMT4" ShapeID="_x0000_i1030" DrawAspect="Content" ObjectID="_1846736483" r:id="rId17"/>
        </w:object>
      </w:r>
      <w:r w:rsidRPr="00F67605">
        <w:rPr>
          <w:rFonts w:ascii="Times New Roman" w:eastAsia="DengXian" w:hAnsi="Times New Roman" w:cs="Times New Roman"/>
          <w:sz w:val="20"/>
          <w:szCs w:val="20"/>
        </w:rPr>
        <w:t xml:space="preserve"> indicated the error terms in</w:t>
      </w:r>
      <w:r w:rsidRPr="00F67605">
        <w:rPr>
          <w:rFonts w:ascii="Times New Roman" w:eastAsia="DengXian" w:hAnsi="Times New Roman" w:cs="Times New Roman"/>
          <w:sz w:val="20"/>
          <w:szCs w:val="20"/>
          <w:shd w:val="clear" w:color="auto" w:fill="FFFFFF"/>
        </w:rPr>
        <w:t xml:space="preserve"> the short-run model estimation:</w:t>
      </w:r>
    </w:p>
    <w:p w14:paraId="23DB173A"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position w:val="-28"/>
          <w:sz w:val="20"/>
          <w:szCs w:val="20"/>
        </w:rPr>
        <w:object w:dxaOrig="6036" w:dyaOrig="660" w14:anchorId="78009268">
          <v:shape id="_x0000_i1031" type="#_x0000_t75" style="width:302.25pt;height:36pt" o:ole="">
            <v:imagedata r:id="rId18" o:title=""/>
          </v:shape>
          <o:OLEObject Type="Embed" ProgID="Equation.DSMT4" ShapeID="_x0000_i1031" DrawAspect="Content" ObjectID="_1846736484" r:id="rId19"/>
        </w:object>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t>(3)</w:t>
      </w:r>
    </w:p>
    <w:p w14:paraId="2716E3E3" w14:textId="77777777" w:rsidR="00F67605" w:rsidRPr="00F67605" w:rsidRDefault="00F67605" w:rsidP="00F67605">
      <w:pPr>
        <w:spacing w:after="0" w:line="360" w:lineRule="auto"/>
        <w:jc w:val="both"/>
        <w:rPr>
          <w:rFonts w:ascii="Times New Roman" w:eastAsia="DengXian" w:hAnsi="Times New Roman" w:cs="Times New Roman"/>
          <w:sz w:val="20"/>
          <w:szCs w:val="20"/>
          <w:shd w:val="clear" w:color="auto" w:fill="FFFFFF"/>
        </w:rPr>
      </w:pPr>
      <w:r w:rsidRPr="00F67605">
        <w:rPr>
          <w:rFonts w:ascii="Times New Roman" w:eastAsia="DengXian" w:hAnsi="Times New Roman" w:cs="Times New Roman"/>
          <w:sz w:val="20"/>
          <w:szCs w:val="20"/>
          <w:shd w:val="clear" w:color="auto" w:fill="FFFFFF"/>
        </w:rPr>
        <w:t>The ECT (Error Correction Term) evaluates the chosen variables in a long-term context. This analysis determines the rate of recovery of long-run equilibrium from short-run disturbances. Following a shock</w:t>
      </w:r>
      <w:r w:rsidRPr="00F67605">
        <w:rPr>
          <w:rFonts w:ascii="Times New Roman" w:eastAsia="DengXian" w:hAnsi="Times New Roman" w:cs="Times New Roman"/>
          <w:sz w:val="20"/>
          <w:szCs w:val="20"/>
          <w:shd w:val="clear" w:color="auto" w:fill="FFFFFF"/>
          <w:lang w:val="en-GB"/>
        </w:rPr>
        <w:t xml:space="preserve"> </w:t>
      </w:r>
      <w:r w:rsidRPr="00F67605">
        <w:rPr>
          <w:rFonts w:ascii="Times New Roman" w:eastAsia="DengXian" w:hAnsi="Times New Roman" w:cs="Times New Roman"/>
          <w:position w:val="-12"/>
          <w:sz w:val="20"/>
          <w:szCs w:val="20"/>
        </w:rPr>
        <w:object w:dxaOrig="672" w:dyaOrig="372" w14:anchorId="48FDA514">
          <v:shape id="_x0000_i1032" type="#_x0000_t75" style="width:36pt;height:21.75pt" o:ole="">
            <v:imagedata r:id="rId20" o:title=""/>
          </v:shape>
          <o:OLEObject Type="Embed" ProgID="Equation.DSMT4" ShapeID="_x0000_i1032" DrawAspect="Content" ObjectID="_1846736485" r:id="rId21"/>
        </w:object>
      </w:r>
      <w:r w:rsidRPr="00F67605">
        <w:rPr>
          <w:rFonts w:ascii="Times New Roman" w:eastAsia="DengXian" w:hAnsi="Times New Roman" w:cs="Times New Roman"/>
          <w:sz w:val="20"/>
          <w:szCs w:val="20"/>
          <w:shd w:val="clear" w:color="auto" w:fill="FFFFFF"/>
        </w:rPr>
        <w:t xml:space="preserve">, </w:t>
      </w:r>
      <w:r w:rsidRPr="00F67605">
        <w:rPr>
          <w:rFonts w:ascii="Times New Roman" w:eastAsia="DengXian" w:hAnsi="Times New Roman" w:cs="Times New Roman"/>
          <w:sz w:val="20"/>
          <w:szCs w:val="20"/>
          <w:shd w:val="clear" w:color="auto" w:fill="FFFFFF"/>
          <w:lang w:val="en-GB"/>
        </w:rPr>
        <w:t>it</w:t>
      </w:r>
      <w:r w:rsidRPr="00F67605">
        <w:rPr>
          <w:rFonts w:ascii="Times New Roman" w:eastAsia="DengXian" w:hAnsi="Times New Roman" w:cs="Times New Roman"/>
          <w:sz w:val="20"/>
          <w:szCs w:val="20"/>
          <w:shd w:val="clear" w:color="auto" w:fill="FFFFFF"/>
        </w:rPr>
        <w:t xml:space="preserve"> indicates the direction towards which the long-run equilibrium will converge, as demonstrated by</w:t>
      </w:r>
      <w:r w:rsidRPr="00F67605">
        <w:rPr>
          <w:rFonts w:ascii="Times New Roman" w:eastAsia="DengXian" w:hAnsi="Times New Roman" w:cs="Times New Roman"/>
          <w:position w:val="-14"/>
          <w:sz w:val="20"/>
          <w:szCs w:val="20"/>
        </w:rPr>
        <w:object w:dxaOrig="288" w:dyaOrig="372" w14:anchorId="45B2CF80">
          <v:shape id="_x0000_i1033" type="#_x0000_t75" style="width:14.25pt;height:21.75pt" o:ole="">
            <v:imagedata r:id="rId22" o:title=""/>
          </v:shape>
          <o:OLEObject Type="Embed" ProgID="Equation.DSMT4" ShapeID="_x0000_i1033" DrawAspect="Content" ObjectID="_1846736486" r:id="rId23"/>
        </w:object>
      </w:r>
      <w:r w:rsidRPr="00F67605">
        <w:rPr>
          <w:rFonts w:ascii="Times New Roman" w:eastAsia="DengXian" w:hAnsi="Times New Roman" w:cs="Times New Roman"/>
          <w:sz w:val="20"/>
          <w:szCs w:val="20"/>
          <w:shd w:val="clear" w:color="auto" w:fill="FFFFFF"/>
        </w:rPr>
        <w:t xml:space="preserve">. Additionally, the coefficients </w:t>
      </w:r>
      <w:r w:rsidRPr="00F67605">
        <w:rPr>
          <w:rFonts w:ascii="Times New Roman" w:eastAsia="DengXian" w:hAnsi="Times New Roman" w:cs="Times New Roman"/>
          <w:position w:val="-12"/>
          <w:sz w:val="20"/>
          <w:szCs w:val="20"/>
        </w:rPr>
        <w:object w:dxaOrig="552" w:dyaOrig="372" w14:anchorId="77CF362A">
          <v:shape id="_x0000_i1034" type="#_x0000_t75" style="width:28.9pt;height:21.75pt" o:ole="">
            <v:imagedata r:id="rId24" o:title=""/>
          </v:shape>
          <o:OLEObject Type="Embed" ProgID="Equation.DSMT4" ShapeID="_x0000_i1034" DrawAspect="Content" ObjectID="_1846736487" r:id="rId25"/>
        </w:object>
      </w:r>
      <w:r w:rsidRPr="00F67605">
        <w:rPr>
          <w:rFonts w:ascii="Times New Roman" w:eastAsia="DengXian" w:hAnsi="Times New Roman" w:cs="Times New Roman"/>
          <w:sz w:val="20"/>
          <w:szCs w:val="20"/>
          <w:shd w:val="clear" w:color="auto" w:fill="FFFFFF"/>
        </w:rPr>
        <w:t xml:space="preserve">must be both statistically significant and negative. The augmented mean group (AMG) methodology addresses cross-sectional dependency through the integration of dynamic effects. </w:t>
      </w:r>
      <w:r w:rsidRPr="00F67605">
        <w:rPr>
          <w:rFonts w:ascii="Times New Roman" w:eastAsia="DengXian" w:hAnsi="Times New Roman" w:cs="Times New Roman"/>
          <w:sz w:val="20"/>
          <w:szCs w:val="20"/>
        </w:rPr>
        <w:t>Eberhardt and Teal (2011)</w:t>
      </w:r>
      <w:r w:rsidRPr="00F67605">
        <w:rPr>
          <w:rFonts w:ascii="Times New Roman" w:eastAsia="DengXian" w:hAnsi="Times New Roman" w:cs="Times New Roman"/>
          <w:sz w:val="20"/>
          <w:szCs w:val="20"/>
          <w:shd w:val="clear" w:color="auto" w:fill="FFFFFF"/>
        </w:rPr>
        <w:t xml:space="preserve"> presented the AMG approach as a substitute for the two-step method proposed by </w:t>
      </w:r>
      <w:r w:rsidRPr="00F67605">
        <w:rPr>
          <w:rFonts w:ascii="Times New Roman" w:eastAsia="DengXian" w:hAnsi="Times New Roman" w:cs="Times New Roman"/>
          <w:sz w:val="20"/>
          <w:szCs w:val="20"/>
        </w:rPr>
        <w:fldChar w:fldCharType="begin"/>
      </w:r>
      <w:r w:rsidRPr="00F67605">
        <w:rPr>
          <w:rFonts w:ascii="Times New Roman" w:eastAsia="DengXian" w:hAnsi="Times New Roman" w:cs="Times New Roman"/>
          <w:sz w:val="20"/>
          <w:szCs w:val="20"/>
        </w:rPr>
        <w:instrText xml:space="preserve"> ADDIN EN.CITE &lt;EndNote&gt;&lt;Cite&gt;&lt;Author&gt;Pesaran&lt;/Author&gt;&lt;Year&gt;2008&lt;/Year&gt;&lt;RecNum&gt;795&lt;/RecNum&gt;&lt;DisplayText&gt;(M. Hashem Pesaran &amp;amp; Takashi Yamagata, 2008)&lt;/DisplayText&gt;&lt;record&gt;&lt;rec-number&gt;795&lt;/rec-number&gt;&lt;foreign-keys&gt;&lt;key app="EN" db-id="9rszadepy0apwietzvgprsfsvetpf5dse59f" timestamp="1719467985"&gt;795&lt;/key&gt;&lt;key app="ENWeb" db-id=""&gt;0&lt;/key&gt;&lt;/foreign-keys&gt;&lt;ref-type name="Journal Article"&gt;17&lt;/ref-type&gt;&lt;contributors&gt;&lt;authors&gt;&lt;author&gt;Pesaran, M. Hashem,&lt;/author&gt;&lt;author&gt;Yamagata, Takashi&lt;/author&gt;&lt;/authors&gt;&lt;/contributors&gt;&lt;titles&gt;&lt;title&gt;Testing slope homogeneity in large panels&lt;/title&gt;&lt;secondary-title&gt;Journal of Econometrics&lt;/secondary-title&gt;&lt;/titles&gt;&lt;periodical&gt;&lt;full-title&gt;Journal of Econometrics&lt;/full-title&gt;&lt;abbr-1&gt;J. Econometrics&lt;/abbr-1&gt;&lt;abbr-2&gt;J Econometrics&lt;/abbr-2&gt;&lt;/periodical&gt;&lt;pages&gt;50-93&lt;/pages&gt;&lt;volume&gt;142&lt;/volume&gt;&lt;number&gt;1&lt;/number&gt;&lt;keywords&gt;&lt;keyword&gt;Tests of slope homogeneity&lt;/keyword&gt;&lt;keyword&gt;Dispersion tests&lt;/keyword&gt;&lt;keyword&gt;Large panels&lt;/keyword&gt;&lt;keyword&gt;Monte Carlo results&lt;/keyword&gt;&lt;/keywords&gt;&lt;dates&gt;&lt;year&gt;2008&lt;/year&gt;&lt;pub-dates&gt;&lt;date&gt;2008/01/01/&lt;/date&gt;&lt;/pub-dates&gt;&lt;/dates&gt;&lt;isbn&gt;0304-4076&lt;/isbn&gt;&lt;urls&gt;&lt;related-urls&gt;&lt;url&gt;https://www.sciencedirect.com/science/article/pii/S0304407607001224&lt;/url&gt;&lt;url&gt;https://www.sciencedirect.com/science/article/pii/S0304407607001224?via%3Dihub&lt;/url&gt;&lt;/related-urls&gt;&lt;/urls&gt;&lt;electronic-resource-num&gt;https://doi.org/10.1016/j.jeconom.2007.05.010&lt;/electronic-resource-num&gt;&lt;/record&gt;&lt;/Cite&gt;&lt;/EndNote&gt;</w:instrText>
      </w:r>
      <w:r w:rsidRPr="00F67605">
        <w:rPr>
          <w:rFonts w:ascii="Times New Roman" w:eastAsia="DengXian" w:hAnsi="Times New Roman" w:cs="Times New Roman"/>
          <w:sz w:val="20"/>
          <w:szCs w:val="20"/>
        </w:rPr>
        <w:fldChar w:fldCharType="separate"/>
      </w:r>
      <w:r w:rsidRPr="00F67605">
        <w:rPr>
          <w:rFonts w:ascii="Times New Roman" w:eastAsia="DengXian" w:hAnsi="Times New Roman" w:cs="Times New Roman"/>
          <w:noProof/>
          <w:sz w:val="20"/>
          <w:szCs w:val="20"/>
        </w:rPr>
        <w:t>(</w:t>
      </w:r>
      <w:hyperlink w:anchor="_ENREF_37" w:tooltip="Pesaran, 2008 #795" w:history="1">
        <w:r w:rsidRPr="00F67605">
          <w:rPr>
            <w:rFonts w:ascii="Times New Roman" w:eastAsia="DengXian" w:hAnsi="Times New Roman" w:cs="Times New Roman"/>
            <w:sz w:val="20"/>
            <w:szCs w:val="20"/>
          </w:rPr>
          <w:t>Pesaran and Yamagata, 2008</w:t>
        </w:r>
      </w:hyperlink>
      <w:r w:rsidRPr="00F67605">
        <w:rPr>
          <w:rFonts w:ascii="Times New Roman" w:eastAsia="DengXian" w:hAnsi="Times New Roman" w:cs="Times New Roman"/>
          <w:noProof/>
          <w:sz w:val="20"/>
          <w:szCs w:val="20"/>
        </w:rPr>
        <w:t>)</w:t>
      </w:r>
      <w:r w:rsidRPr="00F67605">
        <w:rPr>
          <w:rFonts w:ascii="Times New Roman" w:eastAsia="DengXian" w:hAnsi="Times New Roman" w:cs="Times New Roman"/>
          <w:sz w:val="20"/>
          <w:szCs w:val="20"/>
        </w:rPr>
        <w:fldChar w:fldCharType="end"/>
      </w:r>
      <w:r w:rsidRPr="00F67605">
        <w:rPr>
          <w:rFonts w:ascii="Times New Roman" w:eastAsia="DengXian" w:hAnsi="Times New Roman" w:cs="Times New Roman"/>
          <w:sz w:val="20"/>
          <w:szCs w:val="20"/>
          <w:shd w:val="clear" w:color="auto" w:fill="FFFFFF"/>
        </w:rPr>
        <w:t>. Initially, ordinary least squares (OLS) in difference form is employed to integrate unobserved time dummies, as demonstrated in Equations 4 and 5 below:</w:t>
      </w:r>
    </w:p>
    <w:bookmarkStart w:id="1" w:name="_Hlk166657719"/>
    <w:p w14:paraId="343150CF"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position w:val="-28"/>
          <w:sz w:val="20"/>
          <w:szCs w:val="20"/>
        </w:rPr>
        <w:object w:dxaOrig="3972" w:dyaOrig="552" w14:anchorId="635DF333">
          <v:shape id="_x0000_i1035" type="#_x0000_t75" style="width:201.75pt;height:28.9pt" o:ole="">
            <v:imagedata r:id="rId26" o:title=""/>
          </v:shape>
          <o:OLEObject Type="Embed" ProgID="Equation.DSMT4" ShapeID="_x0000_i1035" DrawAspect="Content" ObjectID="_1846736488" r:id="rId27"/>
        </w:object>
      </w:r>
      <w:bookmarkEnd w:id="1"/>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t>(4)</w:t>
      </w:r>
    </w:p>
    <w:p w14:paraId="62F5EAC4"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sz w:val="20"/>
          <w:szCs w:val="20"/>
        </w:rPr>
        <w:t>Where</w:t>
      </w:r>
      <w:r w:rsidRPr="00F67605">
        <w:rPr>
          <w:rFonts w:ascii="Times New Roman" w:eastAsia="DengXian" w:hAnsi="Times New Roman" w:cs="Times New Roman"/>
          <w:position w:val="-12"/>
          <w:sz w:val="20"/>
          <w:szCs w:val="20"/>
        </w:rPr>
        <w:object w:dxaOrig="300" w:dyaOrig="372" w14:anchorId="2647D4CE">
          <v:shape id="_x0000_i1036" type="#_x0000_t75" style="width:14.25pt;height:21.75pt" o:ole="">
            <v:imagedata r:id="rId28" o:title=""/>
          </v:shape>
          <o:OLEObject Type="Embed" ProgID="Equation.DSMT4" ShapeID="_x0000_i1036" DrawAspect="Content" ObjectID="_1846736489" r:id="rId29"/>
        </w:object>
      </w:r>
      <w:r w:rsidRPr="00F67605">
        <w:rPr>
          <w:rFonts w:ascii="Times New Roman" w:eastAsia="DengXian" w:hAnsi="Times New Roman" w:cs="Times New Roman"/>
          <w:sz w:val="20"/>
          <w:szCs w:val="20"/>
        </w:rPr>
        <w:t xml:space="preserve">presents dependent variable, </w:t>
      </w:r>
      <w:r w:rsidRPr="00F67605">
        <w:rPr>
          <w:rFonts w:ascii="Times New Roman" w:eastAsia="DengXian" w:hAnsi="Times New Roman" w:cs="Times New Roman"/>
          <w:position w:val="-12"/>
          <w:sz w:val="20"/>
          <w:szCs w:val="20"/>
        </w:rPr>
        <w:object w:dxaOrig="252" w:dyaOrig="372" w14:anchorId="2CBB9E2E">
          <v:shape id="_x0000_i1037" type="#_x0000_t75" style="width:14.25pt;height:21.75pt" o:ole="">
            <v:imagedata r:id="rId30" o:title=""/>
          </v:shape>
          <o:OLEObject Type="Embed" ProgID="Equation.DSMT4" ShapeID="_x0000_i1037" DrawAspect="Content" ObjectID="_1846736490" r:id="rId31"/>
        </w:object>
      </w:r>
      <w:r w:rsidRPr="00F67605">
        <w:rPr>
          <w:rFonts w:ascii="Times New Roman" w:eastAsia="DengXian" w:hAnsi="Times New Roman" w:cs="Times New Roman"/>
          <w:sz w:val="20"/>
          <w:szCs w:val="20"/>
        </w:rPr>
        <w:t xml:space="preserve"> presents explanatory variables, </w:t>
      </w:r>
      <w:r w:rsidRPr="00F67605">
        <w:rPr>
          <w:rFonts w:ascii="Times New Roman" w:eastAsia="DengXian" w:hAnsi="Times New Roman" w:cs="Times New Roman"/>
          <w:position w:val="-4"/>
          <w:sz w:val="20"/>
          <w:szCs w:val="20"/>
        </w:rPr>
        <w:object w:dxaOrig="228" w:dyaOrig="252" w14:anchorId="34B01F28">
          <v:shape id="_x0000_i1038" type="#_x0000_t75" style="width:14.25pt;height:14.25pt" o:ole="">
            <v:imagedata r:id="rId32" o:title=""/>
          </v:shape>
          <o:OLEObject Type="Embed" ProgID="Equation.DSMT4" ShapeID="_x0000_i1038" DrawAspect="Content" ObjectID="_1846736491" r:id="rId33"/>
        </w:object>
      </w:r>
      <w:r w:rsidRPr="00F67605">
        <w:rPr>
          <w:rFonts w:ascii="Times New Roman" w:eastAsia="DengXian" w:hAnsi="Times New Roman" w:cs="Times New Roman"/>
          <w:sz w:val="20"/>
          <w:szCs w:val="20"/>
        </w:rPr>
        <w:t xml:space="preserve"> indicates differenced and </w:t>
      </w:r>
      <w:r w:rsidRPr="00F67605">
        <w:rPr>
          <w:rFonts w:ascii="Times New Roman" w:eastAsia="DengXian" w:hAnsi="Times New Roman" w:cs="Times New Roman"/>
          <w:position w:val="-12"/>
          <w:sz w:val="20"/>
          <w:szCs w:val="20"/>
        </w:rPr>
        <w:object w:dxaOrig="300" w:dyaOrig="372" w14:anchorId="63A81034">
          <v:shape id="_x0000_i1039" type="#_x0000_t75" style="width:14.25pt;height:21.75pt" o:ole="">
            <v:imagedata r:id="rId34" o:title=""/>
          </v:shape>
          <o:OLEObject Type="Embed" ProgID="Equation.DSMT4" ShapeID="_x0000_i1039" DrawAspect="Content" ObjectID="_1846736492" r:id="rId35"/>
        </w:object>
      </w:r>
      <w:r w:rsidRPr="00F67605">
        <w:rPr>
          <w:rFonts w:ascii="Times New Roman" w:eastAsia="DengXian" w:hAnsi="Times New Roman" w:cs="Times New Roman"/>
          <w:sz w:val="20"/>
          <w:szCs w:val="20"/>
        </w:rPr>
        <w:t xml:space="preserve"> presents intercept. </w:t>
      </w:r>
      <w:r w:rsidRPr="00F67605">
        <w:rPr>
          <w:rFonts w:ascii="Times New Roman" w:eastAsia="DengXian" w:hAnsi="Times New Roman" w:cs="Times New Roman"/>
          <w:position w:val="-12"/>
          <w:sz w:val="20"/>
          <w:szCs w:val="20"/>
        </w:rPr>
        <w:object w:dxaOrig="252" w:dyaOrig="372" w14:anchorId="41829074">
          <v:shape id="_x0000_i1040" type="#_x0000_t75" style="width:14.25pt;height:21.75pt" o:ole="">
            <v:imagedata r:id="rId30" o:title=""/>
          </v:shape>
          <o:OLEObject Type="Embed" ProgID="Equation.DSMT4" ShapeID="_x0000_i1040" DrawAspect="Content" ObjectID="_1846736493" r:id="rId36"/>
        </w:object>
      </w:r>
      <w:r w:rsidRPr="00F67605">
        <w:rPr>
          <w:rFonts w:ascii="Times New Roman" w:eastAsia="DengXian" w:hAnsi="Times New Roman" w:cs="Times New Roman"/>
          <w:sz w:val="20"/>
          <w:szCs w:val="20"/>
        </w:rPr>
        <w:t xml:space="preserve">, </w:t>
      </w:r>
      <w:r w:rsidRPr="00F67605">
        <w:rPr>
          <w:rFonts w:ascii="Times New Roman" w:eastAsia="DengXian" w:hAnsi="Times New Roman" w:cs="Times New Roman"/>
          <w:position w:val="-12"/>
          <w:sz w:val="20"/>
          <w:szCs w:val="20"/>
        </w:rPr>
        <w:object w:dxaOrig="300" w:dyaOrig="372" w14:anchorId="48EC8BC1">
          <v:shape id="_x0000_i1041" type="#_x0000_t75" style="width:14.25pt;height:21.75pt" o:ole="">
            <v:imagedata r:id="rId37" o:title=""/>
          </v:shape>
          <o:OLEObject Type="Embed" ProgID="Equation.DSMT4" ShapeID="_x0000_i1041" DrawAspect="Content" ObjectID="_1846736494" r:id="rId38"/>
        </w:object>
      </w:r>
      <w:r w:rsidRPr="00F67605">
        <w:rPr>
          <w:rFonts w:ascii="Times New Roman" w:eastAsia="DengXian" w:hAnsi="Times New Roman" w:cs="Times New Roman"/>
          <w:sz w:val="20"/>
          <w:szCs w:val="20"/>
        </w:rPr>
        <w:t xml:space="preserve">and </w:t>
      </w:r>
      <w:r w:rsidRPr="00F67605">
        <w:rPr>
          <w:rFonts w:ascii="Times New Roman" w:eastAsia="DengXian" w:hAnsi="Times New Roman" w:cs="Times New Roman"/>
          <w:position w:val="-12"/>
          <w:sz w:val="20"/>
          <w:szCs w:val="20"/>
        </w:rPr>
        <w:object w:dxaOrig="312" w:dyaOrig="372" w14:anchorId="35BA4E3F">
          <v:shape id="_x0000_i1042" type="#_x0000_t75" style="width:14.25pt;height:21.75pt" o:ole="">
            <v:imagedata r:id="rId39" o:title=""/>
          </v:shape>
          <o:OLEObject Type="Embed" ProgID="Equation.DSMT4" ShapeID="_x0000_i1042" DrawAspect="Content" ObjectID="_1846736495" r:id="rId40"/>
        </w:object>
      </w:r>
      <w:r w:rsidRPr="00F67605">
        <w:rPr>
          <w:rFonts w:ascii="Times New Roman" w:eastAsia="DengXian" w:hAnsi="Times New Roman" w:cs="Times New Roman"/>
          <w:sz w:val="20"/>
          <w:szCs w:val="20"/>
        </w:rPr>
        <w:t xml:space="preserve"> indicates the slope of cross-sections, unobserved common effects and heterogenous factors. Parameters for AMG model for every cross-section are averaged as:</w:t>
      </w:r>
    </w:p>
    <w:p w14:paraId="0F3C4BAE" w14:textId="77777777" w:rsidR="00F67605" w:rsidRPr="00F67605" w:rsidRDefault="00F67605" w:rsidP="00F67605">
      <w:pPr>
        <w:spacing w:after="0" w:line="360" w:lineRule="auto"/>
        <w:jc w:val="both"/>
        <w:rPr>
          <w:rFonts w:ascii="Times New Roman" w:eastAsia="DengXian" w:hAnsi="Times New Roman" w:cs="Times New Roman"/>
          <w:sz w:val="20"/>
          <w:szCs w:val="20"/>
        </w:rPr>
      </w:pPr>
      <w:r w:rsidRPr="00F67605">
        <w:rPr>
          <w:rFonts w:ascii="Times New Roman" w:eastAsia="DengXian" w:hAnsi="Times New Roman" w:cs="Times New Roman"/>
          <w:position w:val="-28"/>
          <w:sz w:val="20"/>
          <w:szCs w:val="20"/>
        </w:rPr>
        <w:object w:dxaOrig="1668" w:dyaOrig="672" w14:anchorId="47588647">
          <v:shape id="_x0000_i1043" type="#_x0000_t75" style="width:86.25pt;height:36pt" o:ole="">
            <v:imagedata r:id="rId41" o:title=""/>
          </v:shape>
          <o:OLEObject Type="Embed" ProgID="Equation.DSMT4" ShapeID="_x0000_i1043" DrawAspect="Content" ObjectID="_1846736496" r:id="rId42"/>
        </w:object>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r>
      <w:r w:rsidRPr="00F67605">
        <w:rPr>
          <w:rFonts w:ascii="Times New Roman" w:eastAsia="DengXian" w:hAnsi="Times New Roman" w:cs="Times New Roman"/>
          <w:sz w:val="20"/>
          <w:szCs w:val="20"/>
        </w:rPr>
        <w:tab/>
        <w:t>(5)</w:t>
      </w:r>
    </w:p>
    <w:p w14:paraId="173009F6" w14:textId="77777777" w:rsidR="00F67605" w:rsidRPr="00F67605" w:rsidRDefault="00F67605" w:rsidP="00F67605">
      <w:pPr>
        <w:autoSpaceDE w:val="0"/>
        <w:autoSpaceDN w:val="0"/>
        <w:adjustRightInd w:val="0"/>
        <w:spacing w:after="0" w:line="360" w:lineRule="auto"/>
        <w:jc w:val="both"/>
        <w:rPr>
          <w:rFonts w:ascii="Times New Roman" w:eastAsia="DengXian" w:hAnsi="Times New Roman" w:cs="Times New Roman"/>
          <w:kern w:val="0"/>
          <w:sz w:val="20"/>
          <w:szCs w:val="20"/>
          <w:lang w:val="en-GB" w:bidi="bn-BD"/>
          <w14:ligatures w14:val="none"/>
        </w:rPr>
      </w:pPr>
      <w:r w:rsidRPr="00F67605">
        <w:rPr>
          <w:rFonts w:ascii="Times New Roman" w:eastAsia="DengXian" w:hAnsi="Times New Roman" w:cs="Times New Roman"/>
          <w:kern w:val="0"/>
          <w:sz w:val="20"/>
          <w:szCs w:val="20"/>
          <w:lang w:val="en-GB" w:bidi="bn-BD"/>
          <w14:ligatures w14:val="none"/>
        </w:rPr>
        <w:t xml:space="preserve">After the cointegration test and confirming the long-term relationships among the variables, the next step is to estimate the long run cointegration parameters. The equation of the single cointegration vector was used to assess the direction and magnitude of the independent factors' impacts on the dependent variables, utilizing the panel Fully Modified OLS (FMOLS) estimator, as utilized by </w:t>
      </w:r>
      <w:r w:rsidRPr="00F67605">
        <w:rPr>
          <w:rFonts w:ascii="Times New Roman" w:eastAsia="DengXian" w:hAnsi="Times New Roman" w:cs="Times New Roman"/>
          <w:kern w:val="0"/>
          <w:sz w:val="20"/>
          <w:szCs w:val="20"/>
          <w:lang w:val="en-GB" w:bidi="bn-BD"/>
          <w14:ligatures w14:val="none"/>
        </w:rPr>
        <w:fldChar w:fldCharType="begin"/>
      </w:r>
      <w:r w:rsidRPr="00F67605">
        <w:rPr>
          <w:rFonts w:ascii="Times New Roman" w:eastAsia="DengXian" w:hAnsi="Times New Roman" w:cs="Times New Roman"/>
          <w:kern w:val="0"/>
          <w:sz w:val="20"/>
          <w:szCs w:val="20"/>
          <w:lang w:val="en-GB" w:bidi="bn-BD"/>
          <w14:ligatures w14:val="none"/>
        </w:rPr>
        <w:instrText xml:space="preserve"> ADDIN EN.CITE &lt;EndNote&gt;&lt;Cite&gt;&lt;Author&gt;Musa&lt;/Author&gt;&lt;Year&gt;2022&lt;/Year&gt;&lt;RecNum&gt;680&lt;/RecNum&gt;&lt;DisplayText&gt;(Musa et al., 2022)&lt;/DisplayText&gt;&lt;record&gt;&lt;rec-number&gt;680&lt;/rec-number&gt;&lt;foreign-keys&gt;&lt;key app="EN" db-id="pr9errdtjsfza8epeft5fvzmdvwfxpaxx95r" timestamp="1664327044"&gt;680&lt;/key&gt;&lt;/foreign-keys&gt;&lt;ref-type name="Journal Article"&gt;17&lt;/ref-type&gt;&lt;contributors&gt;&lt;authors&gt;&lt;author&gt;Musa, Mohammad&lt;/author&gt;&lt;author&gt;Yi, Lan&lt;/author&gt;&lt;author&gt;Rahman, Preethu&lt;/author&gt;&lt;author&gt;Ali, Muhammad Abu Sufyan&lt;/author&gt;&lt;author&gt;Yang, Li&lt;/author&gt;&lt;/authors&gt;&lt;/contributors&gt;&lt;titles&gt;&lt;title&gt;Do anthropogenic and natural factors elevate the haze pollution in the South Asian countries? Evidence from long-term cointegration and VECM causality estimation&lt;/title&gt;&lt;secondary-title&gt;Environmental Science and Pollution Research&lt;/secondary-title&gt;&lt;/titles&gt;&lt;periodical&gt;&lt;full-title&gt;Environmental Science and Pollution Research&lt;/full-title&gt;&lt;/periodical&gt;&lt;dates&gt;&lt;year&gt;2022&lt;/year&gt;&lt;pub-dates&gt;&lt;date&gt;2022/07/08&lt;/date&gt;&lt;/pub-dates&gt;&lt;/dates&gt;&lt;isbn&gt;1614-7499&lt;/isbn&gt;&lt;urls&gt;&lt;related-urls&gt;&lt;url&gt;https://doi.org/10.1007/s11356-022-21759-w&lt;/url&gt;&lt;/related-urls&gt;&lt;/urls&gt;&lt;electronic-resource-num&gt;10.1007/s11356-022-21759-w&lt;/electronic-resource-num&gt;&lt;/record&gt;&lt;/Cite&gt;&lt;/EndNote&gt;</w:instrText>
      </w:r>
      <w:r w:rsidRPr="00F67605">
        <w:rPr>
          <w:rFonts w:ascii="Times New Roman" w:eastAsia="DengXian" w:hAnsi="Times New Roman" w:cs="Times New Roman"/>
          <w:kern w:val="0"/>
          <w:sz w:val="20"/>
          <w:szCs w:val="20"/>
          <w:lang w:val="en-GB" w:bidi="bn-BD"/>
          <w14:ligatures w14:val="none"/>
        </w:rPr>
        <w:fldChar w:fldCharType="separate"/>
      </w:r>
      <w:r w:rsidRPr="00F67605">
        <w:rPr>
          <w:rFonts w:ascii="Times New Roman" w:eastAsia="DengXian" w:hAnsi="Times New Roman" w:cs="Times New Roman"/>
          <w:noProof/>
          <w:kern w:val="0"/>
          <w:sz w:val="20"/>
          <w:szCs w:val="20"/>
          <w:lang w:val="en-GB" w:bidi="bn-BD"/>
          <w14:ligatures w14:val="none"/>
        </w:rPr>
        <w:t>(</w:t>
      </w:r>
      <w:hyperlink w:anchor="_ENREF_33" w:tooltip="Musa, 2022 #680" w:history="1">
        <w:r w:rsidRPr="00F67605">
          <w:rPr>
            <w:rFonts w:ascii="Times New Roman" w:eastAsia="DengXian" w:hAnsi="Times New Roman" w:cs="Times New Roman"/>
            <w:sz w:val="20"/>
            <w:szCs w:val="20"/>
          </w:rPr>
          <w:t>Musa et al., 2022</w:t>
        </w:r>
      </w:hyperlink>
      <w:r w:rsidRPr="00F67605">
        <w:rPr>
          <w:rFonts w:ascii="Times New Roman" w:eastAsia="DengXian" w:hAnsi="Times New Roman" w:cs="Times New Roman"/>
          <w:noProof/>
          <w:kern w:val="0"/>
          <w:sz w:val="20"/>
          <w:szCs w:val="20"/>
          <w:lang w:val="en-GB" w:bidi="bn-BD"/>
          <w14:ligatures w14:val="none"/>
        </w:rPr>
        <w:t>)</w:t>
      </w:r>
      <w:r w:rsidRPr="00F67605">
        <w:rPr>
          <w:rFonts w:ascii="Times New Roman" w:eastAsia="DengXian" w:hAnsi="Times New Roman" w:cs="Times New Roman"/>
          <w:kern w:val="0"/>
          <w:sz w:val="20"/>
          <w:szCs w:val="20"/>
          <w:lang w:val="en-GB" w:bidi="bn-BD"/>
          <w14:ligatures w14:val="none"/>
        </w:rPr>
        <w:fldChar w:fldCharType="end"/>
      </w:r>
      <w:r w:rsidRPr="00F67605">
        <w:rPr>
          <w:rFonts w:ascii="Times New Roman" w:eastAsia="DengXian" w:hAnsi="Times New Roman" w:cs="Times New Roman"/>
          <w:kern w:val="0"/>
          <w:sz w:val="20"/>
          <w:szCs w:val="20"/>
          <w:lang w:val="en-GB" w:bidi="bn-BD"/>
          <w14:ligatures w14:val="none"/>
        </w:rPr>
        <w:t>. It computes the average long-term covariance matrix of a one-</w:t>
      </w:r>
      <w:r w:rsidRPr="00F67605">
        <w:rPr>
          <w:rFonts w:ascii="Times New Roman" w:eastAsia="DengXian" w:hAnsi="Times New Roman" w:cs="Times New Roman"/>
          <w:kern w:val="0"/>
          <w:sz w:val="20"/>
          <w:szCs w:val="20"/>
          <w:lang w:val="en-GB" w:bidi="bn-BD"/>
          <w14:ligatures w14:val="none"/>
        </w:rPr>
        <w:lastRenderedPageBreak/>
        <w:t xml:space="preserve">sided long-term covariance matrix </w:t>
      </w:r>
      <m:oMath>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Λ</m:t>
            </m:r>
          </m:e>
          <m:sub>
            <m:r>
              <w:rPr>
                <w:rFonts w:ascii="Cambria Math" w:eastAsia="DengXian" w:hAnsi="Cambria Math" w:cs="Times New Roman"/>
                <w:kern w:val="0"/>
                <w:sz w:val="20"/>
                <w:szCs w:val="20"/>
                <w:lang w:val="en-GB" w:bidi="bn-BD"/>
                <w14:ligatures w14:val="none"/>
              </w:rPr>
              <m:t>i</m:t>
            </m:r>
          </m:sub>
        </m:sSub>
      </m:oMath>
      <w:r w:rsidRPr="00F67605">
        <w:rPr>
          <w:rFonts w:ascii="Times New Roman" w:eastAsia="DengXian" w:hAnsi="Times New Roman" w:cs="Times New Roman"/>
          <w:kern w:val="0"/>
          <w:sz w:val="20"/>
          <w:szCs w:val="20"/>
          <w:lang w:val="en-GB" w:bidi="bn-BD"/>
          <w14:ligatures w14:val="none"/>
        </w:rPr>
        <w:t xml:space="preserve"> and a long-term covariance matrix </w:t>
      </w:r>
      <m:oMath>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Ω</m:t>
            </m:r>
          </m:e>
          <m:sub>
            <m:r>
              <w:rPr>
                <w:rFonts w:ascii="Cambria Math" w:eastAsia="DengXian" w:hAnsi="Cambria Math" w:cs="Times New Roman"/>
                <w:kern w:val="0"/>
                <w:sz w:val="20"/>
                <w:szCs w:val="20"/>
                <w:lang w:val="en-GB" w:bidi="bn-BD"/>
                <w14:ligatures w14:val="none"/>
              </w:rPr>
              <m:t>i</m:t>
            </m:r>
          </m:sub>
        </m:sSub>
      </m:oMath>
      <w:r w:rsidRPr="00F67605">
        <w:rPr>
          <w:rFonts w:ascii="Times New Roman" w:eastAsia="DengXian" w:hAnsi="Times New Roman" w:cs="Times New Roman"/>
          <w:kern w:val="0"/>
          <w:sz w:val="20"/>
          <w:szCs w:val="20"/>
          <w:lang w:val="en-GB" w:bidi="bn-BD"/>
          <w14:ligatures w14:val="none"/>
        </w:rPr>
        <w:t xml:space="preserve"> with the amended dependent variable ( </w:t>
      </w:r>
      <m:oMath>
        <m:sSubSup>
          <m:sSubSupPr>
            <m:ctrlPr>
              <w:rPr>
                <w:rFonts w:ascii="Cambria Math" w:eastAsia="DengXian" w:hAnsi="Cambria Math" w:cs="Times New Roman"/>
                <w:i/>
                <w:kern w:val="0"/>
                <w:sz w:val="20"/>
                <w:szCs w:val="20"/>
                <w:lang w:val="en-GB" w:bidi="bn-BD"/>
                <w14:ligatures w14:val="none"/>
              </w:rPr>
            </m:ctrlPr>
          </m:sSubSupPr>
          <m:e>
            <m:r>
              <w:rPr>
                <w:rFonts w:ascii="Cambria Math" w:eastAsia="DengXian" w:hAnsi="Cambria Math" w:cs="Times New Roman"/>
                <w:kern w:val="0"/>
                <w:sz w:val="20"/>
                <w:szCs w:val="20"/>
                <w:lang w:val="en-GB" w:bidi="bn-BD"/>
                <w14:ligatures w14:val="none"/>
              </w:rPr>
              <m:t>ỹ</m:t>
            </m:r>
          </m:e>
          <m:sub>
            <m:r>
              <w:rPr>
                <w:rFonts w:ascii="Cambria Math" w:eastAsia="DengXian" w:hAnsi="Cambria Math" w:cs="Times New Roman"/>
                <w:kern w:val="0"/>
                <w:sz w:val="20"/>
                <w:szCs w:val="20"/>
                <w:lang w:val="en-GB" w:bidi="bn-BD"/>
                <w14:ligatures w14:val="none"/>
              </w:rPr>
              <m:t>it</m:t>
            </m:r>
          </m:sub>
          <m:sup>
            <m:r>
              <w:rPr>
                <w:rFonts w:ascii="Cambria Math" w:eastAsia="DengXian" w:hAnsi="Cambria Math" w:cs="Times New Roman"/>
                <w:kern w:val="0"/>
                <w:sz w:val="20"/>
                <w:szCs w:val="20"/>
                <w:lang w:val="en-GB" w:bidi="bn-BD"/>
                <w14:ligatures w14:val="none"/>
              </w:rPr>
              <m:t>+</m:t>
            </m:r>
          </m:sup>
        </m:sSubSup>
      </m:oMath>
      <w:r w:rsidRPr="00F67605">
        <w:rPr>
          <w:rFonts w:ascii="Times New Roman" w:eastAsia="DengXian" w:hAnsi="Times New Roman" w:cs="Times New Roman"/>
          <w:kern w:val="0"/>
          <w:sz w:val="20"/>
          <w:szCs w:val="20"/>
          <w:lang w:val="en-GB" w:bidi="bn-BD"/>
          <w14:ligatures w14:val="none"/>
        </w:rPr>
        <w:t>) and serial correlation correction terms specified in the long term (</w:t>
      </w:r>
      <m:oMath>
        <m:sSubSup>
          <m:sSubSupPr>
            <m:ctrlPr>
              <w:rPr>
                <w:rFonts w:ascii="Cambria Math" w:eastAsia="DengXian" w:hAnsi="Cambria Math" w:cs="Times New Roman"/>
                <w:i/>
                <w:kern w:val="0"/>
                <w:sz w:val="20"/>
                <w:szCs w:val="20"/>
                <w:lang w:val="en-GB" w:bidi="bn-BD"/>
                <w14:ligatures w14:val="none"/>
              </w:rPr>
            </m:ctrlPr>
          </m:sSubSup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λ</m:t>
                </m:r>
              </m:e>
            </m:acc>
          </m:e>
          <m:sub>
            <m:r>
              <w:rPr>
                <w:rFonts w:ascii="Cambria Math" w:eastAsia="DengXian" w:hAnsi="Cambria Math" w:cs="Times New Roman"/>
                <w:kern w:val="0"/>
                <w:sz w:val="20"/>
                <w:szCs w:val="20"/>
                <w:lang w:val="en-GB" w:bidi="bn-BD"/>
                <w14:ligatures w14:val="none"/>
              </w:rPr>
              <m:t>12</m:t>
            </m:r>
          </m:sub>
          <m:sup>
            <m:r>
              <w:rPr>
                <w:rFonts w:ascii="Cambria Math" w:eastAsia="DengXian" w:hAnsi="Cambria Math" w:cs="Times New Roman"/>
                <w:kern w:val="0"/>
                <w:sz w:val="20"/>
                <w:szCs w:val="20"/>
                <w:lang w:val="en-GB" w:bidi="bn-BD"/>
                <w14:ligatures w14:val="none"/>
              </w:rPr>
              <m:t>+</m:t>
            </m:r>
          </m:sup>
        </m:sSubSup>
      </m:oMath>
      <w:r w:rsidRPr="00F67605">
        <w:rPr>
          <w:rFonts w:ascii="Times New Roman" w:eastAsia="DengXian" w:hAnsi="Times New Roman" w:cs="Times New Roman"/>
          <w:kern w:val="0"/>
          <w:sz w:val="20"/>
          <w:szCs w:val="20"/>
          <w:lang w:val="en-GB" w:bidi="bn-BD"/>
          <w14:ligatures w14:val="none"/>
        </w:rPr>
        <w:t>):</w:t>
      </w:r>
    </w:p>
    <w:p w14:paraId="28FADB3D" w14:textId="77777777" w:rsidR="00F67605" w:rsidRPr="00F67605" w:rsidRDefault="00000000" w:rsidP="00F67605">
      <w:pPr>
        <w:autoSpaceDE w:val="0"/>
        <w:autoSpaceDN w:val="0"/>
        <w:adjustRightInd w:val="0"/>
        <w:spacing w:after="0" w:line="360" w:lineRule="auto"/>
        <w:jc w:val="both"/>
        <w:rPr>
          <w:rFonts w:ascii="Times New Roman" w:eastAsia="DengXian" w:hAnsi="Times New Roman" w:cs="Times New Roman"/>
          <w:kern w:val="0"/>
          <w:sz w:val="20"/>
          <w:szCs w:val="20"/>
          <w:lang w:val="en-GB" w:bidi="bn-BD"/>
          <w14:ligatures w14:val="none"/>
        </w:rPr>
      </w:pPr>
      <m:oMath>
        <m:sSubSup>
          <m:sSubSupPr>
            <m:ctrlPr>
              <w:rPr>
                <w:rFonts w:ascii="Cambria Math" w:eastAsia="DengXian" w:hAnsi="Cambria Math" w:cs="Times New Roman"/>
                <w:i/>
                <w:kern w:val="0"/>
                <w:sz w:val="20"/>
                <w:szCs w:val="20"/>
                <w:lang w:val="en-GB" w:bidi="bn-BD"/>
                <w14:ligatures w14:val="none"/>
              </w:rPr>
            </m:ctrlPr>
          </m:sSubSupPr>
          <m:e>
            <m:r>
              <w:rPr>
                <w:rFonts w:ascii="Cambria Math" w:eastAsia="DengXian" w:hAnsi="Cambria Math" w:cs="Times New Roman"/>
                <w:kern w:val="0"/>
                <w:sz w:val="20"/>
                <w:szCs w:val="20"/>
                <w:lang w:val="en-GB" w:bidi="bn-BD"/>
                <w14:ligatures w14:val="none"/>
              </w:rPr>
              <m:t>ỹ</m:t>
            </m:r>
          </m:e>
          <m:sub>
            <m:r>
              <w:rPr>
                <w:rFonts w:ascii="Cambria Math" w:eastAsia="DengXian" w:hAnsi="Cambria Math" w:cs="Times New Roman"/>
                <w:kern w:val="0"/>
                <w:sz w:val="20"/>
                <w:szCs w:val="20"/>
                <w:lang w:val="en-GB" w:bidi="bn-BD"/>
                <w14:ligatures w14:val="none"/>
              </w:rPr>
              <m:t>it</m:t>
            </m:r>
          </m:sub>
          <m:sup>
            <m:r>
              <w:rPr>
                <w:rFonts w:ascii="Cambria Math" w:eastAsia="DengXian" w:hAnsi="Cambria Math" w:cs="Times New Roman"/>
                <w:kern w:val="0"/>
                <w:sz w:val="20"/>
                <w:szCs w:val="20"/>
                <w:lang w:val="en-GB" w:bidi="bn-BD"/>
                <w14:ligatures w14:val="none"/>
              </w:rPr>
              <m:t>+</m:t>
            </m:r>
          </m:sup>
        </m:sSubSup>
        <m:r>
          <w:rPr>
            <w:rFonts w:ascii="Cambria Math" w:eastAsia="DengXian" w:hAnsi="Cambria Math" w:cs="Times New Roman"/>
            <w:kern w:val="0"/>
            <w:sz w:val="20"/>
            <w:szCs w:val="20"/>
            <w:lang w:val="en-GB" w:bidi="bn-BD"/>
            <w14:ligatures w14:val="none"/>
          </w:rPr>
          <m:t xml:space="preserve">= </m:t>
        </m:r>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ỹ</m:t>
            </m:r>
          </m:e>
          <m:sub>
            <m:r>
              <w:rPr>
                <w:rFonts w:ascii="Cambria Math" w:eastAsia="DengXian" w:hAnsi="Cambria Math" w:cs="Times New Roman"/>
                <w:kern w:val="0"/>
                <w:sz w:val="20"/>
                <w:szCs w:val="20"/>
                <w:lang w:val="en-GB" w:bidi="bn-BD"/>
                <w14:ligatures w14:val="none"/>
              </w:rPr>
              <m:t>it</m:t>
            </m:r>
          </m:sub>
        </m:sSub>
        <m:r>
          <w:rPr>
            <w:rFonts w:ascii="Cambria Math" w:eastAsia="DengXian" w:hAnsi="Cambria Math" w:cs="Times New Roman"/>
            <w:kern w:val="0"/>
            <w:sz w:val="20"/>
            <w:szCs w:val="20"/>
            <w:lang w:val="en-GB" w:bidi="bn-BD"/>
            <w14:ligatures w14:val="none"/>
          </w:rPr>
          <m:t>-</m:t>
        </m:r>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ῶ</m:t>
            </m:r>
          </m:e>
          <m:sub>
            <m:r>
              <w:rPr>
                <w:rFonts w:ascii="Cambria Math" w:eastAsia="DengXian" w:hAnsi="Cambria Math" w:cs="Times New Roman"/>
                <w:kern w:val="0"/>
                <w:sz w:val="20"/>
                <w:szCs w:val="20"/>
                <w:lang w:val="en-GB" w:bidi="bn-BD"/>
                <w14:ligatures w14:val="none"/>
              </w:rPr>
              <m:t>12</m:t>
            </m:r>
          </m:sub>
        </m:sSub>
        <m:sSubSup>
          <m:sSubSupPr>
            <m:ctrlPr>
              <w:rPr>
                <w:rFonts w:ascii="Cambria Math" w:eastAsia="DengXian" w:hAnsi="Cambria Math" w:cs="Times New Roman"/>
                <w:i/>
                <w:kern w:val="0"/>
                <w:sz w:val="20"/>
                <w:szCs w:val="20"/>
                <w:lang w:val="en-GB" w:bidi="bn-BD"/>
                <w14:ligatures w14:val="none"/>
              </w:rPr>
            </m:ctrlPr>
          </m:sSubSup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Ω</m:t>
                </m:r>
              </m:e>
            </m:acc>
          </m:e>
          <m:sub>
            <m:r>
              <w:rPr>
                <w:rFonts w:ascii="Cambria Math" w:eastAsia="DengXian" w:hAnsi="Cambria Math" w:cs="Times New Roman"/>
                <w:kern w:val="0"/>
                <w:sz w:val="20"/>
                <w:szCs w:val="20"/>
                <w:lang w:val="en-GB" w:bidi="bn-BD"/>
                <w14:ligatures w14:val="none"/>
              </w:rPr>
              <m:t>22</m:t>
            </m:r>
          </m:sub>
          <m:sup>
            <m:r>
              <w:rPr>
                <w:rFonts w:ascii="Cambria Math" w:eastAsia="DengXian" w:hAnsi="Cambria Math" w:cs="Times New Roman"/>
                <w:kern w:val="0"/>
                <w:sz w:val="20"/>
                <w:szCs w:val="20"/>
                <w:lang w:val="en-GB" w:bidi="bn-BD"/>
                <w14:ligatures w14:val="none"/>
              </w:rPr>
              <m:t>-1</m:t>
            </m:r>
          </m:sup>
        </m:sSubSup>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û</m:t>
            </m:r>
          </m:e>
          <m:sub>
            <m:r>
              <w:rPr>
                <w:rFonts w:ascii="Cambria Math" w:eastAsia="DengXian" w:hAnsi="Cambria Math" w:cs="Times New Roman"/>
                <w:kern w:val="0"/>
                <w:sz w:val="20"/>
                <w:szCs w:val="20"/>
                <w:lang w:val="en-GB" w:bidi="bn-BD"/>
                <w14:ligatures w14:val="none"/>
              </w:rPr>
              <m:t>2</m:t>
            </m:r>
          </m:sub>
        </m:sSub>
      </m:oMath>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t>(6)</w:t>
      </w:r>
    </w:p>
    <w:p w14:paraId="3AB987D4" w14:textId="77777777" w:rsidR="00F67605" w:rsidRPr="00F67605" w:rsidRDefault="00000000" w:rsidP="00F67605">
      <w:pPr>
        <w:autoSpaceDE w:val="0"/>
        <w:autoSpaceDN w:val="0"/>
        <w:adjustRightInd w:val="0"/>
        <w:spacing w:after="0" w:line="360" w:lineRule="auto"/>
        <w:jc w:val="both"/>
        <w:rPr>
          <w:rFonts w:ascii="Times New Roman" w:eastAsia="DengXian" w:hAnsi="Times New Roman" w:cs="Times New Roman"/>
          <w:kern w:val="0"/>
          <w:sz w:val="20"/>
          <w:szCs w:val="20"/>
          <w:lang w:val="en-GB" w:bidi="bn-BD"/>
          <w14:ligatures w14:val="none"/>
        </w:rPr>
      </w:pPr>
      <m:oMath>
        <m:sSubSup>
          <m:sSubSupPr>
            <m:ctrlPr>
              <w:rPr>
                <w:rFonts w:ascii="Cambria Math" w:eastAsia="DengXian" w:hAnsi="Cambria Math" w:cs="Times New Roman"/>
                <w:i/>
                <w:kern w:val="0"/>
                <w:sz w:val="20"/>
                <w:szCs w:val="20"/>
                <w:lang w:val="en-GB" w:bidi="bn-BD"/>
                <w14:ligatures w14:val="none"/>
              </w:rPr>
            </m:ctrlPr>
          </m:sSubSup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λ</m:t>
                </m:r>
              </m:e>
            </m:acc>
          </m:e>
          <m:sub>
            <m:r>
              <w:rPr>
                <w:rFonts w:ascii="Cambria Math" w:eastAsia="DengXian" w:hAnsi="Cambria Math" w:cs="Times New Roman"/>
                <w:kern w:val="0"/>
                <w:sz w:val="20"/>
                <w:szCs w:val="20"/>
                <w:lang w:val="en-GB" w:bidi="bn-BD"/>
                <w14:ligatures w14:val="none"/>
              </w:rPr>
              <m:t>12</m:t>
            </m:r>
          </m:sub>
          <m:sup>
            <m:r>
              <w:rPr>
                <w:rFonts w:ascii="Cambria Math" w:eastAsia="DengXian" w:hAnsi="Cambria Math" w:cs="Times New Roman"/>
                <w:kern w:val="0"/>
                <w:sz w:val="20"/>
                <w:szCs w:val="20"/>
                <w:lang w:val="en-GB" w:bidi="bn-BD"/>
                <w14:ligatures w14:val="none"/>
              </w:rPr>
              <m:t>+</m:t>
            </m:r>
          </m:sup>
        </m:sSubSup>
        <m:r>
          <w:rPr>
            <w:rFonts w:ascii="Cambria Math" w:eastAsia="DengXian" w:hAnsi="Cambria Math" w:cs="Times New Roman"/>
            <w:kern w:val="0"/>
            <w:sz w:val="20"/>
            <w:szCs w:val="20"/>
            <w:lang w:val="en-GB" w:bidi="bn-BD"/>
            <w14:ligatures w14:val="none"/>
          </w:rPr>
          <m:t>=</m:t>
        </m:r>
        <m:sSub>
          <m:sSubPr>
            <m:ctrlPr>
              <w:rPr>
                <w:rFonts w:ascii="Cambria Math" w:eastAsia="DengXian" w:hAnsi="Cambria Math" w:cs="Times New Roman"/>
                <w:i/>
                <w:kern w:val="0"/>
                <w:sz w:val="20"/>
                <w:szCs w:val="20"/>
                <w:lang w:val="en-GB" w:bidi="bn-BD"/>
                <w14:ligatures w14:val="none"/>
              </w:rPr>
            </m:ctrlPr>
          </m:sSub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λ</m:t>
                </m:r>
              </m:e>
            </m:acc>
          </m:e>
          <m:sub>
            <m:r>
              <w:rPr>
                <w:rFonts w:ascii="Cambria Math" w:eastAsia="DengXian" w:hAnsi="Cambria Math" w:cs="Times New Roman"/>
                <w:kern w:val="0"/>
                <w:sz w:val="20"/>
                <w:szCs w:val="20"/>
                <w:lang w:val="en-GB" w:bidi="bn-BD"/>
                <w14:ligatures w14:val="none"/>
              </w:rPr>
              <m:t>12</m:t>
            </m:r>
          </m:sub>
        </m:sSub>
        <m:r>
          <w:rPr>
            <w:rFonts w:ascii="Cambria Math" w:eastAsia="DengXian" w:hAnsi="Cambria Math" w:cs="Times New Roman"/>
            <w:kern w:val="0"/>
            <w:sz w:val="20"/>
            <w:szCs w:val="20"/>
            <w:lang w:val="en-GB" w:bidi="bn-BD"/>
            <w14:ligatures w14:val="none"/>
          </w:rPr>
          <m:t>-</m:t>
        </m:r>
        <m:sSub>
          <m:sSubPr>
            <m:ctrlPr>
              <w:rPr>
                <w:rFonts w:ascii="Cambria Math" w:eastAsia="DengXian" w:hAnsi="Cambria Math" w:cs="Times New Roman"/>
                <w:i/>
                <w:kern w:val="0"/>
                <w:sz w:val="20"/>
                <w:szCs w:val="20"/>
                <w:lang w:val="en-GB" w:bidi="bn-BD"/>
                <w14:ligatures w14:val="none"/>
              </w:rPr>
            </m:ctrlPr>
          </m:sSub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ω</m:t>
                </m:r>
              </m:e>
            </m:acc>
          </m:e>
          <m:sub>
            <m:r>
              <w:rPr>
                <w:rFonts w:ascii="Cambria Math" w:eastAsia="DengXian" w:hAnsi="Cambria Math" w:cs="Times New Roman"/>
                <w:kern w:val="0"/>
                <w:sz w:val="20"/>
                <w:szCs w:val="20"/>
                <w:lang w:val="en-GB" w:bidi="bn-BD"/>
                <w14:ligatures w14:val="none"/>
              </w:rPr>
              <m:t>12</m:t>
            </m:r>
          </m:sub>
        </m:sSub>
        <m:sSubSup>
          <m:sSubSupPr>
            <m:ctrlPr>
              <w:rPr>
                <w:rFonts w:ascii="Cambria Math" w:eastAsia="DengXian" w:hAnsi="Cambria Math" w:cs="Times New Roman"/>
                <w:i/>
                <w:kern w:val="0"/>
                <w:sz w:val="20"/>
                <w:szCs w:val="20"/>
                <w:lang w:val="en-GB" w:bidi="bn-BD"/>
                <w14:ligatures w14:val="none"/>
              </w:rPr>
            </m:ctrlPr>
          </m:sSubSup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Ω</m:t>
                </m:r>
              </m:e>
            </m:acc>
          </m:e>
          <m:sub>
            <m:r>
              <w:rPr>
                <w:rFonts w:ascii="Cambria Math" w:eastAsia="DengXian" w:hAnsi="Cambria Math" w:cs="Times New Roman"/>
                <w:kern w:val="0"/>
                <w:sz w:val="20"/>
                <w:szCs w:val="20"/>
                <w:lang w:val="en-GB" w:bidi="bn-BD"/>
                <w14:ligatures w14:val="none"/>
              </w:rPr>
              <m:t>22</m:t>
            </m:r>
          </m:sub>
          <m:sup>
            <m:r>
              <w:rPr>
                <w:rFonts w:ascii="Cambria Math" w:eastAsia="DengXian" w:hAnsi="Cambria Math" w:cs="Times New Roman"/>
                <w:kern w:val="0"/>
                <w:sz w:val="20"/>
                <w:szCs w:val="20"/>
                <w:lang w:val="en-GB" w:bidi="bn-BD"/>
                <w14:ligatures w14:val="none"/>
              </w:rPr>
              <m:t>-1</m:t>
            </m:r>
          </m:sup>
        </m:sSubSup>
        <m:sSub>
          <m:sSubPr>
            <m:ctrlPr>
              <w:rPr>
                <w:rFonts w:ascii="Cambria Math" w:eastAsia="DengXian" w:hAnsi="Cambria Math" w:cs="Times New Roman"/>
                <w:i/>
                <w:kern w:val="0"/>
                <w:sz w:val="20"/>
                <w:szCs w:val="20"/>
                <w:lang w:val="en-GB" w:bidi="bn-BD"/>
                <w14:ligatures w14:val="none"/>
              </w:rPr>
            </m:ctrlPr>
          </m:sSub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Λ</m:t>
                </m:r>
              </m:e>
            </m:acc>
          </m:e>
          <m:sub>
            <m:r>
              <w:rPr>
                <w:rFonts w:ascii="Cambria Math" w:eastAsia="DengXian" w:hAnsi="Cambria Math" w:cs="Times New Roman"/>
                <w:kern w:val="0"/>
                <w:sz w:val="20"/>
                <w:szCs w:val="20"/>
                <w:lang w:val="en-GB" w:bidi="bn-BD"/>
                <w14:ligatures w14:val="none"/>
              </w:rPr>
              <m:t>22</m:t>
            </m:r>
          </m:sub>
        </m:sSub>
      </m:oMath>
      <w:r w:rsidR="00F67605" w:rsidRPr="00F67605">
        <w:rPr>
          <w:rFonts w:ascii="Times New Roman" w:eastAsia="DengXian" w:hAnsi="Times New Roman" w:cs="Times New Roman"/>
          <w:kern w:val="0"/>
          <w:sz w:val="20"/>
          <w:szCs w:val="20"/>
          <w:lang w:val="en-GB" w:bidi="bn-BD"/>
          <w14:ligatures w14:val="none"/>
        </w:rPr>
        <w:t xml:space="preserve"> </w:t>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t>(7)</w:t>
      </w:r>
    </w:p>
    <w:p w14:paraId="7A9CB398" w14:textId="77777777" w:rsidR="00F67605" w:rsidRPr="00F67605" w:rsidRDefault="00F67605" w:rsidP="00F67605">
      <w:pPr>
        <w:autoSpaceDE w:val="0"/>
        <w:autoSpaceDN w:val="0"/>
        <w:adjustRightInd w:val="0"/>
        <w:spacing w:after="0" w:line="360" w:lineRule="auto"/>
        <w:jc w:val="both"/>
        <w:rPr>
          <w:rFonts w:ascii="Times New Roman" w:eastAsia="DengXian" w:hAnsi="Times New Roman" w:cs="Times New Roman"/>
          <w:kern w:val="0"/>
          <w:sz w:val="20"/>
          <w:szCs w:val="20"/>
          <w:lang w:val="en-GB" w:bidi="bn-BD"/>
          <w14:ligatures w14:val="none"/>
        </w:rPr>
      </w:pPr>
      <w:r w:rsidRPr="00F67605">
        <w:rPr>
          <w:rFonts w:ascii="Times New Roman" w:eastAsia="DengXian" w:hAnsi="Times New Roman" w:cs="Times New Roman"/>
          <w:kern w:val="0"/>
          <w:sz w:val="20"/>
          <w:szCs w:val="20"/>
          <w:lang w:val="en-GB" w:bidi="bn-BD"/>
          <w14:ligatures w14:val="none"/>
        </w:rPr>
        <w:t xml:space="preserve">where the corresponding data for the individual deterministic trends denoted as </w:t>
      </w:r>
      <m:oMath>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ỹ</m:t>
            </m:r>
          </m:e>
          <m:sub>
            <m:r>
              <w:rPr>
                <w:rFonts w:ascii="Cambria Math" w:eastAsia="DengXian" w:hAnsi="Cambria Math" w:cs="Times New Roman"/>
                <w:kern w:val="0"/>
                <w:sz w:val="20"/>
                <w:szCs w:val="20"/>
                <w:lang w:val="en-GB" w:bidi="bn-BD"/>
                <w14:ligatures w14:val="none"/>
              </w:rPr>
              <m:t>it</m:t>
            </m:r>
          </m:sub>
        </m:sSub>
      </m:oMath>
      <w:r w:rsidRPr="00F67605">
        <w:rPr>
          <w:rFonts w:ascii="Times New Roman" w:eastAsia="DengXian" w:hAnsi="Times New Roman" w:cs="Times New Roman"/>
          <w:kern w:val="0"/>
          <w:sz w:val="20"/>
          <w:szCs w:val="20"/>
          <w:lang w:val="en-GB" w:bidi="bn-BD"/>
          <w14:ligatures w14:val="none"/>
        </w:rPr>
        <w:t xml:space="preserve"> and </w:t>
      </w:r>
      <m:oMath>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ῶ</m:t>
            </m:r>
          </m:e>
          <m:sub>
            <m:r>
              <w:rPr>
                <w:rFonts w:ascii="Cambria Math" w:eastAsia="DengXian" w:hAnsi="Cambria Math" w:cs="Times New Roman"/>
                <w:kern w:val="0"/>
                <w:sz w:val="20"/>
                <w:szCs w:val="20"/>
                <w:lang w:val="en-GB" w:bidi="bn-BD"/>
                <w14:ligatures w14:val="none"/>
              </w:rPr>
              <m:t>12</m:t>
            </m:r>
          </m:sub>
        </m:sSub>
      </m:oMath>
      <w:r w:rsidRPr="00F67605">
        <w:rPr>
          <w:rFonts w:ascii="Times New Roman" w:eastAsia="DengXian" w:hAnsi="Times New Roman" w:cs="Times New Roman"/>
          <w:kern w:val="0"/>
          <w:sz w:val="20"/>
          <w:szCs w:val="20"/>
          <w:lang w:val="en-GB" w:bidi="bn-BD"/>
          <w14:ligatures w14:val="none"/>
        </w:rPr>
        <w:t xml:space="preserve"> denoted as the long-term average variance of the residuals </w:t>
      </w:r>
      <m:oMath>
        <m:sSub>
          <m:sSubPr>
            <m:ctrlPr>
              <w:rPr>
                <w:rFonts w:ascii="Cambria Math" w:eastAsia="DengXian" w:hAnsi="Cambria Math" w:cs="Times New Roman"/>
                <w:i/>
                <w:kern w:val="0"/>
                <w:sz w:val="20"/>
                <w:szCs w:val="20"/>
                <w:lang w:val="en-GB" w:bidi="bn-BD"/>
                <w14:ligatures w14:val="none"/>
              </w:rPr>
            </m:ctrlPr>
          </m:sSubPr>
          <m:e>
            <m:r>
              <w:rPr>
                <w:rFonts w:ascii="Cambria Math" w:eastAsia="DengXian" w:hAnsi="Cambria Math" w:cs="Times New Roman"/>
                <w:kern w:val="0"/>
                <w:sz w:val="20"/>
                <w:szCs w:val="20"/>
                <w:lang w:val="en-GB" w:bidi="bn-BD"/>
                <w14:ligatures w14:val="none"/>
              </w:rPr>
              <m:t>û</m:t>
            </m:r>
          </m:e>
          <m:sub>
            <m:r>
              <w:rPr>
                <w:rFonts w:ascii="Cambria Math" w:eastAsia="DengXian" w:hAnsi="Cambria Math" w:cs="Times New Roman"/>
                <w:kern w:val="0"/>
                <w:sz w:val="20"/>
                <w:szCs w:val="20"/>
                <w:lang w:val="en-GB" w:bidi="bn-BD"/>
                <w14:ligatures w14:val="none"/>
              </w:rPr>
              <m:t>2</m:t>
            </m:r>
          </m:sub>
        </m:sSub>
      </m:oMath>
      <w:r w:rsidRPr="00F67605">
        <w:rPr>
          <w:rFonts w:ascii="Times New Roman" w:eastAsia="DengXian" w:hAnsi="Times New Roman" w:cs="Times New Roman"/>
          <w:kern w:val="0"/>
          <w:sz w:val="20"/>
          <w:szCs w:val="20"/>
          <w:lang w:val="en-GB" w:bidi="bn-BD"/>
          <w14:ligatures w14:val="none"/>
        </w:rPr>
        <w:t>. The estimate for the pooled FMOLS may be expressed as follows:</w:t>
      </w:r>
    </w:p>
    <w:p w14:paraId="68A2B76A" w14:textId="77777777" w:rsidR="00F67605" w:rsidRPr="00F67605" w:rsidRDefault="00000000" w:rsidP="00F67605">
      <w:pPr>
        <w:autoSpaceDE w:val="0"/>
        <w:autoSpaceDN w:val="0"/>
        <w:adjustRightInd w:val="0"/>
        <w:spacing w:after="0" w:line="360" w:lineRule="auto"/>
        <w:jc w:val="both"/>
        <w:rPr>
          <w:rFonts w:ascii="Times New Roman" w:eastAsia="DengXian" w:hAnsi="Times New Roman" w:cs="Times New Roman"/>
          <w:kern w:val="0"/>
          <w:sz w:val="20"/>
          <w:szCs w:val="20"/>
          <w:lang w:val="en-GB" w:bidi="bn-BD"/>
          <w14:ligatures w14:val="none"/>
        </w:rPr>
      </w:pPr>
      <m:oMath>
        <m:sSub>
          <m:sSubPr>
            <m:ctrlPr>
              <w:rPr>
                <w:rFonts w:ascii="Cambria Math" w:eastAsia="DengXian" w:hAnsi="Cambria Math" w:cs="Times New Roman"/>
                <w:i/>
                <w:kern w:val="0"/>
                <w:sz w:val="20"/>
                <w:szCs w:val="20"/>
                <w:lang w:val="en-GB" w:bidi="bn-BD"/>
                <w14:ligatures w14:val="none"/>
              </w:rPr>
            </m:ctrlPr>
          </m:sSub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β</m:t>
                </m:r>
              </m:e>
            </m:acc>
          </m:e>
          <m:sub>
            <m:r>
              <w:rPr>
                <w:rFonts w:ascii="Cambria Math" w:eastAsia="DengXian" w:hAnsi="Cambria Math" w:cs="Times New Roman"/>
                <w:kern w:val="0"/>
                <w:sz w:val="20"/>
                <w:szCs w:val="20"/>
                <w:lang w:val="en-GB" w:bidi="bn-BD"/>
                <w14:ligatures w14:val="none"/>
              </w:rPr>
              <m:t>FP</m:t>
            </m:r>
          </m:sub>
        </m:sSub>
        <m:r>
          <w:rPr>
            <w:rFonts w:ascii="Cambria Math" w:eastAsia="DengXian" w:hAnsi="Cambria Math" w:cs="Times New Roman"/>
            <w:kern w:val="0"/>
            <w:sz w:val="20"/>
            <w:szCs w:val="20"/>
            <w:lang w:val="en-GB" w:bidi="bn-BD"/>
            <w14:ligatures w14:val="none"/>
          </w:rPr>
          <m:t>=</m:t>
        </m:r>
        <m:sSup>
          <m:sSupPr>
            <m:ctrlPr>
              <w:rPr>
                <w:rFonts w:ascii="Cambria Math" w:eastAsia="DengXian" w:hAnsi="Cambria Math" w:cs="Times New Roman"/>
                <w:i/>
                <w:kern w:val="0"/>
                <w:sz w:val="20"/>
                <w:szCs w:val="20"/>
                <w:lang w:val="en-GB" w:bidi="bn-BD"/>
                <w14:ligatures w14:val="none"/>
              </w:rPr>
            </m:ctrlPr>
          </m:sSupPr>
          <m:e>
            <m:d>
              <m:dPr>
                <m:ctrlPr>
                  <w:rPr>
                    <w:rFonts w:ascii="Cambria Math" w:eastAsia="DengXian" w:hAnsi="Cambria Math" w:cs="Times New Roman"/>
                    <w:i/>
                    <w:kern w:val="0"/>
                    <w:sz w:val="20"/>
                    <w:szCs w:val="20"/>
                    <w:lang w:val="en-GB" w:bidi="bn-BD"/>
                    <w14:ligatures w14:val="none"/>
                  </w:rPr>
                </m:ctrlPr>
              </m:dPr>
              <m:e>
                <m:nary>
                  <m:naryPr>
                    <m:chr m:val="∑"/>
                    <m:limLoc m:val="undOvr"/>
                    <m:ctrlPr>
                      <w:rPr>
                        <w:rFonts w:ascii="Cambria Math" w:eastAsia="DengXian" w:hAnsi="Cambria Math" w:cs="Times New Roman"/>
                        <w:i/>
                        <w:kern w:val="0"/>
                        <w:sz w:val="20"/>
                        <w:szCs w:val="20"/>
                        <w:lang w:val="en-GB" w:bidi="bn-BD"/>
                        <w14:ligatures w14:val="none"/>
                      </w:rPr>
                    </m:ctrlPr>
                  </m:naryPr>
                  <m:sub>
                    <m:r>
                      <w:rPr>
                        <w:rFonts w:ascii="Cambria Math" w:eastAsia="DengXian" w:hAnsi="Cambria Math" w:cs="Times New Roman"/>
                        <w:kern w:val="0"/>
                        <w:sz w:val="20"/>
                        <w:szCs w:val="20"/>
                        <w:lang w:val="en-GB" w:bidi="bn-BD"/>
                        <w14:ligatures w14:val="none"/>
                      </w:rPr>
                      <m:t>i=1</m:t>
                    </m:r>
                  </m:sub>
                  <m:sup>
                    <m:r>
                      <w:rPr>
                        <w:rFonts w:ascii="Cambria Math" w:eastAsia="DengXian" w:hAnsi="Cambria Math" w:cs="Times New Roman"/>
                        <w:kern w:val="0"/>
                        <w:sz w:val="20"/>
                        <w:szCs w:val="20"/>
                        <w:lang w:val="en-GB" w:bidi="bn-BD"/>
                        <w14:ligatures w14:val="none"/>
                      </w:rPr>
                      <m:t>N</m:t>
                    </m:r>
                  </m:sup>
                  <m:e>
                    <m:nary>
                      <m:naryPr>
                        <m:chr m:val="∑"/>
                        <m:limLoc m:val="undOvr"/>
                        <m:ctrlPr>
                          <w:rPr>
                            <w:rFonts w:ascii="Cambria Math" w:eastAsia="DengXian" w:hAnsi="Cambria Math" w:cs="Times New Roman"/>
                            <w:i/>
                            <w:kern w:val="0"/>
                            <w:sz w:val="20"/>
                            <w:szCs w:val="20"/>
                            <w:lang w:val="en-GB" w:bidi="bn-BD"/>
                            <w14:ligatures w14:val="none"/>
                          </w:rPr>
                        </m:ctrlPr>
                      </m:naryPr>
                      <m:sub>
                        <m:r>
                          <w:rPr>
                            <w:rFonts w:ascii="Cambria Math" w:eastAsia="DengXian" w:hAnsi="Cambria Math" w:cs="Times New Roman"/>
                            <w:kern w:val="0"/>
                            <w:sz w:val="20"/>
                            <w:szCs w:val="20"/>
                            <w:lang w:val="en-GB" w:bidi="bn-BD"/>
                            <w14:ligatures w14:val="none"/>
                          </w:rPr>
                          <m:t>t=1</m:t>
                        </m:r>
                      </m:sub>
                      <m:sup>
                        <m:r>
                          <w:rPr>
                            <w:rFonts w:ascii="Cambria Math" w:eastAsia="DengXian" w:hAnsi="Cambria Math" w:cs="Times New Roman"/>
                            <w:kern w:val="0"/>
                            <w:sz w:val="20"/>
                            <w:szCs w:val="20"/>
                            <w:lang w:val="en-GB" w:bidi="bn-BD"/>
                            <w14:ligatures w14:val="none"/>
                          </w:rPr>
                          <m:t>T</m:t>
                        </m:r>
                      </m:sup>
                      <m:e>
                        <m:sSub>
                          <m:sSubPr>
                            <m:ctrlPr>
                              <w:rPr>
                                <w:rFonts w:ascii="Cambria Math" w:eastAsia="DengXian" w:hAnsi="Cambria Math" w:cs="Times New Roman"/>
                                <w:i/>
                                <w:kern w:val="0"/>
                                <w:sz w:val="20"/>
                                <w:szCs w:val="20"/>
                                <w:lang w:val="en-GB" w:bidi="bn-BD"/>
                                <w14:ligatures w14:val="none"/>
                              </w:rPr>
                            </m:ctrlPr>
                          </m:sSubPr>
                          <m:e>
                            <m:acc>
                              <m:accPr>
                                <m:chr m:val="̃"/>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X</m:t>
                                </m:r>
                              </m:e>
                            </m:acc>
                          </m:e>
                          <m:sub>
                            <m:r>
                              <w:rPr>
                                <w:rFonts w:ascii="Cambria Math" w:eastAsia="DengXian" w:hAnsi="Cambria Math" w:cs="Times New Roman"/>
                                <w:kern w:val="0"/>
                                <w:sz w:val="20"/>
                                <w:szCs w:val="20"/>
                                <w:lang w:val="en-GB" w:bidi="bn-BD"/>
                                <w14:ligatures w14:val="none"/>
                              </w:rPr>
                              <m:t>it</m:t>
                            </m:r>
                          </m:sub>
                        </m:sSub>
                        <m:sSub>
                          <m:sSubPr>
                            <m:ctrlPr>
                              <w:rPr>
                                <w:rFonts w:ascii="Cambria Math" w:eastAsia="DengXian" w:hAnsi="Cambria Math" w:cs="Times New Roman"/>
                                <w:i/>
                                <w:kern w:val="0"/>
                                <w:sz w:val="20"/>
                                <w:szCs w:val="20"/>
                                <w:lang w:val="en-GB" w:bidi="bn-BD"/>
                                <w14:ligatures w14:val="none"/>
                              </w:rPr>
                            </m:ctrlPr>
                          </m:sSubPr>
                          <m:e>
                            <m:acc>
                              <m:accPr>
                                <m:chr m:val="̃"/>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X</m:t>
                                </m:r>
                              </m:e>
                            </m:acc>
                          </m:e>
                          <m:sub>
                            <m:sSup>
                              <m:sSupPr>
                                <m:ctrlPr>
                                  <w:rPr>
                                    <w:rFonts w:ascii="Cambria Math" w:eastAsia="DengXian" w:hAnsi="Cambria Math" w:cs="Times New Roman"/>
                                    <w:i/>
                                    <w:kern w:val="0"/>
                                    <w:sz w:val="20"/>
                                    <w:szCs w:val="20"/>
                                    <w:lang w:val="en-GB" w:bidi="bn-BD"/>
                                    <w14:ligatures w14:val="none"/>
                                  </w:rPr>
                                </m:ctrlPr>
                              </m:sSupPr>
                              <m:e>
                                <m:r>
                                  <w:rPr>
                                    <w:rFonts w:ascii="Cambria Math" w:eastAsia="DengXian" w:hAnsi="Cambria Math" w:cs="Times New Roman"/>
                                    <w:kern w:val="0"/>
                                    <w:sz w:val="20"/>
                                    <w:szCs w:val="20"/>
                                    <w:lang w:val="en-GB" w:bidi="bn-BD"/>
                                    <w14:ligatures w14:val="none"/>
                                  </w:rPr>
                                  <m:t>it</m:t>
                                </m:r>
                              </m:e>
                              <m:sup>
                                <m:r>
                                  <w:rPr>
                                    <w:rFonts w:ascii="Cambria Math" w:eastAsia="DengXian" w:hAnsi="Cambria Math" w:cs="Times New Roman"/>
                                    <w:kern w:val="0"/>
                                    <w:sz w:val="20"/>
                                    <w:szCs w:val="20"/>
                                    <w:lang w:val="en-GB" w:bidi="bn-BD"/>
                                    <w14:ligatures w14:val="none"/>
                                  </w:rPr>
                                  <m:t>'</m:t>
                                </m:r>
                              </m:sup>
                            </m:sSup>
                          </m:sub>
                        </m:sSub>
                      </m:e>
                    </m:nary>
                  </m:e>
                </m:nary>
              </m:e>
            </m:d>
          </m:e>
          <m:sup>
            <m:r>
              <w:rPr>
                <w:rFonts w:ascii="Cambria Math" w:eastAsia="DengXian" w:hAnsi="Cambria Math" w:cs="Times New Roman"/>
                <w:kern w:val="0"/>
                <w:sz w:val="20"/>
                <w:szCs w:val="20"/>
                <w:lang w:val="en-GB" w:bidi="bn-BD"/>
                <w14:ligatures w14:val="none"/>
              </w:rPr>
              <m:t>-1</m:t>
            </m:r>
          </m:sup>
        </m:sSup>
        <m:nary>
          <m:naryPr>
            <m:chr m:val="∑"/>
            <m:limLoc m:val="undOvr"/>
            <m:ctrlPr>
              <w:rPr>
                <w:rFonts w:ascii="Cambria Math" w:eastAsia="DengXian" w:hAnsi="Cambria Math" w:cs="Times New Roman"/>
                <w:i/>
                <w:kern w:val="0"/>
                <w:sz w:val="20"/>
                <w:szCs w:val="20"/>
                <w:lang w:val="en-GB" w:bidi="bn-BD"/>
                <w14:ligatures w14:val="none"/>
              </w:rPr>
            </m:ctrlPr>
          </m:naryPr>
          <m:sub>
            <m:r>
              <w:rPr>
                <w:rFonts w:ascii="Cambria Math" w:eastAsia="DengXian" w:hAnsi="Cambria Math" w:cs="Times New Roman"/>
                <w:kern w:val="0"/>
                <w:sz w:val="20"/>
                <w:szCs w:val="20"/>
                <w:lang w:val="en-GB" w:bidi="bn-BD"/>
                <w14:ligatures w14:val="none"/>
              </w:rPr>
              <m:t>i=1</m:t>
            </m:r>
          </m:sub>
          <m:sup>
            <m:r>
              <w:rPr>
                <w:rFonts w:ascii="Cambria Math" w:eastAsia="DengXian" w:hAnsi="Cambria Math" w:cs="Times New Roman"/>
                <w:kern w:val="0"/>
                <w:sz w:val="20"/>
                <w:szCs w:val="20"/>
                <w:lang w:val="en-GB" w:bidi="bn-BD"/>
                <w14:ligatures w14:val="none"/>
              </w:rPr>
              <m:t>N</m:t>
            </m:r>
          </m:sup>
          <m:e>
            <m:nary>
              <m:naryPr>
                <m:chr m:val="∑"/>
                <m:limLoc m:val="undOvr"/>
                <m:ctrlPr>
                  <w:rPr>
                    <w:rFonts w:ascii="Cambria Math" w:eastAsia="DengXian" w:hAnsi="Cambria Math" w:cs="Times New Roman"/>
                    <w:i/>
                    <w:kern w:val="0"/>
                    <w:sz w:val="20"/>
                    <w:szCs w:val="20"/>
                    <w:lang w:val="en-GB" w:bidi="bn-BD"/>
                    <w14:ligatures w14:val="none"/>
                  </w:rPr>
                </m:ctrlPr>
              </m:naryPr>
              <m:sub>
                <m:r>
                  <w:rPr>
                    <w:rFonts w:ascii="Cambria Math" w:eastAsia="DengXian" w:hAnsi="Cambria Math" w:cs="Times New Roman"/>
                    <w:kern w:val="0"/>
                    <w:sz w:val="20"/>
                    <w:szCs w:val="20"/>
                    <w:lang w:val="en-GB" w:bidi="bn-BD"/>
                    <w14:ligatures w14:val="none"/>
                  </w:rPr>
                  <m:t>t=1</m:t>
                </m:r>
              </m:sub>
              <m:sup>
                <m:r>
                  <w:rPr>
                    <w:rFonts w:ascii="Cambria Math" w:eastAsia="DengXian" w:hAnsi="Cambria Math" w:cs="Times New Roman"/>
                    <w:kern w:val="0"/>
                    <w:sz w:val="20"/>
                    <w:szCs w:val="20"/>
                    <w:lang w:val="en-GB" w:bidi="bn-BD"/>
                    <w14:ligatures w14:val="none"/>
                  </w:rPr>
                  <m:t>T</m:t>
                </m:r>
              </m:sup>
              <m:e>
                <m:d>
                  <m:dPr>
                    <m:ctrlPr>
                      <w:rPr>
                        <w:rFonts w:ascii="Cambria Math" w:eastAsia="DengXian" w:hAnsi="Cambria Math" w:cs="Times New Roman"/>
                        <w:i/>
                        <w:kern w:val="0"/>
                        <w:sz w:val="20"/>
                        <w:szCs w:val="20"/>
                        <w:lang w:val="en-GB" w:bidi="bn-BD"/>
                        <w14:ligatures w14:val="none"/>
                      </w:rPr>
                    </m:ctrlPr>
                  </m:dPr>
                  <m:e>
                    <m:sSub>
                      <m:sSubPr>
                        <m:ctrlPr>
                          <w:rPr>
                            <w:rFonts w:ascii="Cambria Math" w:eastAsia="DengXian" w:hAnsi="Cambria Math" w:cs="Times New Roman"/>
                            <w:i/>
                            <w:kern w:val="0"/>
                            <w:sz w:val="20"/>
                            <w:szCs w:val="20"/>
                            <w:lang w:val="en-GB" w:bidi="bn-BD"/>
                            <w14:ligatures w14:val="none"/>
                          </w:rPr>
                        </m:ctrlPr>
                      </m:sSubPr>
                      <m:e>
                        <m:acc>
                          <m:accPr>
                            <m:chr m:val="̃"/>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X</m:t>
                            </m:r>
                          </m:e>
                        </m:acc>
                      </m:e>
                      <m:sub>
                        <m:r>
                          <w:rPr>
                            <w:rFonts w:ascii="Cambria Math" w:eastAsia="DengXian" w:hAnsi="Cambria Math" w:cs="Times New Roman"/>
                            <w:kern w:val="0"/>
                            <w:sz w:val="20"/>
                            <w:szCs w:val="20"/>
                            <w:lang w:val="en-GB" w:bidi="bn-BD"/>
                            <w14:ligatures w14:val="none"/>
                          </w:rPr>
                          <m:t>it</m:t>
                        </m:r>
                      </m:sub>
                    </m:sSub>
                    <m:sSubSup>
                      <m:sSubSupPr>
                        <m:ctrlPr>
                          <w:rPr>
                            <w:rFonts w:ascii="Cambria Math" w:eastAsia="DengXian" w:hAnsi="Cambria Math" w:cs="Times New Roman"/>
                            <w:i/>
                            <w:kern w:val="0"/>
                            <w:sz w:val="20"/>
                            <w:szCs w:val="20"/>
                            <w:lang w:val="en-GB" w:bidi="bn-BD"/>
                            <w14:ligatures w14:val="none"/>
                          </w:rPr>
                        </m:ctrlPr>
                      </m:sSubSupPr>
                      <m:e>
                        <m:r>
                          <w:rPr>
                            <w:rFonts w:ascii="Cambria Math" w:eastAsia="DengXian" w:hAnsi="Cambria Math" w:cs="Times New Roman"/>
                            <w:kern w:val="0"/>
                            <w:sz w:val="20"/>
                            <w:szCs w:val="20"/>
                            <w:lang w:val="en-GB" w:bidi="bn-BD"/>
                            <w14:ligatures w14:val="none"/>
                          </w:rPr>
                          <m:t>ỹ</m:t>
                        </m:r>
                      </m:e>
                      <m:sub>
                        <m:r>
                          <w:rPr>
                            <w:rFonts w:ascii="Cambria Math" w:eastAsia="DengXian" w:hAnsi="Cambria Math" w:cs="Times New Roman"/>
                            <w:kern w:val="0"/>
                            <w:sz w:val="20"/>
                            <w:szCs w:val="20"/>
                            <w:lang w:val="en-GB" w:bidi="bn-BD"/>
                            <w14:ligatures w14:val="none"/>
                          </w:rPr>
                          <m:t>it</m:t>
                        </m:r>
                      </m:sub>
                      <m:sup>
                        <m:r>
                          <w:rPr>
                            <w:rFonts w:ascii="Cambria Math" w:eastAsia="DengXian" w:hAnsi="Cambria Math" w:cs="Times New Roman"/>
                            <w:kern w:val="0"/>
                            <w:sz w:val="20"/>
                            <w:szCs w:val="20"/>
                            <w:lang w:val="en-GB" w:bidi="bn-BD"/>
                            <w14:ligatures w14:val="none"/>
                          </w:rPr>
                          <m:t>+</m:t>
                        </m:r>
                      </m:sup>
                    </m:sSubSup>
                    <m:r>
                      <w:rPr>
                        <w:rFonts w:ascii="Cambria Math" w:eastAsia="DengXian" w:hAnsi="Cambria Math" w:cs="Times New Roman"/>
                        <w:kern w:val="0"/>
                        <w:sz w:val="20"/>
                        <w:szCs w:val="20"/>
                        <w:lang w:val="en-GB" w:bidi="bn-BD"/>
                        <w14:ligatures w14:val="none"/>
                      </w:rPr>
                      <m:t>-</m:t>
                    </m:r>
                    <m:sSubSup>
                      <m:sSubSupPr>
                        <m:ctrlPr>
                          <w:rPr>
                            <w:rFonts w:ascii="Cambria Math" w:eastAsia="DengXian" w:hAnsi="Cambria Math" w:cs="Times New Roman"/>
                            <w:i/>
                            <w:kern w:val="0"/>
                            <w:sz w:val="20"/>
                            <w:szCs w:val="20"/>
                            <w:lang w:val="en-GB" w:bidi="bn-BD"/>
                            <w14:ligatures w14:val="none"/>
                          </w:rPr>
                        </m:ctrlPr>
                      </m:sSubSup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λ</m:t>
                            </m:r>
                          </m:e>
                        </m:acc>
                      </m:e>
                      <m:sub>
                        <m:r>
                          <w:rPr>
                            <w:rFonts w:ascii="Cambria Math" w:eastAsia="DengXian" w:hAnsi="Cambria Math" w:cs="Times New Roman"/>
                            <w:kern w:val="0"/>
                            <w:sz w:val="20"/>
                            <w:szCs w:val="20"/>
                            <w:lang w:val="en-GB" w:bidi="bn-BD"/>
                            <w14:ligatures w14:val="none"/>
                          </w:rPr>
                          <m:t>12</m:t>
                        </m:r>
                      </m:sub>
                      <m:sup>
                        <m:r>
                          <w:rPr>
                            <w:rFonts w:ascii="Cambria Math" w:eastAsia="DengXian" w:hAnsi="Cambria Math" w:cs="Times New Roman"/>
                            <w:kern w:val="0"/>
                            <w:sz w:val="20"/>
                            <w:szCs w:val="20"/>
                            <w:lang w:val="en-GB" w:bidi="bn-BD"/>
                            <w14:ligatures w14:val="none"/>
                          </w:rPr>
                          <m:t>+</m:t>
                        </m:r>
                      </m:sup>
                    </m:sSubSup>
                  </m:e>
                </m:d>
              </m:e>
            </m:nary>
          </m:e>
        </m:nary>
      </m:oMath>
      <w:r w:rsidR="00F67605" w:rsidRPr="00F67605">
        <w:rPr>
          <w:rFonts w:ascii="Times New Roman" w:eastAsia="DengXian" w:hAnsi="Times New Roman" w:cs="Times New Roman"/>
          <w:kern w:val="0"/>
          <w:sz w:val="20"/>
          <w:szCs w:val="20"/>
          <w:lang w:val="en-GB" w:bidi="bn-BD"/>
          <w14:ligatures w14:val="none"/>
        </w:rPr>
        <w:t xml:space="preserve"> </w:t>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r>
      <w:r w:rsidR="00F67605" w:rsidRPr="00F67605">
        <w:rPr>
          <w:rFonts w:ascii="Times New Roman" w:eastAsia="DengXian" w:hAnsi="Times New Roman" w:cs="Times New Roman"/>
          <w:kern w:val="0"/>
          <w:sz w:val="20"/>
          <w:szCs w:val="20"/>
          <w:lang w:val="en-GB" w:bidi="bn-BD"/>
          <w14:ligatures w14:val="none"/>
        </w:rPr>
        <w:tab/>
        <w:t>(8)</w:t>
      </w:r>
    </w:p>
    <w:p w14:paraId="37DF5077" w14:textId="0C75731D" w:rsidR="00F67605" w:rsidRPr="00F67605" w:rsidRDefault="00F67605" w:rsidP="0006263B">
      <w:pPr>
        <w:autoSpaceDE w:val="0"/>
        <w:autoSpaceDN w:val="0"/>
        <w:adjustRightInd w:val="0"/>
        <w:spacing w:after="0" w:line="360" w:lineRule="auto"/>
        <w:jc w:val="both"/>
        <w:rPr>
          <w:rFonts w:ascii="Times New Roman" w:eastAsia="DengXian" w:hAnsi="Times New Roman" w:cs="Times New Roman"/>
          <w:sz w:val="22"/>
          <w:szCs w:val="22"/>
        </w:rPr>
      </w:pPr>
      <w:r w:rsidRPr="00F67605">
        <w:rPr>
          <w:rFonts w:ascii="Times New Roman" w:eastAsia="DengXian" w:hAnsi="Times New Roman" w:cs="Times New Roman"/>
          <w:kern w:val="0"/>
          <w:sz w:val="20"/>
          <w:szCs w:val="20"/>
          <w:lang w:val="en-GB" w:bidi="bn-BD"/>
          <w14:ligatures w14:val="none"/>
        </w:rPr>
        <w:t xml:space="preserve">where </w:t>
      </w:r>
      <m:oMath>
        <m:sSub>
          <m:sSubPr>
            <m:ctrlPr>
              <w:rPr>
                <w:rFonts w:ascii="Cambria Math" w:eastAsia="DengXian" w:hAnsi="Cambria Math" w:cs="Times New Roman"/>
                <w:i/>
                <w:kern w:val="0"/>
                <w:sz w:val="20"/>
                <w:szCs w:val="20"/>
                <w:lang w:val="en-GB" w:bidi="bn-BD"/>
                <w14:ligatures w14:val="none"/>
              </w:rPr>
            </m:ctrlPr>
          </m:sSubPr>
          <m:e>
            <m:acc>
              <m:accPr>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β</m:t>
                </m:r>
              </m:e>
            </m:acc>
          </m:e>
          <m:sub>
            <m:r>
              <w:rPr>
                <w:rFonts w:ascii="Cambria Math" w:eastAsia="DengXian" w:hAnsi="Cambria Math" w:cs="Times New Roman"/>
                <w:kern w:val="0"/>
                <w:sz w:val="20"/>
                <w:szCs w:val="20"/>
                <w:lang w:val="en-GB" w:bidi="bn-BD"/>
                <w14:ligatures w14:val="none"/>
              </w:rPr>
              <m:t>FP</m:t>
            </m:r>
          </m:sub>
        </m:sSub>
      </m:oMath>
      <w:r w:rsidRPr="00F67605">
        <w:rPr>
          <w:rFonts w:ascii="Times New Roman" w:eastAsia="DengXian" w:hAnsi="Times New Roman" w:cs="Times New Roman"/>
          <w:kern w:val="0"/>
          <w:sz w:val="20"/>
          <w:szCs w:val="20"/>
          <w:lang w:val="en-GB" w:bidi="bn-BD"/>
          <w14:ligatures w14:val="none"/>
        </w:rPr>
        <w:t xml:space="preserve"> is the estimator for the pooled FMOLS and </w:t>
      </w:r>
      <m:oMath>
        <m:sSub>
          <m:sSubPr>
            <m:ctrlPr>
              <w:rPr>
                <w:rFonts w:ascii="Cambria Math" w:eastAsia="DengXian" w:hAnsi="Cambria Math" w:cs="Times New Roman"/>
                <w:i/>
                <w:kern w:val="0"/>
                <w:sz w:val="20"/>
                <w:szCs w:val="20"/>
                <w:lang w:val="en-GB" w:bidi="bn-BD"/>
                <w14:ligatures w14:val="none"/>
              </w:rPr>
            </m:ctrlPr>
          </m:sSubPr>
          <m:e>
            <m:acc>
              <m:accPr>
                <m:chr m:val="̃"/>
                <m:ctrlPr>
                  <w:rPr>
                    <w:rFonts w:ascii="Cambria Math" w:eastAsia="DengXian" w:hAnsi="Cambria Math" w:cs="Times New Roman"/>
                    <w:i/>
                    <w:kern w:val="0"/>
                    <w:sz w:val="20"/>
                    <w:szCs w:val="20"/>
                    <w:lang w:val="en-GB" w:bidi="bn-BD"/>
                    <w14:ligatures w14:val="none"/>
                  </w:rPr>
                </m:ctrlPr>
              </m:accPr>
              <m:e>
                <m:r>
                  <w:rPr>
                    <w:rFonts w:ascii="Cambria Math" w:eastAsia="DengXian" w:hAnsi="Cambria Math" w:cs="Times New Roman"/>
                    <w:kern w:val="0"/>
                    <w:sz w:val="20"/>
                    <w:szCs w:val="20"/>
                    <w:lang w:val="en-GB" w:bidi="bn-BD"/>
                    <w14:ligatures w14:val="none"/>
                  </w:rPr>
                  <m:t>X</m:t>
                </m:r>
              </m:e>
            </m:acc>
          </m:e>
          <m:sub>
            <m:r>
              <w:rPr>
                <w:rFonts w:ascii="Cambria Math" w:eastAsia="DengXian" w:hAnsi="Cambria Math" w:cs="Times New Roman"/>
                <w:kern w:val="0"/>
                <w:sz w:val="20"/>
                <w:szCs w:val="20"/>
                <w:lang w:val="en-GB" w:bidi="bn-BD"/>
                <w14:ligatures w14:val="none"/>
              </w:rPr>
              <m:t>it</m:t>
            </m:r>
          </m:sub>
        </m:sSub>
      </m:oMath>
      <w:r w:rsidRPr="00F67605">
        <w:rPr>
          <w:rFonts w:ascii="Times New Roman" w:eastAsia="DengXian" w:hAnsi="Times New Roman" w:cs="Times New Roman"/>
          <w:kern w:val="0"/>
          <w:sz w:val="20"/>
          <w:szCs w:val="20"/>
          <w:lang w:val="en-GB" w:bidi="bn-BD"/>
          <w14:ligatures w14:val="none"/>
        </w:rPr>
        <w:t xml:space="preserve"> is corresponding to the data purged from the individual deterministic trends. The panel estimators are summed separately in the numerator and denominator at the country level</w:t>
      </w:r>
      <w:r w:rsidRPr="00F67605">
        <w:rPr>
          <w:rFonts w:ascii="Times New Roman" w:eastAsia="DengXian" w:hAnsi="Times New Roman" w:cs="Times New Roman"/>
          <w:sz w:val="20"/>
          <w:szCs w:val="20"/>
        </w:rPr>
        <w:t xml:space="preserve"> </w:t>
      </w:r>
      <w:r w:rsidRPr="00F67605">
        <w:rPr>
          <w:rFonts w:ascii="Times New Roman" w:eastAsia="DengXian" w:hAnsi="Times New Roman" w:cs="Times New Roman"/>
          <w:kern w:val="0"/>
          <w:sz w:val="20"/>
          <w:szCs w:val="20"/>
          <w:lang w:val="en-GB" w:bidi="bn-BD"/>
          <w14:ligatures w14:val="none"/>
        </w:rPr>
        <w:t xml:space="preserve">and enables a thorough analysis of short- and long-term relationships between variables, including strict causality assessment. The FMOLS test following </w:t>
      </w:r>
      <w:r w:rsidRPr="00F67605">
        <w:rPr>
          <w:rFonts w:ascii="Times New Roman" w:eastAsia="DengXian" w:hAnsi="Times New Roman" w:cs="Times New Roman"/>
          <w:kern w:val="0"/>
          <w:sz w:val="20"/>
          <w:szCs w:val="20"/>
          <w:lang w:val="en-GB" w:bidi="bn-BD"/>
          <w14:ligatures w14:val="none"/>
        </w:rPr>
        <w:fldChar w:fldCharType="begin"/>
      </w:r>
      <w:r w:rsidRPr="00F67605">
        <w:rPr>
          <w:rFonts w:ascii="Times New Roman" w:eastAsia="DengXian" w:hAnsi="Times New Roman" w:cs="Times New Roman"/>
          <w:kern w:val="0"/>
          <w:sz w:val="20"/>
          <w:szCs w:val="20"/>
          <w:lang w:val="en-GB" w:bidi="bn-BD"/>
          <w14:ligatures w14:val="none"/>
        </w:rPr>
        <w:instrText xml:space="preserve"> ADDIN EN.CITE &lt;EndNote&gt;&lt;Cite&gt;&lt;Author&gt;Musa&lt;/Author&gt;&lt;Year&gt;2022&lt;/Year&gt;&lt;RecNum&gt;680&lt;/RecNum&gt;&lt;DisplayText&gt;(Musa et al., 2022)&lt;/DisplayText&gt;&lt;record&gt;&lt;rec-number&gt;680&lt;/rec-number&gt;&lt;foreign-keys&gt;&lt;key app="EN" db-id="pr9errdtjsfza8epeft5fvzmdvwfxpaxx95r" timestamp="1664327044"&gt;680&lt;/key&gt;&lt;/foreign-keys&gt;&lt;ref-type name="Journal Article"&gt;17&lt;/ref-type&gt;&lt;contributors&gt;&lt;authors&gt;&lt;author&gt;Musa, Mohammad&lt;/author&gt;&lt;author&gt;Yi, Lan&lt;/author&gt;&lt;author&gt;Rahman, Preethu&lt;/author&gt;&lt;author&gt;Ali, Muhammad Abu Sufyan&lt;/author&gt;&lt;author&gt;Yang, Li&lt;/author&gt;&lt;/authors&gt;&lt;/contributors&gt;&lt;titles&gt;&lt;title&gt;Do anthropogenic and natural factors elevate the haze pollution in the South Asian countries? Evidence from long-term cointegration and VECM causality estimation&lt;/title&gt;&lt;secondary-title&gt;Environmental Science and Pollution Research&lt;/secondary-title&gt;&lt;/titles&gt;&lt;periodical&gt;&lt;full-title&gt;Environmental Science and Pollution Research&lt;/full-title&gt;&lt;/periodical&gt;&lt;dates&gt;&lt;year&gt;2022&lt;/year&gt;&lt;pub-dates&gt;&lt;date&gt;2022/07/08&lt;/date&gt;&lt;/pub-dates&gt;&lt;/dates&gt;&lt;isbn&gt;1614-7499&lt;/isbn&gt;&lt;urls&gt;&lt;related-urls&gt;&lt;url&gt;https://doi.org/10.1007/s11356-022-21759-w&lt;/url&gt;&lt;/related-urls&gt;&lt;/urls&gt;&lt;electronic-resource-num&gt;10.1007/s11356-022-21759-w&lt;/electronic-resource-num&gt;&lt;/record&gt;&lt;/Cite&gt;&lt;/EndNote&gt;</w:instrText>
      </w:r>
      <w:r w:rsidRPr="00F67605">
        <w:rPr>
          <w:rFonts w:ascii="Times New Roman" w:eastAsia="DengXian" w:hAnsi="Times New Roman" w:cs="Times New Roman"/>
          <w:kern w:val="0"/>
          <w:sz w:val="20"/>
          <w:szCs w:val="20"/>
          <w:lang w:val="en-GB" w:bidi="bn-BD"/>
          <w14:ligatures w14:val="none"/>
        </w:rPr>
        <w:fldChar w:fldCharType="separate"/>
      </w:r>
      <w:r w:rsidRPr="00F67605">
        <w:rPr>
          <w:rFonts w:ascii="Times New Roman" w:eastAsia="DengXian" w:hAnsi="Times New Roman" w:cs="Times New Roman"/>
          <w:noProof/>
          <w:kern w:val="0"/>
          <w:sz w:val="20"/>
          <w:szCs w:val="20"/>
          <w:lang w:val="en-GB" w:bidi="bn-BD"/>
          <w14:ligatures w14:val="none"/>
        </w:rPr>
        <w:t>(</w:t>
      </w:r>
      <w:hyperlink w:anchor="_ENREF_33" w:tooltip="Musa, 2022 #680" w:history="1">
        <w:r w:rsidRPr="00F67605">
          <w:rPr>
            <w:rFonts w:ascii="Times New Roman" w:eastAsia="DengXian" w:hAnsi="Times New Roman" w:cs="Times New Roman"/>
            <w:sz w:val="20"/>
            <w:szCs w:val="20"/>
          </w:rPr>
          <w:t>Musa et al., 2022</w:t>
        </w:r>
      </w:hyperlink>
      <w:r w:rsidRPr="00F67605">
        <w:rPr>
          <w:rFonts w:ascii="Times New Roman" w:eastAsia="DengXian" w:hAnsi="Times New Roman" w:cs="Times New Roman"/>
          <w:noProof/>
          <w:kern w:val="0"/>
          <w:sz w:val="20"/>
          <w:szCs w:val="20"/>
          <w:lang w:val="en-GB" w:bidi="bn-BD"/>
          <w14:ligatures w14:val="none"/>
        </w:rPr>
        <w:t>)</w:t>
      </w:r>
      <w:r w:rsidRPr="00F67605">
        <w:rPr>
          <w:rFonts w:ascii="Times New Roman" w:eastAsia="DengXian" w:hAnsi="Times New Roman" w:cs="Times New Roman"/>
          <w:kern w:val="0"/>
          <w:sz w:val="20"/>
          <w:szCs w:val="20"/>
          <w:lang w:val="en-GB" w:bidi="bn-BD"/>
          <w14:ligatures w14:val="none"/>
        </w:rPr>
        <w:fldChar w:fldCharType="end"/>
      </w:r>
      <w:r w:rsidRPr="00F67605">
        <w:rPr>
          <w:rFonts w:ascii="Times New Roman" w:eastAsia="DengXian" w:hAnsi="Times New Roman" w:cs="Times New Roman"/>
          <w:kern w:val="0"/>
          <w:sz w:val="20"/>
          <w:szCs w:val="20"/>
          <w:lang w:val="en-GB" w:bidi="bn-BD"/>
          <w14:ligatures w14:val="none"/>
        </w:rPr>
        <w:t xml:space="preserve"> provided clear results by evaluating the impact of independent variables on financial growth. This choice enhances the study's robustness and comprehensiveness, but the potential causal linkages among them are still unexamined. We therefore employed the </w:t>
      </w:r>
      <w:r w:rsidRPr="00F67605">
        <w:rPr>
          <w:rFonts w:ascii="Times New Roman" w:eastAsia="DengXian" w:hAnsi="Times New Roman" w:cs="Times New Roman"/>
          <w:kern w:val="0"/>
          <w:sz w:val="20"/>
          <w:szCs w:val="20"/>
          <w:lang w:val="en-GB" w:bidi="bn-BD"/>
          <w14:ligatures w14:val="none"/>
        </w:rPr>
        <w:fldChar w:fldCharType="begin"/>
      </w:r>
      <w:r w:rsidRPr="00F67605">
        <w:rPr>
          <w:rFonts w:ascii="Times New Roman" w:eastAsia="DengXian" w:hAnsi="Times New Roman" w:cs="Times New Roman"/>
          <w:kern w:val="0"/>
          <w:sz w:val="20"/>
          <w:szCs w:val="20"/>
          <w:lang w:val="en-GB" w:bidi="bn-BD"/>
          <w14:ligatures w14:val="none"/>
        </w:rPr>
        <w:instrText xml:space="preserve"> ADDIN EN.CITE &lt;EndNote&gt;&lt;Cite&gt;&lt;Author&gt;Dumitrescu&lt;/Author&gt;&lt;Year&gt;2012&lt;/Year&gt;&lt;RecNum&gt;445&lt;/RecNum&gt;&lt;DisplayText&gt;(E. Dumitrescu &amp;amp; C. Hurlin, 2012)&lt;/DisplayText&gt;&lt;record&gt;&lt;rec-number&gt;445&lt;/rec-number&gt;&lt;foreign-keys&gt;&lt;key app="EN" db-id="pr9errdtjsfza8epeft5fvzmdvwfxpaxx95r" timestamp="1645753934"&gt;445&lt;/key&gt;&lt;/foreign-keys&gt;&lt;ref-type name="Journal Article"&gt;17&lt;/ref-type&gt;&lt;contributors&gt;&lt;authors&gt;&lt;author&gt;Dumitrescu, E.,&lt;/author&gt;&lt;author&gt;Hurlin, C. &lt;/author&gt;&lt;/authors&gt;&lt;/contributors&gt;&lt;titles&gt;&lt;title&gt;Testing for Granger non-causality in heterogeneous panels&lt;/title&gt;&lt;secondary-title&gt;Economic Modelling&lt;/secondary-title&gt;&lt;/titles&gt;&lt;periodical&gt;&lt;full-title&gt;Economic Modelling&lt;/full-title&gt;&lt;/periodical&gt;&lt;pages&gt;1450-1460&lt;/pages&gt;&lt;volume&gt;29&lt;/volume&gt;&lt;dates&gt;&lt;year&gt;2012&lt;/year&gt;&lt;/dates&gt;&lt;urls&gt;&lt;/urls&gt;&lt;/record&gt;&lt;/Cite&gt;&lt;/EndNote&gt;</w:instrText>
      </w:r>
      <w:r w:rsidRPr="00F67605">
        <w:rPr>
          <w:rFonts w:ascii="Times New Roman" w:eastAsia="DengXian" w:hAnsi="Times New Roman" w:cs="Times New Roman"/>
          <w:kern w:val="0"/>
          <w:sz w:val="20"/>
          <w:szCs w:val="20"/>
          <w:lang w:val="en-GB" w:bidi="bn-BD"/>
          <w14:ligatures w14:val="none"/>
        </w:rPr>
        <w:fldChar w:fldCharType="separate"/>
      </w:r>
      <w:r w:rsidRPr="00F67605">
        <w:rPr>
          <w:rFonts w:ascii="Times New Roman" w:eastAsia="DengXian" w:hAnsi="Times New Roman" w:cs="Times New Roman"/>
          <w:noProof/>
          <w:kern w:val="0"/>
          <w:sz w:val="20"/>
          <w:szCs w:val="20"/>
          <w:lang w:val="en-GB" w:bidi="bn-BD"/>
          <w14:ligatures w14:val="none"/>
        </w:rPr>
        <w:t>(</w:t>
      </w:r>
      <w:hyperlink w:anchor="_ENREF_16" w:tooltip="Dumitrescu, 2012 #445" w:history="1">
        <w:r w:rsidRPr="00F67605">
          <w:rPr>
            <w:rFonts w:ascii="Times New Roman" w:eastAsia="DengXian" w:hAnsi="Times New Roman" w:cs="Times New Roman"/>
            <w:sz w:val="20"/>
            <w:szCs w:val="20"/>
          </w:rPr>
          <w:t>Dumitrescu and Hurlin, 2012</w:t>
        </w:r>
      </w:hyperlink>
      <w:r w:rsidRPr="00F67605">
        <w:rPr>
          <w:rFonts w:ascii="Times New Roman" w:eastAsia="DengXian" w:hAnsi="Times New Roman" w:cs="Times New Roman"/>
          <w:noProof/>
          <w:kern w:val="0"/>
          <w:sz w:val="20"/>
          <w:szCs w:val="20"/>
          <w:lang w:val="en-GB" w:bidi="bn-BD"/>
          <w14:ligatures w14:val="none"/>
        </w:rPr>
        <w:t>)</w:t>
      </w:r>
      <w:r w:rsidRPr="00F67605">
        <w:rPr>
          <w:rFonts w:ascii="Times New Roman" w:eastAsia="DengXian" w:hAnsi="Times New Roman" w:cs="Times New Roman"/>
          <w:kern w:val="0"/>
          <w:sz w:val="20"/>
          <w:szCs w:val="20"/>
          <w:lang w:val="en-GB" w:bidi="bn-BD"/>
          <w14:ligatures w14:val="none"/>
        </w:rPr>
        <w:fldChar w:fldCharType="end"/>
      </w:r>
      <w:r w:rsidRPr="00F67605">
        <w:rPr>
          <w:rFonts w:ascii="Times New Roman" w:eastAsia="DengXian" w:hAnsi="Times New Roman" w:cs="Times New Roman"/>
          <w:kern w:val="0"/>
          <w:sz w:val="20"/>
          <w:szCs w:val="20"/>
          <w:lang w:val="en-GB" w:bidi="bn-BD"/>
          <w14:ligatures w14:val="none"/>
        </w:rPr>
        <w:t xml:space="preserve"> to assess the Granger causality because the variables were cointegrated. The F and t statistics for the lagged independent variables indicate the significance of short-term causal influence. The t-statistics show the significance of the long-term causal effect of the coefficients for the lagged error-correction factor. The Schwarz Information Criterion (SIC) was used to determine the lag length p. We used variance decomposition analysis in with the Cholesky decomposition method to measure the causal influence of one variable on another and to evaluate how each variable responds to changes in the others. The asymptotic distribution of panel VAR parameters and the variance-covariance matrix of the cross-equation error can be used to evaluate confidence intervals for variance decomposition. Alternatively, </w:t>
      </w:r>
      <w:r w:rsidRPr="00F67605">
        <w:rPr>
          <w:rFonts w:ascii="Times New Roman" w:eastAsia="DengXian" w:hAnsi="Times New Roman" w:cs="Times New Roman"/>
          <w:kern w:val="0"/>
          <w:sz w:val="20"/>
          <w:szCs w:val="20"/>
          <w:lang w:val="en-GB" w:bidi="bn-BD"/>
          <w14:ligatures w14:val="none"/>
        </w:rPr>
        <w:fldChar w:fldCharType="begin"/>
      </w:r>
      <w:r w:rsidRPr="00F67605">
        <w:rPr>
          <w:rFonts w:ascii="Times New Roman" w:eastAsia="DengXian" w:hAnsi="Times New Roman" w:cs="Times New Roman"/>
          <w:kern w:val="0"/>
          <w:sz w:val="20"/>
          <w:szCs w:val="20"/>
          <w:lang w:val="en-GB" w:bidi="bn-BD"/>
          <w14:ligatures w14:val="none"/>
        </w:rPr>
        <w:instrText xml:space="preserve"> ADDIN EN.CITE &lt;EndNote&gt;&lt;Cite&gt;&lt;Author&gt;Lütkepohl&lt;/Author&gt;&lt;Year&gt;2005&lt;/Year&gt;&lt;RecNum&gt;1300&lt;/RecNum&gt;&lt;DisplayText&gt;(Lütkepohl, 2005)&lt;/DisplayText&gt;&lt;record&gt;&lt;rec-number&gt;1300&lt;/rec-number&gt;&lt;foreign-keys&gt;&lt;key app="EN" db-id="pr9errdtjsfza8epeft5fvzmdvwfxpaxx95r" timestamp="1752759646"&gt;1300&lt;/key&gt;&lt;/foreign-keys&gt;&lt;ref-type name="Book"&gt;6&lt;/ref-type&gt;&lt;contributors&gt;&lt;authors&gt;&lt;author&gt;Helmut Lütkepohl&lt;/author&gt;&lt;/authors&gt;&lt;/contributors&gt;&lt;titles&gt;&lt;title&gt;New Introduction to Multiple Time Series Analysis&lt;/title&gt;&lt;/titles&gt;&lt;pages&gt;764&lt;/pages&gt;&lt;edition&gt;1&lt;/edition&gt;&lt;dates&gt;&lt;year&gt;2005&lt;/year&gt;&lt;pub-dates&gt;&lt;date&gt;05 July 2005&lt;/date&gt;&lt;/pub-dates&gt;&lt;/dates&gt;&lt;pub-location&gt;Berlin, Heidelberg&lt;/pub-location&gt;&lt;publisher&gt;Springer&lt;/publisher&gt;&lt;isbn&gt;978-3-540-26239-8&amp;#xD;978-3-540-40172-8&lt;/isbn&gt;&lt;urls&gt;&lt;related-urls&gt;&lt;url&gt;https://link.springer.com/book/10.1007/978-3-540-27752-1#accessibility-information&lt;/url&gt;&lt;/related-urls&gt;&lt;/urls&gt;&lt;electronic-resource-num&gt;https://doi.org/10.1007/978-3-540-27752-1&lt;/electronic-resource-num&gt;&lt;/record&gt;&lt;/Cite&gt;&lt;/EndNote&gt;</w:instrText>
      </w:r>
      <w:r w:rsidRPr="00F67605">
        <w:rPr>
          <w:rFonts w:ascii="Times New Roman" w:eastAsia="DengXian" w:hAnsi="Times New Roman" w:cs="Times New Roman"/>
          <w:kern w:val="0"/>
          <w:sz w:val="20"/>
          <w:szCs w:val="20"/>
          <w:lang w:val="en-GB" w:bidi="bn-BD"/>
          <w14:ligatures w14:val="none"/>
        </w:rPr>
        <w:fldChar w:fldCharType="separate"/>
      </w:r>
      <w:r w:rsidRPr="00F67605">
        <w:rPr>
          <w:rFonts w:ascii="Times New Roman" w:eastAsia="DengXian" w:hAnsi="Times New Roman" w:cs="Times New Roman"/>
          <w:noProof/>
          <w:kern w:val="0"/>
          <w:sz w:val="20"/>
          <w:szCs w:val="20"/>
          <w:lang w:val="en-GB" w:bidi="bn-BD"/>
          <w14:ligatures w14:val="none"/>
        </w:rPr>
        <w:t>(</w:t>
      </w:r>
      <w:hyperlink w:anchor="_ENREF_29" w:tooltip="Lütkepohl, 2005 #1300" w:history="1">
        <w:r w:rsidRPr="00F67605">
          <w:rPr>
            <w:rFonts w:ascii="Times New Roman" w:eastAsia="DengXian" w:hAnsi="Times New Roman" w:cs="Times New Roman"/>
            <w:sz w:val="20"/>
            <w:szCs w:val="20"/>
          </w:rPr>
          <w:t>Lütkepohl, 2005</w:t>
        </w:r>
      </w:hyperlink>
      <w:r w:rsidRPr="00F67605">
        <w:rPr>
          <w:rFonts w:ascii="Times New Roman" w:eastAsia="DengXian" w:hAnsi="Times New Roman" w:cs="Times New Roman"/>
          <w:noProof/>
          <w:kern w:val="0"/>
          <w:sz w:val="20"/>
          <w:szCs w:val="20"/>
          <w:lang w:val="en-GB" w:bidi="bn-BD"/>
          <w14:ligatures w14:val="none"/>
        </w:rPr>
        <w:t>)</w:t>
      </w:r>
      <w:r w:rsidRPr="00F67605">
        <w:rPr>
          <w:rFonts w:ascii="Times New Roman" w:eastAsia="DengXian" w:hAnsi="Times New Roman" w:cs="Times New Roman"/>
          <w:kern w:val="0"/>
          <w:sz w:val="20"/>
          <w:szCs w:val="20"/>
          <w:lang w:val="en-GB" w:bidi="bn-BD"/>
          <w14:ligatures w14:val="none"/>
        </w:rPr>
        <w:fldChar w:fldCharType="end"/>
      </w:r>
      <w:r w:rsidRPr="00F67605">
        <w:rPr>
          <w:rFonts w:ascii="Times New Roman" w:eastAsia="DengXian" w:hAnsi="Times New Roman" w:cs="Times New Roman"/>
          <w:kern w:val="0"/>
          <w:sz w:val="20"/>
          <w:szCs w:val="20"/>
          <w:lang w:val="en-GB" w:bidi="bn-BD"/>
          <w14:ligatures w14:val="none"/>
        </w:rPr>
        <w:t xml:space="preserve"> proposes calculating the confidence interval using Monte Carlo simulation and bootstrap resampling techniques.</w:t>
      </w:r>
    </w:p>
    <w:p w14:paraId="0D1EA8E5" w14:textId="77777777" w:rsidR="00F67605" w:rsidRPr="00F67605" w:rsidRDefault="00F67605" w:rsidP="00F67605">
      <w:pPr>
        <w:spacing w:after="0" w:line="360" w:lineRule="auto"/>
        <w:rPr>
          <w:rFonts w:ascii="Times New Roman" w:eastAsia="DengXian" w:hAnsi="Times New Roman" w:cs="Times New Roman"/>
          <w:sz w:val="22"/>
          <w:szCs w:val="22"/>
        </w:rPr>
      </w:pPr>
    </w:p>
    <w:p w14:paraId="6C420D7D" w14:textId="07592CB0" w:rsidR="00F67605" w:rsidRPr="00F67605" w:rsidRDefault="00F67605" w:rsidP="00F67605">
      <w:pPr>
        <w:spacing w:after="0" w:line="360" w:lineRule="auto"/>
        <w:rPr>
          <w:rFonts w:ascii="Times New Roman" w:eastAsia="DengXian" w:hAnsi="Times New Roman" w:cs="Times New Roman"/>
          <w:sz w:val="22"/>
          <w:szCs w:val="22"/>
        </w:rPr>
      </w:pPr>
    </w:p>
    <w:p w14:paraId="3D0C6C5F" w14:textId="5C3F66D7" w:rsidR="00F67605" w:rsidRPr="00F67605" w:rsidRDefault="00F67605" w:rsidP="00F67605">
      <w:pPr>
        <w:spacing w:after="0" w:line="360" w:lineRule="auto"/>
        <w:rPr>
          <w:rFonts w:ascii="Times New Roman" w:eastAsia="DengXian" w:hAnsi="Times New Roman" w:cs="Times New Roman"/>
          <w:sz w:val="22"/>
          <w:szCs w:val="22"/>
        </w:rPr>
      </w:pPr>
    </w:p>
    <w:p w14:paraId="20A64B03" w14:textId="40A9F30E" w:rsidR="00F67605" w:rsidRPr="00F67605" w:rsidRDefault="00F67605" w:rsidP="00F67605">
      <w:pPr>
        <w:spacing w:after="0" w:line="360" w:lineRule="auto"/>
        <w:rPr>
          <w:rFonts w:ascii="Times New Roman" w:eastAsia="DengXian" w:hAnsi="Times New Roman" w:cs="Times New Roman"/>
          <w:sz w:val="22"/>
          <w:szCs w:val="22"/>
        </w:rPr>
      </w:pPr>
    </w:p>
    <w:p w14:paraId="2698650B" w14:textId="4F323545" w:rsidR="00F67605" w:rsidRPr="00F67605" w:rsidRDefault="00F67605" w:rsidP="00F67605">
      <w:pPr>
        <w:spacing w:after="0" w:line="360" w:lineRule="auto"/>
        <w:rPr>
          <w:rFonts w:ascii="Times New Roman" w:eastAsia="DengXian" w:hAnsi="Times New Roman" w:cs="Times New Roman"/>
          <w:sz w:val="22"/>
          <w:szCs w:val="22"/>
        </w:rPr>
      </w:pPr>
    </w:p>
    <w:p w14:paraId="3F691E41" w14:textId="028F8F5D" w:rsidR="00F67605" w:rsidRPr="00F67605" w:rsidRDefault="00F67605" w:rsidP="00F67605">
      <w:pPr>
        <w:spacing w:after="0" w:line="360" w:lineRule="auto"/>
        <w:jc w:val="center"/>
        <w:rPr>
          <w:rFonts w:ascii="Times New Roman" w:eastAsia="DengXian" w:hAnsi="Times New Roman" w:cs="Times New Roman"/>
          <w:b/>
          <w:bCs/>
          <w:sz w:val="22"/>
          <w:szCs w:val="22"/>
        </w:rPr>
      </w:pPr>
    </w:p>
    <w:p w14:paraId="7D0A7272" w14:textId="0918A2F1" w:rsidR="00A0781E" w:rsidRDefault="00A0781E"/>
    <w:sectPr w:rsidR="00A078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7739" w14:textId="77777777" w:rsidR="006961CE" w:rsidRDefault="006961CE" w:rsidP="00DF7802">
      <w:pPr>
        <w:spacing w:after="0" w:line="240" w:lineRule="auto"/>
      </w:pPr>
      <w:r>
        <w:separator/>
      </w:r>
    </w:p>
  </w:endnote>
  <w:endnote w:type="continuationSeparator" w:id="0">
    <w:p w14:paraId="40BEE5D6" w14:textId="77777777" w:rsidR="006961CE" w:rsidRDefault="006961CE" w:rsidP="00DF7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4E9E5" w14:textId="77777777" w:rsidR="006961CE" w:rsidRDefault="006961CE" w:rsidP="00DF7802">
      <w:pPr>
        <w:spacing w:after="0" w:line="240" w:lineRule="auto"/>
      </w:pPr>
      <w:r>
        <w:separator/>
      </w:r>
    </w:p>
  </w:footnote>
  <w:footnote w:type="continuationSeparator" w:id="0">
    <w:p w14:paraId="74D31B82" w14:textId="77777777" w:rsidR="006961CE" w:rsidRDefault="006961CE" w:rsidP="00DF78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05"/>
    <w:rsid w:val="0006263B"/>
    <w:rsid w:val="001B7278"/>
    <w:rsid w:val="0041377F"/>
    <w:rsid w:val="006961CE"/>
    <w:rsid w:val="006E6D15"/>
    <w:rsid w:val="007F31DA"/>
    <w:rsid w:val="009410F6"/>
    <w:rsid w:val="00944238"/>
    <w:rsid w:val="00992FC2"/>
    <w:rsid w:val="00A0781E"/>
    <w:rsid w:val="00DF7802"/>
    <w:rsid w:val="00E3565C"/>
    <w:rsid w:val="00F63A50"/>
    <w:rsid w:val="00F676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D0365"/>
  <w15:chartTrackingRefBased/>
  <w15:docId w15:val="{C45AFBDD-D7D6-4CA8-88EF-C900E2CB8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60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6760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6760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6760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6760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67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60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6760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6760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6760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6760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67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605"/>
    <w:rPr>
      <w:rFonts w:eastAsiaTheme="majorEastAsia" w:cstheme="majorBidi"/>
      <w:color w:val="272727" w:themeColor="text1" w:themeTint="D8"/>
    </w:rPr>
  </w:style>
  <w:style w:type="paragraph" w:styleId="Title">
    <w:name w:val="Title"/>
    <w:basedOn w:val="Normal"/>
    <w:next w:val="Normal"/>
    <w:link w:val="TitleChar"/>
    <w:uiPriority w:val="10"/>
    <w:qFormat/>
    <w:rsid w:val="00F67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605"/>
    <w:pPr>
      <w:spacing w:before="160"/>
      <w:jc w:val="center"/>
    </w:pPr>
    <w:rPr>
      <w:i/>
      <w:iCs/>
      <w:color w:val="404040" w:themeColor="text1" w:themeTint="BF"/>
    </w:rPr>
  </w:style>
  <w:style w:type="character" w:customStyle="1" w:styleId="QuoteChar">
    <w:name w:val="Quote Char"/>
    <w:basedOn w:val="DefaultParagraphFont"/>
    <w:link w:val="Quote"/>
    <w:uiPriority w:val="29"/>
    <w:rsid w:val="00F67605"/>
    <w:rPr>
      <w:i/>
      <w:iCs/>
      <w:color w:val="404040" w:themeColor="text1" w:themeTint="BF"/>
    </w:rPr>
  </w:style>
  <w:style w:type="paragraph" w:styleId="ListParagraph">
    <w:name w:val="List Paragraph"/>
    <w:basedOn w:val="Normal"/>
    <w:uiPriority w:val="34"/>
    <w:qFormat/>
    <w:rsid w:val="00F67605"/>
    <w:pPr>
      <w:ind w:left="720"/>
      <w:contextualSpacing/>
    </w:pPr>
  </w:style>
  <w:style w:type="character" w:styleId="IntenseEmphasis">
    <w:name w:val="Intense Emphasis"/>
    <w:basedOn w:val="DefaultParagraphFont"/>
    <w:uiPriority w:val="21"/>
    <w:qFormat/>
    <w:rsid w:val="00F67605"/>
    <w:rPr>
      <w:i/>
      <w:iCs/>
      <w:color w:val="2E74B5" w:themeColor="accent1" w:themeShade="BF"/>
    </w:rPr>
  </w:style>
  <w:style w:type="paragraph" w:styleId="IntenseQuote">
    <w:name w:val="Intense Quote"/>
    <w:basedOn w:val="Normal"/>
    <w:next w:val="Normal"/>
    <w:link w:val="IntenseQuoteChar"/>
    <w:uiPriority w:val="30"/>
    <w:qFormat/>
    <w:rsid w:val="00F6760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67605"/>
    <w:rPr>
      <w:i/>
      <w:iCs/>
      <w:color w:val="2E74B5" w:themeColor="accent1" w:themeShade="BF"/>
    </w:rPr>
  </w:style>
  <w:style w:type="character" w:styleId="IntenseReference">
    <w:name w:val="Intense Reference"/>
    <w:basedOn w:val="DefaultParagraphFont"/>
    <w:uiPriority w:val="32"/>
    <w:qFormat/>
    <w:rsid w:val="00F67605"/>
    <w:rPr>
      <w:b/>
      <w:bCs/>
      <w:smallCaps/>
      <w:color w:val="2E74B5" w:themeColor="accent1" w:themeShade="BF"/>
      <w:spacing w:val="5"/>
    </w:rPr>
  </w:style>
  <w:style w:type="paragraph" w:styleId="Header">
    <w:name w:val="header"/>
    <w:basedOn w:val="Normal"/>
    <w:link w:val="HeaderChar"/>
    <w:uiPriority w:val="99"/>
    <w:unhideWhenUsed/>
    <w:rsid w:val="00DF78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802"/>
  </w:style>
  <w:style w:type="paragraph" w:styleId="Footer">
    <w:name w:val="footer"/>
    <w:basedOn w:val="Normal"/>
    <w:link w:val="FooterChar"/>
    <w:uiPriority w:val="99"/>
    <w:unhideWhenUsed/>
    <w:rsid w:val="00DF78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8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image" Target="media/image17.wmf"/><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oleObject" Target="embeddings/oleObject19.bin"/><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41" Type="http://schemas.openxmlformats.org/officeDocument/2006/relationships/image" Target="media/image1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image" Target="media/image16.wmf"/><Relationship Id="rId40" Type="http://schemas.openxmlformats.org/officeDocument/2006/relationships/oleObject" Target="embeddings/oleObject18.bin"/><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oleObject" Target="embeddings/oleObject16.bin"/><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oleObject" Target="embeddings/oleObject1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1633</Words>
  <Characters>9312</Characters>
  <Application>Microsoft Office Word</Application>
  <DocSecurity>0</DocSecurity>
  <Lines>77</Lines>
  <Paragraphs>21</Paragraphs>
  <ScaleCrop>false</ScaleCrop>
  <Company/>
  <LinksUpToDate>false</LinksUpToDate>
  <CharactersWithSpaces>10924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preethu_eu</dc:creator>
  <cp:keywords/>
  <dc:description/>
  <cp:lastModifiedBy>HA156815@365mak.com</cp:lastModifiedBy>
  <cp:revision>3</cp:revision>
  <dcterms:created xsi:type="dcterms:W3CDTF">2026-07-28T01:33:00Z</dcterms:created>
  <dcterms:modified xsi:type="dcterms:W3CDTF">2026-07-28T01:35:00Z</dcterms:modified>
</cp:coreProperties>
</file>