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725B" w14:textId="77777777" w:rsidR="009410F6" w:rsidRPr="009410F6" w:rsidRDefault="009410F6" w:rsidP="009410F6">
      <w:pPr>
        <w:spacing w:after="0" w:line="360" w:lineRule="auto"/>
        <w:jc w:val="center"/>
        <w:rPr>
          <w:rFonts w:ascii="Times New Roman" w:eastAsia="DengXian" w:hAnsi="Times New Roman" w:cs="Times New Roman"/>
          <w:b/>
          <w:bCs/>
          <w:sz w:val="20"/>
          <w:szCs w:val="20"/>
        </w:rPr>
      </w:pPr>
      <w:bookmarkStart w:id="0" w:name="_Hlk198558090"/>
      <w:r w:rsidRPr="009410F6">
        <w:rPr>
          <w:rFonts w:ascii="Times New Roman" w:eastAsia="DengXian" w:hAnsi="Times New Roman" w:cs="Times New Roman"/>
          <w:b/>
          <w:bCs/>
          <w:sz w:val="20"/>
          <w:szCs w:val="20"/>
        </w:rPr>
        <w:t>Financial development and macroeconomic interdependencies in developing economies: a comparative panel analysis</w:t>
      </w:r>
    </w:p>
    <w:bookmarkEnd w:id="0"/>
    <w:p w14:paraId="6666A32A" w14:textId="77777777" w:rsidR="009410F6" w:rsidRDefault="009410F6" w:rsidP="00F67605">
      <w:pPr>
        <w:spacing w:after="0" w:line="360" w:lineRule="auto"/>
        <w:jc w:val="center"/>
        <w:rPr>
          <w:rFonts w:ascii="Times New Roman" w:eastAsia="DengXian" w:hAnsi="Times New Roman" w:cs="Times New Roman"/>
          <w:b/>
          <w:bCs/>
          <w:sz w:val="20"/>
          <w:szCs w:val="20"/>
        </w:rPr>
      </w:pPr>
    </w:p>
    <w:p w14:paraId="3EBA737D" w14:textId="77777777" w:rsidR="00F67605" w:rsidRPr="00F67605" w:rsidRDefault="00F67605" w:rsidP="00F67605">
      <w:pPr>
        <w:spacing w:after="0" w:line="360" w:lineRule="auto"/>
        <w:jc w:val="center"/>
        <w:rPr>
          <w:rFonts w:ascii="Times New Roman" w:eastAsia="DengXian" w:hAnsi="Times New Roman" w:cs="Times New Roman"/>
          <w:b/>
          <w:bCs/>
          <w:sz w:val="20"/>
          <w:szCs w:val="20"/>
        </w:rPr>
      </w:pPr>
      <w:r w:rsidRPr="00F67605">
        <w:rPr>
          <w:rFonts w:ascii="Times New Roman" w:eastAsia="DengXian" w:hAnsi="Times New Roman" w:cs="Times New Roman"/>
          <w:b/>
          <w:bCs/>
          <w:sz w:val="20"/>
          <w:szCs w:val="20"/>
        </w:rPr>
        <w:t>Appendix B</w:t>
      </w:r>
    </w:p>
    <w:p w14:paraId="11ED4E04" w14:textId="77777777" w:rsidR="00F67605" w:rsidRPr="00F67605" w:rsidRDefault="00F67605" w:rsidP="00F67605">
      <w:pPr>
        <w:spacing w:after="0" w:line="360" w:lineRule="auto"/>
        <w:jc w:val="both"/>
        <w:rPr>
          <w:rFonts w:ascii="Times New Roman" w:eastAsia="DengXian" w:hAnsi="Times New Roman" w:cs="Times New Roman"/>
          <w:sz w:val="20"/>
          <w:szCs w:val="20"/>
        </w:rPr>
      </w:pPr>
    </w:p>
    <w:p w14:paraId="57D6AD7E"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sz w:val="20"/>
          <w:szCs w:val="20"/>
        </w:rPr>
        <w:t>We conducted a variance decomposition test to evaluate how external disturbances affect a system. Breaking down forecast variances into line graphs highlights the importance of each innovation. The prediction error quantifies the unexpected changes in variables due to external shocks. We employed variance decomposition analysis with the Cholesky decomposition method to assess the causal relationships among variables and their responses to various factors. Analyze the contribution of each innovation to endogenous factors by breaking down the changes and causes of each variable. Figure 4 displays the variance breakdown of variables.</w:t>
      </w:r>
    </w:p>
    <w:p w14:paraId="61CAA3E5" w14:textId="77777777" w:rsidR="00F67605" w:rsidRPr="00F67605" w:rsidRDefault="00F67605" w:rsidP="00F67605">
      <w:pPr>
        <w:spacing w:after="0" w:line="360" w:lineRule="auto"/>
        <w:jc w:val="both"/>
        <w:rPr>
          <w:rFonts w:ascii="Times New Roman" w:eastAsia="SimSun" w:hAnsi="Times New Roman" w:cs="Times New Roman"/>
          <w:b/>
          <w:bCs/>
          <w:kern w:val="0"/>
          <w:sz w:val="20"/>
          <w:szCs w:val="20"/>
          <w:lang w:val="en-GB" w:bidi="bn-BD"/>
          <w14:ligatures w14:val="none"/>
        </w:rPr>
      </w:pPr>
      <w:r w:rsidRPr="00F67605">
        <w:rPr>
          <w:rFonts w:ascii="Times New Roman" w:eastAsia="SimSun" w:hAnsi="Times New Roman" w:cs="Times New Roman"/>
          <w:kern w:val="0"/>
          <w:sz w:val="20"/>
          <w:szCs w:val="20"/>
          <w:lang w:val="en-GB" w:bidi="bn-BD"/>
          <w14:ligatures w14:val="none"/>
        </w:rPr>
        <w:t>Variance decomposition analysis (using Cholesky decomposition) further reveals that FDI inflows and GDP growth explain the largest share of forecast variance in financial development, reaffirming their pivotal roles.</w:t>
      </w:r>
    </w:p>
    <w:p w14:paraId="35FE8253" w14:textId="77777777" w:rsidR="00F67605" w:rsidRPr="00F67605" w:rsidRDefault="00F67605" w:rsidP="00F67605">
      <w:pPr>
        <w:spacing w:after="0" w:line="360" w:lineRule="auto"/>
        <w:jc w:val="center"/>
        <w:rPr>
          <w:rFonts w:ascii="Times New Roman" w:eastAsia="DengXian" w:hAnsi="Times New Roman" w:cs="Times New Roman"/>
          <w:sz w:val="20"/>
          <w:szCs w:val="20"/>
        </w:rPr>
      </w:pPr>
    </w:p>
    <w:p w14:paraId="7FDA86D6" w14:textId="77777777" w:rsidR="00F67605" w:rsidRPr="00F67605" w:rsidRDefault="00F67605" w:rsidP="00F67605">
      <w:pPr>
        <w:spacing w:after="0" w:line="360" w:lineRule="auto"/>
        <w:jc w:val="center"/>
        <w:rPr>
          <w:rFonts w:ascii="Times New Roman" w:eastAsia="DengXian" w:hAnsi="Times New Roman" w:cs="Times New Roman"/>
          <w:sz w:val="20"/>
          <w:szCs w:val="20"/>
        </w:rPr>
      </w:pPr>
      <w:bookmarkStart w:id="1" w:name="_Hlk214955943"/>
      <w:r w:rsidRPr="00F67605">
        <w:rPr>
          <w:rFonts w:ascii="Times New Roman" w:eastAsia="DengXian" w:hAnsi="Times New Roman" w:cs="Times New Roman"/>
          <w:b/>
          <w:bCs/>
          <w:sz w:val="20"/>
          <w:szCs w:val="20"/>
        </w:rPr>
        <w:t>Figure 4 will be here</w:t>
      </w:r>
    </w:p>
    <w:bookmarkEnd w:id="1"/>
    <w:p w14:paraId="7D73B407" w14:textId="77777777" w:rsidR="00F67605" w:rsidRPr="00F67605" w:rsidRDefault="00F67605" w:rsidP="00F67605">
      <w:pPr>
        <w:spacing w:after="0" w:line="360" w:lineRule="auto"/>
        <w:jc w:val="both"/>
        <w:rPr>
          <w:rFonts w:ascii="Times New Roman" w:eastAsia="DengXian" w:hAnsi="Times New Roman" w:cs="Times New Roman"/>
          <w:sz w:val="20"/>
          <w:szCs w:val="20"/>
        </w:rPr>
      </w:pPr>
    </w:p>
    <w:p w14:paraId="5ACE6D26"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sz w:val="20"/>
          <w:szCs w:val="20"/>
        </w:rPr>
        <w:t>Dynamic simulations provide a probabilistic and realistic view of key causes and outcomes compared to single-point predictions. Figure 5 shows quantitative Monte Carlo simulations that evaluate the probability and outcomes of various scenarios, offering a clear depiction of potential results. The initiative begins with positive expectations for economic and financial growth and collaboration. Monte Carlo simulations assess the likelihood and impact of future events, while scenario analysis emphasizes critical factors. The expected return peaks at the center, with the likelihood of attaining higher or lower returns decreasing as one move away from it. Confidence intervals for likely return ranges are at 1-standard deviation (68%), 2-standard deviations (95%), and 3-standard deviations (99.7%). External factors such as macroeconomic trends and leadership changes can affect actual outcomes, even if they were excluded from the modeling. Instances often involve evaluating investment risk and profitability with the strategy mentioned. Monte Carlo simulation tackles financial uncertainties using probability. Grasping these risks and prospects is essential for addressing the complex issues of developing nations. Variance decomposition and Monte Carlo simulation assist analysts in examining relationships, quantifying uncertainty, and assessing sensitivity. Variance decomposition identifies key factors influencing a variable, while Monte Carlo simulation measures uncertainty and evaluates how results respond to various assumptions and support decision-making across various sectors.</w:t>
      </w:r>
    </w:p>
    <w:p w14:paraId="3C3E2757" w14:textId="77777777" w:rsidR="00F67605" w:rsidRPr="00F67605" w:rsidRDefault="00F67605" w:rsidP="00F67605">
      <w:pPr>
        <w:spacing w:after="0" w:line="360" w:lineRule="auto"/>
        <w:jc w:val="both"/>
        <w:rPr>
          <w:rFonts w:ascii="Times New Roman" w:eastAsia="DengXian" w:hAnsi="Times New Roman" w:cs="Times New Roman"/>
          <w:sz w:val="20"/>
          <w:szCs w:val="20"/>
        </w:rPr>
      </w:pPr>
    </w:p>
    <w:p w14:paraId="37781AF5" w14:textId="77777777" w:rsidR="00F67605" w:rsidRPr="00F67605" w:rsidRDefault="00F67605" w:rsidP="00F67605">
      <w:pPr>
        <w:spacing w:after="0" w:line="360" w:lineRule="auto"/>
        <w:jc w:val="center"/>
        <w:rPr>
          <w:rFonts w:ascii="Times New Roman" w:eastAsia="DengXian" w:hAnsi="Times New Roman" w:cs="Times New Roman"/>
          <w:sz w:val="20"/>
          <w:szCs w:val="20"/>
        </w:rPr>
      </w:pPr>
      <w:bookmarkStart w:id="2" w:name="_Hlk214956004"/>
      <w:r w:rsidRPr="00F67605">
        <w:rPr>
          <w:rFonts w:ascii="Times New Roman" w:eastAsia="DengXian" w:hAnsi="Times New Roman" w:cs="Times New Roman"/>
          <w:b/>
          <w:bCs/>
          <w:sz w:val="20"/>
          <w:szCs w:val="20"/>
        </w:rPr>
        <w:t>Figure 5</w:t>
      </w:r>
      <w:r w:rsidRPr="00F67605">
        <w:rPr>
          <w:rFonts w:ascii="Times New Roman" w:eastAsia="DengXian" w:hAnsi="Times New Roman" w:cs="Times New Roman"/>
          <w:sz w:val="20"/>
          <w:szCs w:val="20"/>
        </w:rPr>
        <w:t xml:space="preserve"> </w:t>
      </w:r>
      <w:r w:rsidRPr="00F67605">
        <w:rPr>
          <w:rFonts w:ascii="Times New Roman" w:eastAsia="DengXian" w:hAnsi="Times New Roman" w:cs="Times New Roman"/>
          <w:b/>
          <w:bCs/>
          <w:sz w:val="20"/>
          <w:szCs w:val="20"/>
        </w:rPr>
        <w:t>will be here</w:t>
      </w:r>
    </w:p>
    <w:bookmarkEnd w:id="2"/>
    <w:p w14:paraId="7D0A7272" w14:textId="77777777" w:rsidR="00A0781E" w:rsidRDefault="00A0781E"/>
    <w:sectPr w:rsidR="00A078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DA8E" w14:textId="77777777" w:rsidR="00CD79D2" w:rsidRDefault="00CD79D2" w:rsidP="00DF7802">
      <w:pPr>
        <w:spacing w:after="0" w:line="240" w:lineRule="auto"/>
      </w:pPr>
      <w:r>
        <w:separator/>
      </w:r>
    </w:p>
  </w:endnote>
  <w:endnote w:type="continuationSeparator" w:id="0">
    <w:p w14:paraId="5D6CEAB8" w14:textId="77777777" w:rsidR="00CD79D2" w:rsidRDefault="00CD79D2" w:rsidP="00DF7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55DE" w14:textId="77777777" w:rsidR="00CD79D2" w:rsidRDefault="00CD79D2" w:rsidP="00DF7802">
      <w:pPr>
        <w:spacing w:after="0" w:line="240" w:lineRule="auto"/>
      </w:pPr>
      <w:r>
        <w:separator/>
      </w:r>
    </w:p>
  </w:footnote>
  <w:footnote w:type="continuationSeparator" w:id="0">
    <w:p w14:paraId="04A13439" w14:textId="77777777" w:rsidR="00CD79D2" w:rsidRDefault="00CD79D2" w:rsidP="00DF78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5"/>
    <w:rsid w:val="001B3736"/>
    <w:rsid w:val="001B7278"/>
    <w:rsid w:val="0041377F"/>
    <w:rsid w:val="007F31DA"/>
    <w:rsid w:val="009410F6"/>
    <w:rsid w:val="00944238"/>
    <w:rsid w:val="00992FC2"/>
    <w:rsid w:val="00A0781E"/>
    <w:rsid w:val="00CD79D2"/>
    <w:rsid w:val="00DF7802"/>
    <w:rsid w:val="00E3565C"/>
    <w:rsid w:val="00E42989"/>
    <w:rsid w:val="00F67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D0365"/>
  <w15:chartTrackingRefBased/>
  <w15:docId w15:val="{C45AFBDD-D7D6-4CA8-88EF-C900E2CB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6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676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6760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6760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6760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67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60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6760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6760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6760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6760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67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605"/>
    <w:rPr>
      <w:rFonts w:eastAsiaTheme="majorEastAsia" w:cstheme="majorBidi"/>
      <w:color w:val="272727" w:themeColor="text1" w:themeTint="D8"/>
    </w:rPr>
  </w:style>
  <w:style w:type="paragraph" w:styleId="Title">
    <w:name w:val="Title"/>
    <w:basedOn w:val="Normal"/>
    <w:next w:val="Normal"/>
    <w:link w:val="TitleChar"/>
    <w:uiPriority w:val="10"/>
    <w:qFormat/>
    <w:rsid w:val="00F67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605"/>
    <w:pPr>
      <w:spacing w:before="160"/>
      <w:jc w:val="center"/>
    </w:pPr>
    <w:rPr>
      <w:i/>
      <w:iCs/>
      <w:color w:val="404040" w:themeColor="text1" w:themeTint="BF"/>
    </w:rPr>
  </w:style>
  <w:style w:type="character" w:customStyle="1" w:styleId="QuoteChar">
    <w:name w:val="Quote Char"/>
    <w:basedOn w:val="DefaultParagraphFont"/>
    <w:link w:val="Quote"/>
    <w:uiPriority w:val="29"/>
    <w:rsid w:val="00F67605"/>
    <w:rPr>
      <w:i/>
      <w:iCs/>
      <w:color w:val="404040" w:themeColor="text1" w:themeTint="BF"/>
    </w:rPr>
  </w:style>
  <w:style w:type="paragraph" w:styleId="ListParagraph">
    <w:name w:val="List Paragraph"/>
    <w:basedOn w:val="Normal"/>
    <w:uiPriority w:val="34"/>
    <w:qFormat/>
    <w:rsid w:val="00F67605"/>
    <w:pPr>
      <w:ind w:left="720"/>
      <w:contextualSpacing/>
    </w:pPr>
  </w:style>
  <w:style w:type="character" w:styleId="IntenseEmphasis">
    <w:name w:val="Intense Emphasis"/>
    <w:basedOn w:val="DefaultParagraphFont"/>
    <w:uiPriority w:val="21"/>
    <w:qFormat/>
    <w:rsid w:val="00F67605"/>
    <w:rPr>
      <w:i/>
      <w:iCs/>
      <w:color w:val="2E74B5" w:themeColor="accent1" w:themeShade="BF"/>
    </w:rPr>
  </w:style>
  <w:style w:type="paragraph" w:styleId="IntenseQuote">
    <w:name w:val="Intense Quote"/>
    <w:basedOn w:val="Normal"/>
    <w:next w:val="Normal"/>
    <w:link w:val="IntenseQuoteChar"/>
    <w:uiPriority w:val="30"/>
    <w:qFormat/>
    <w:rsid w:val="00F676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67605"/>
    <w:rPr>
      <w:i/>
      <w:iCs/>
      <w:color w:val="2E74B5" w:themeColor="accent1" w:themeShade="BF"/>
    </w:rPr>
  </w:style>
  <w:style w:type="character" w:styleId="IntenseReference">
    <w:name w:val="Intense Reference"/>
    <w:basedOn w:val="DefaultParagraphFont"/>
    <w:uiPriority w:val="32"/>
    <w:qFormat/>
    <w:rsid w:val="00F67605"/>
    <w:rPr>
      <w:b/>
      <w:bCs/>
      <w:smallCaps/>
      <w:color w:val="2E74B5" w:themeColor="accent1" w:themeShade="BF"/>
      <w:spacing w:val="5"/>
    </w:rPr>
  </w:style>
  <w:style w:type="paragraph" w:styleId="Header">
    <w:name w:val="header"/>
    <w:basedOn w:val="Normal"/>
    <w:link w:val="HeaderChar"/>
    <w:uiPriority w:val="99"/>
    <w:unhideWhenUsed/>
    <w:rsid w:val="00DF7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802"/>
  </w:style>
  <w:style w:type="paragraph" w:styleId="Footer">
    <w:name w:val="footer"/>
    <w:basedOn w:val="Normal"/>
    <w:link w:val="FooterChar"/>
    <w:uiPriority w:val="99"/>
    <w:unhideWhenUsed/>
    <w:rsid w:val="00DF7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preethu_eu</dc:creator>
  <cp:keywords/>
  <dc:description/>
  <cp:lastModifiedBy>HA156815@365mak.com</cp:lastModifiedBy>
  <cp:revision>3</cp:revision>
  <dcterms:created xsi:type="dcterms:W3CDTF">2026-07-28T01:33:00Z</dcterms:created>
  <dcterms:modified xsi:type="dcterms:W3CDTF">2026-07-28T01:34:00Z</dcterms:modified>
</cp:coreProperties>
</file>