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3F17E" w14:textId="77777777" w:rsidR="002F59FF" w:rsidRPr="00A75AC1" w:rsidRDefault="00000000">
      <w:pPr>
        <w:keepNext/>
        <w:jc w:val="center"/>
        <w:rPr>
          <w:rFonts w:ascii="Times New Roman" w:hAnsi="Times New Roman" w:cs="Times New Roman"/>
        </w:rPr>
      </w:pPr>
      <w:r w:rsidRPr="00A75AC1">
        <w:rPr>
          <w:rFonts w:ascii="Times New Roman" w:hAnsi="Times New Roman" w:cs="Times New Roman"/>
          <w:b/>
          <w:color w:val="000000"/>
          <w:sz w:val="30"/>
        </w:rPr>
        <w:t>Supplementary Information</w:t>
      </w:r>
    </w:p>
    <w:p w14:paraId="27D45D38" w14:textId="77777777" w:rsidR="002F59FF" w:rsidRPr="00A75AC1" w:rsidRDefault="00000000">
      <w:pPr>
        <w:keepNext/>
        <w:spacing w:after="160"/>
        <w:jc w:val="center"/>
        <w:rPr>
          <w:rFonts w:ascii="Times New Roman" w:hAnsi="Times New Roman" w:cs="Times New Roman"/>
        </w:rPr>
      </w:pPr>
      <w:r w:rsidRPr="00A75AC1">
        <w:rPr>
          <w:rFonts w:ascii="Times New Roman" w:hAnsi="Times New Roman" w:cs="Times New Roman"/>
          <w:i/>
          <w:color w:val="000000"/>
          <w:sz w:val="21"/>
        </w:rPr>
        <w:t>Toward sustainable mineral resource governance: Policy implications of China’s 2024 Mineral Resources Law reform</w:t>
      </w:r>
    </w:p>
    <w:p w14:paraId="0D5FBE1F" w14:textId="77777777" w:rsidR="008F6C86" w:rsidRDefault="008F6C86" w:rsidP="00131F0F">
      <w:pPr>
        <w:keepNext/>
        <w:spacing w:after="240"/>
        <w:jc w:val="center"/>
        <w:rPr>
          <w:rFonts w:ascii="Times New Roman" w:eastAsia="宋体" w:hAnsi="Times New Roman" w:cs="Times New Roman"/>
          <w:color w:val="000000"/>
          <w:sz w:val="17"/>
          <w:lang w:eastAsia="zh-CN"/>
        </w:rPr>
      </w:pPr>
    </w:p>
    <w:p w14:paraId="08E9F8D2" w14:textId="3D44A44C" w:rsidR="002F59FF" w:rsidRPr="00131F0F" w:rsidRDefault="00000000" w:rsidP="00131F0F">
      <w:pPr>
        <w:keepNext/>
        <w:spacing w:after="24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75AC1">
        <w:rPr>
          <w:rFonts w:ascii="Times New Roman" w:hAnsi="Times New Roman" w:cs="Times New Roman"/>
          <w:b/>
          <w:color w:val="000000"/>
          <w:sz w:val="20"/>
          <w:szCs w:val="20"/>
        </w:rPr>
        <w:t>Supplementary Table S1. Analytical comparison of allocation and economic-governance provisions</w:t>
      </w:r>
    </w:p>
    <w:tbl>
      <w:tblPr>
        <w:tblW w:w="1532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3119"/>
        <w:gridCol w:w="3260"/>
        <w:gridCol w:w="3686"/>
        <w:gridCol w:w="3605"/>
      </w:tblGrid>
      <w:tr w:rsidR="002F59FF" w:rsidRPr="00A75AC1" w14:paraId="1B501B6A" w14:textId="77777777" w:rsidTr="008C1364">
        <w:trPr>
          <w:trHeight w:val="500"/>
          <w:tblHeader/>
          <w:jc w:val="center"/>
        </w:trPr>
        <w:tc>
          <w:tcPr>
            <w:tcW w:w="1652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FB4A36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Provision cluster</w:t>
            </w:r>
          </w:p>
        </w:tc>
        <w:tc>
          <w:tcPr>
            <w:tcW w:w="3119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5ABCC1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Pre-2024 baseline</w:t>
            </w:r>
          </w:p>
        </w:tc>
        <w:tc>
          <w:tcPr>
            <w:tcW w:w="3260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D08085D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2024 Law</w:t>
            </w:r>
          </w:p>
        </w:tc>
        <w:tc>
          <w:tcPr>
            <w:tcW w:w="3686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359FDE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2026 Regulation and Judicial Interpretation</w:t>
            </w:r>
          </w:p>
        </w:tc>
        <w:tc>
          <w:tcPr>
            <w:tcW w:w="3605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42D773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Coupling significance and implementation question</w:t>
            </w:r>
          </w:p>
        </w:tc>
      </w:tr>
      <w:tr w:rsidR="002F59FF" w:rsidRPr="00A75AC1" w14:paraId="0D2CC643" w14:textId="77777777" w:rsidTr="008C1364">
        <w:trPr>
          <w:jc w:val="center"/>
        </w:trPr>
        <w:tc>
          <w:tcPr>
            <w:tcW w:w="16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B3873AB" w14:textId="77777777" w:rsidR="002F59FF" w:rsidRPr="00A75AC1" w:rsidRDefault="00000000" w:rsidP="008C136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General award rule</w:t>
            </w:r>
          </w:p>
        </w:tc>
        <w:tc>
          <w:tcPr>
            <w:tcW w:w="311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FBA4FDE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Competitive award developed through administrative policy and sectoral rules; statutory architecture was less integrated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996F574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Competitive award is the default; public platform and equal treatment are required</w:t>
            </w:r>
          </w:p>
        </w:tc>
        <w:tc>
          <w:tcPr>
            <w:tcW w:w="368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533C15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Tender priority for specified strategic or demanding blocks; defined agreement-based and direct-grant exceptions</w:t>
            </w:r>
          </w:p>
        </w:tc>
        <w:tc>
          <w:tcPr>
            <w:tcW w:w="360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734BC69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Does the award record disclose non-price criteria, reasons, and the ecological or strategic obligations attached to access?</w:t>
            </w:r>
          </w:p>
        </w:tc>
      </w:tr>
      <w:tr w:rsidR="002F59FF" w:rsidRPr="00A75AC1" w14:paraId="1D4FD45C" w14:textId="77777777" w:rsidTr="008C1364">
        <w:trPr>
          <w:jc w:val="center"/>
        </w:trPr>
        <w:tc>
          <w:tcPr>
            <w:tcW w:w="16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9BEC213" w14:textId="77777777" w:rsidR="002F59FF" w:rsidRPr="00A75AC1" w:rsidRDefault="00000000" w:rsidP="008C136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Pre-award screening</w:t>
            </w:r>
          </w:p>
        </w:tc>
        <w:tc>
          <w:tcPr>
            <w:tcW w:w="311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627FC2F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Land, planning, and mining-right checks could be institutionally separated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7029A7F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Award should consider resource characteristics, minimum scale, environment, and safety</w:t>
            </w:r>
          </w:p>
        </w:tc>
        <w:tc>
          <w:tcPr>
            <w:tcW w:w="368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9EDEB0E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Pre-award verification of territorial spatial planning and orebody configuration</w:t>
            </w:r>
          </w:p>
        </w:tc>
        <w:tc>
          <w:tcPr>
            <w:tcW w:w="360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75F47BB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Are land, forestry, ecological, and project data checked before award and linked to the register?</w:t>
            </w:r>
          </w:p>
        </w:tc>
      </w:tr>
      <w:tr w:rsidR="002F59FF" w:rsidRPr="00A75AC1" w14:paraId="2B02B11F" w14:textId="77777777" w:rsidTr="008C1364">
        <w:trPr>
          <w:jc w:val="center"/>
        </w:trPr>
        <w:tc>
          <w:tcPr>
            <w:tcW w:w="16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9297FA" w14:textId="77777777" w:rsidR="002F59FF" w:rsidRPr="00A75AC1" w:rsidRDefault="00000000" w:rsidP="008C136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Contract and registration</w:t>
            </w:r>
          </w:p>
        </w:tc>
        <w:tc>
          <w:tcPr>
            <w:tcW w:w="311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4DD2166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Approval and certificate practices created uncertainty concerning contract effect and property registration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256F5C9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Written grant contract and mineral-right registration are central</w:t>
            </w:r>
          </w:p>
        </w:tc>
        <w:tc>
          <w:tcPr>
            <w:tcW w:w="368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D1FEE8B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 Regulation specifies contract remedies; the Judicial Interpretation confirms contract effect and registration-based acquisition</w:t>
            </w:r>
          </w:p>
        </w:tc>
        <w:tc>
          <w:tcPr>
            <w:tcW w:w="360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D0F321F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 contracts contain machine-readable restoration and strategic conditions, and are registration failures remedied promptly?</w:t>
            </w:r>
          </w:p>
        </w:tc>
      </w:tr>
      <w:tr w:rsidR="002F59FF" w:rsidRPr="00A75AC1" w14:paraId="0CA8FC51" w14:textId="77777777" w:rsidTr="008C1364">
        <w:trPr>
          <w:jc w:val="center"/>
        </w:trPr>
        <w:tc>
          <w:tcPr>
            <w:tcW w:w="16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151AE48" w14:textId="77777777" w:rsidR="002F59FF" w:rsidRPr="00A75AC1" w:rsidRDefault="00000000" w:rsidP="008C136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Transfer and security</w:t>
            </w:r>
          </w:p>
        </w:tc>
        <w:tc>
          <w:tcPr>
            <w:tcW w:w="311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597C696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Approval-based transfer rules limited market circulation and obscured responsibility continuity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AAA5ECE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Transfer, contribution, and mortgage operate through registration</w:t>
            </w:r>
          </w:p>
        </w:tc>
        <w:tc>
          <w:tcPr>
            <w:tcW w:w="368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03D768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Transferee capability and restoration clauses are required; the Judicial Interpretation confirms enforceability and mortgage realisation</w:t>
            </w:r>
          </w:p>
        </w:tc>
        <w:tc>
          <w:tcPr>
            <w:tcW w:w="360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F6B9110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Does transfer preserve unresolved restoration liability and provide sufficient information to creditors and regulators?</w:t>
            </w:r>
          </w:p>
        </w:tc>
      </w:tr>
      <w:tr w:rsidR="002F59FF" w:rsidRPr="00A75AC1" w14:paraId="2B4DB4D6" w14:textId="77777777" w:rsidTr="008C1364">
        <w:trPr>
          <w:jc w:val="center"/>
        </w:trPr>
        <w:tc>
          <w:tcPr>
            <w:tcW w:w="1652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9E4594F" w14:textId="77777777" w:rsidR="002F59FF" w:rsidRPr="00A75AC1" w:rsidRDefault="00000000" w:rsidP="008C136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Security exceptions</w:t>
            </w:r>
          </w:p>
        </w:tc>
        <w:tc>
          <w:tcPr>
            <w:tcW w:w="3119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8431A24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Exceptional allocation existed through policy and administrative practice</w:t>
            </w:r>
          </w:p>
        </w:tc>
        <w:tc>
          <w:tcPr>
            <w:tcW w:w="3260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14ECD3E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Law permits exceptions under specified higher-level rules</w:t>
            </w:r>
          </w:p>
        </w:tc>
        <w:tc>
          <w:tcPr>
            <w:tcW w:w="3686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7248828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Direct grants may be used for urgent strategic-resource security with State Council consent</w:t>
            </w:r>
          </w:p>
        </w:tc>
        <w:tc>
          <w:tcPr>
            <w:tcW w:w="3605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F884F0D" w14:textId="77777777" w:rsidR="002F59FF" w:rsidRPr="00A75AC1" w:rsidRDefault="00000000" w:rsidP="00A75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Are urgency, scope, duration, competition effects, and review documented and proportionate?</w:t>
            </w:r>
          </w:p>
        </w:tc>
      </w:tr>
    </w:tbl>
    <w:p w14:paraId="5F1F4D2F" w14:textId="77777777" w:rsidR="002F59FF" w:rsidRPr="00A75AC1" w:rsidRDefault="00000000">
      <w:pPr>
        <w:spacing w:before="80" w:after="0"/>
        <w:rPr>
          <w:rFonts w:ascii="Times New Roman" w:hAnsi="Times New Roman" w:cs="Times New Roman"/>
          <w:sz w:val="16"/>
          <w:szCs w:val="16"/>
        </w:rPr>
      </w:pPr>
      <w:r w:rsidRPr="00A75AC1">
        <w:rPr>
          <w:rFonts w:ascii="Times New Roman" w:hAnsi="Times New Roman" w:cs="Times New Roman"/>
          <w:b/>
          <w:color w:val="000000"/>
          <w:sz w:val="16"/>
          <w:szCs w:val="16"/>
        </w:rPr>
        <w:t>Source:</w:t>
      </w:r>
      <w:r w:rsidRPr="00A75AC1">
        <w:rPr>
          <w:rFonts w:ascii="Times New Roman" w:hAnsi="Times New Roman" w:cs="Times New Roman"/>
          <w:color w:val="000000"/>
          <w:sz w:val="16"/>
          <w:szCs w:val="16"/>
        </w:rPr>
        <w:t xml:space="preserve"> Author's comparison of the pre-reform framework, the 2024 Law, the 2026 Implementing Regulation, and the 2026 Judicial Interpretation.</w:t>
      </w:r>
    </w:p>
    <w:p w14:paraId="4EE0DCF0" w14:textId="77777777" w:rsidR="002F59FF" w:rsidRPr="00A75AC1" w:rsidRDefault="00000000">
      <w:pPr>
        <w:rPr>
          <w:rFonts w:ascii="Times New Roman" w:hAnsi="Times New Roman" w:cs="Times New Roman"/>
        </w:rPr>
      </w:pPr>
      <w:r w:rsidRPr="00A75AC1">
        <w:rPr>
          <w:rFonts w:ascii="Times New Roman" w:hAnsi="Times New Roman" w:cs="Times New Roman"/>
        </w:rPr>
        <w:br w:type="page"/>
      </w:r>
    </w:p>
    <w:p w14:paraId="2388CD5D" w14:textId="77777777" w:rsidR="002F59FF" w:rsidRPr="00A75AC1" w:rsidRDefault="00000000" w:rsidP="00131F0F">
      <w:pPr>
        <w:keepNext/>
        <w:spacing w:after="24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75AC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Supplementary Table S2. Analytical comparison of lifecycle ecological-accountability provisions</w:t>
      </w:r>
    </w:p>
    <w:tbl>
      <w:tblPr>
        <w:tblW w:w="150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2977"/>
        <w:gridCol w:w="3260"/>
        <w:gridCol w:w="3828"/>
        <w:gridCol w:w="3487"/>
      </w:tblGrid>
      <w:tr w:rsidR="002F59FF" w:rsidRPr="00A75AC1" w14:paraId="5611CF9A" w14:textId="77777777" w:rsidTr="003B0743">
        <w:trPr>
          <w:trHeight w:val="500"/>
          <w:tblHeader/>
          <w:jc w:val="center"/>
        </w:trPr>
        <w:tc>
          <w:tcPr>
            <w:tcW w:w="1535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3B2B05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Provision cluster</w:t>
            </w:r>
          </w:p>
        </w:tc>
        <w:tc>
          <w:tcPr>
            <w:tcW w:w="2977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2EE4E89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Pre-2024 baseline</w:t>
            </w:r>
          </w:p>
        </w:tc>
        <w:tc>
          <w:tcPr>
            <w:tcW w:w="3260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47B0F1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2024 Law</w:t>
            </w:r>
          </w:p>
        </w:tc>
        <w:tc>
          <w:tcPr>
            <w:tcW w:w="3828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5BD8DB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2026 Regulation and Judicial Interpretation</w:t>
            </w:r>
          </w:p>
        </w:tc>
        <w:tc>
          <w:tcPr>
            <w:tcW w:w="3487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9B1218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Coupling significance and implementation question</w:t>
            </w:r>
          </w:p>
        </w:tc>
      </w:tr>
      <w:tr w:rsidR="002F59FF" w:rsidRPr="00A75AC1" w14:paraId="62718589" w14:textId="77777777" w:rsidTr="003B0743">
        <w:trPr>
          <w:jc w:val="center"/>
        </w:trPr>
        <w:tc>
          <w:tcPr>
            <w:tcW w:w="153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4561938" w14:textId="77777777" w:rsidR="002F59FF" w:rsidRPr="00A75AC1" w:rsidRDefault="00000000" w:rsidP="00457BD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Responsibility and transfer</w:t>
            </w:r>
          </w:p>
        </w:tc>
        <w:tc>
          <w:tcPr>
            <w:tcW w:w="297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6123DC0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Restoration duties existed across environmental, land, and administrative instruments, with uneven continuity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4D7E8BC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 holder remains responsible; transfer and extinction do not automatically remove the duties</w:t>
            </w:r>
          </w:p>
        </w:tc>
        <w:tc>
          <w:tcPr>
            <w:tcW w:w="382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A08430C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 transferee generally assumes the duty; fraudulent disclosure does not release the transferor</w:t>
            </w:r>
          </w:p>
        </w:tc>
        <w:tc>
          <w:tcPr>
            <w:tcW w:w="348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A00F988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 responsibility and finance be traced through transfer, restructuring, insolvency, and closure?</w:t>
            </w:r>
          </w:p>
        </w:tc>
      </w:tr>
      <w:tr w:rsidR="002F59FF" w:rsidRPr="00A75AC1" w14:paraId="60AA763A" w14:textId="77777777" w:rsidTr="003B0743">
        <w:trPr>
          <w:jc w:val="center"/>
        </w:trPr>
        <w:tc>
          <w:tcPr>
            <w:tcW w:w="153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81CBC46" w14:textId="77777777" w:rsidR="002F59FF" w:rsidRPr="00A75AC1" w:rsidRDefault="00000000" w:rsidP="00457BD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Plan, consultation, and participation</w:t>
            </w:r>
          </w:p>
        </w:tc>
        <w:tc>
          <w:tcPr>
            <w:tcW w:w="297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16FABA9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Plan requirements were dispersed; consultation and participation practices varied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4195140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Restoration planning, tailings measures, and consultation are required</w:t>
            </w:r>
          </w:p>
        </w:tc>
        <w:tc>
          <w:tcPr>
            <w:tcW w:w="382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A4F02CF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Required elements include plan content, costs, schedules, and consultation records. Ordinary amendments are filed; specified major mining-plan changes require reapproval</w:t>
            </w:r>
          </w:p>
        </w:tc>
        <w:tc>
          <w:tcPr>
            <w:tcW w:w="348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42B6ABC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Does consultation influence plan design, and are revisions based on updated disturbance data?</w:t>
            </w:r>
          </w:p>
        </w:tc>
      </w:tr>
      <w:tr w:rsidR="002F59FF" w:rsidRPr="00A75AC1" w14:paraId="4F2CC8A3" w14:textId="77777777" w:rsidTr="003B0743">
        <w:trPr>
          <w:jc w:val="center"/>
        </w:trPr>
        <w:tc>
          <w:tcPr>
            <w:tcW w:w="153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686774D" w14:textId="77777777" w:rsidR="002F59FF" w:rsidRPr="00A75AC1" w:rsidRDefault="00000000" w:rsidP="00457BD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Progressive restoration</w:t>
            </w:r>
          </w:p>
        </w:tc>
        <w:tc>
          <w:tcPr>
            <w:tcW w:w="297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F9B6B7C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End-of-project remediation remained common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8775BD3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Concurrent and staged restoration are preferred</w:t>
            </w:r>
          </w:p>
        </w:tc>
        <w:tc>
          <w:tcPr>
            <w:tcW w:w="382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60A7728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Restoration units and timing must match mine design; a two-year post-closure limit applies where concurrent work is infeasible</w:t>
            </w:r>
          </w:p>
        </w:tc>
        <w:tc>
          <w:tcPr>
            <w:tcW w:w="348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A8A1AA3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What proportion of disturbed land is restored during operation, and how are delays enforced?</w:t>
            </w:r>
          </w:p>
        </w:tc>
      </w:tr>
      <w:tr w:rsidR="002F59FF" w:rsidRPr="00A75AC1" w14:paraId="0AAE9ABE" w14:textId="77777777" w:rsidTr="003B0743">
        <w:trPr>
          <w:jc w:val="center"/>
        </w:trPr>
        <w:tc>
          <w:tcPr>
            <w:tcW w:w="153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41A04DD" w14:textId="77777777" w:rsidR="002F59FF" w:rsidRPr="00A75AC1" w:rsidRDefault="00000000" w:rsidP="00457BD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Restoration finance</w:t>
            </w:r>
          </w:p>
        </w:tc>
        <w:tc>
          <w:tcPr>
            <w:tcW w:w="297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539381F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Deposit and provisioning mechanisms varied over time and by locality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F2AF30D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Dedicated restoration funds are costed and supervised</w:t>
            </w:r>
          </w:p>
        </w:tc>
        <w:tc>
          <w:tcPr>
            <w:tcW w:w="382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DBB01E2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Annual provisioning is required; funds are generally protected from seizure, freezing, or diversion</w:t>
            </w:r>
          </w:p>
        </w:tc>
        <w:tc>
          <w:tcPr>
            <w:tcW w:w="348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A43EB82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Are provisions risk-based, sufficient, audited, and transparently used?</w:t>
            </w:r>
          </w:p>
        </w:tc>
      </w:tr>
      <w:tr w:rsidR="002F59FF" w:rsidRPr="00A75AC1" w14:paraId="409FB9B3" w14:textId="77777777" w:rsidTr="003B0743">
        <w:trPr>
          <w:jc w:val="center"/>
        </w:trPr>
        <w:tc>
          <w:tcPr>
            <w:tcW w:w="1535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7732D8F" w14:textId="77777777" w:rsidR="002F59FF" w:rsidRPr="00A75AC1" w:rsidRDefault="00000000" w:rsidP="00457BD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Acceptance and remedies</w:t>
            </w:r>
          </w:p>
        </w:tc>
        <w:tc>
          <w:tcPr>
            <w:tcW w:w="297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8A7AC2D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Acceptance procedures and legal consequences were less integrated</w:t>
            </w:r>
          </w:p>
        </w:tc>
        <w:tc>
          <w:tcPr>
            <w:tcW w:w="326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3852365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Joint acceptance, participation by specified experts and community representatives, and disclosure are required</w:t>
            </w:r>
          </w:p>
        </w:tc>
        <w:tc>
          <w:tcPr>
            <w:tcW w:w="382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5ABCCDC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Failed acceptance triggers rectification and reinspection; restoration costs may be recovered. Courts decline specified civil public-interest actions concerning the same conduct after completed and accepted restoration unless new facts emerge</w:t>
            </w:r>
          </w:p>
        </w:tc>
        <w:tc>
          <w:tcPr>
            <w:tcW w:w="348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ADECE5E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Are acceptance standards technically credible and are failures, referrals, and post-acceptance outcomes observable?</w:t>
            </w:r>
          </w:p>
        </w:tc>
      </w:tr>
      <w:tr w:rsidR="002F59FF" w:rsidRPr="00A75AC1" w14:paraId="6B70D49F" w14:textId="77777777" w:rsidTr="003B0743">
        <w:trPr>
          <w:jc w:val="center"/>
        </w:trPr>
        <w:tc>
          <w:tcPr>
            <w:tcW w:w="1535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AA3E1CB" w14:textId="77777777" w:rsidR="002F59FF" w:rsidRPr="00A75AC1" w:rsidRDefault="00000000" w:rsidP="00457BD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Legacy sites</w:t>
            </w:r>
          </w:p>
        </w:tc>
        <w:tc>
          <w:tcPr>
            <w:tcW w:w="2977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C19F374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Public programmes had uneven inventories and funding</w:t>
            </w:r>
          </w:p>
        </w:tc>
        <w:tc>
          <w:tcPr>
            <w:tcW w:w="3260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A9D6049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Government organises restoration where the responsible party has ceased to exist or cannot be identified</w:t>
            </w:r>
          </w:p>
        </w:tc>
        <w:tc>
          <w:tcPr>
            <w:tcW w:w="3828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283C4BB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Responsibility confirmation, diversified finance, and private-sector participation are specified</w:t>
            </w:r>
          </w:p>
        </w:tc>
        <w:tc>
          <w:tcPr>
            <w:tcW w:w="3487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41F2F91" w14:textId="77777777" w:rsidR="002F59FF" w:rsidRPr="00A75AC1" w:rsidRDefault="00000000" w:rsidP="00457BDA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Is there a verified inventory, residual finance, and recovery from identifiable responsible parties?</w:t>
            </w:r>
          </w:p>
        </w:tc>
      </w:tr>
    </w:tbl>
    <w:p w14:paraId="6299B6D8" w14:textId="77777777" w:rsidR="002F59FF" w:rsidRPr="00A75AC1" w:rsidRDefault="00000000">
      <w:pPr>
        <w:spacing w:before="80" w:after="0"/>
        <w:rPr>
          <w:rFonts w:ascii="Times New Roman" w:hAnsi="Times New Roman" w:cs="Times New Roman"/>
          <w:sz w:val="16"/>
          <w:szCs w:val="16"/>
        </w:rPr>
      </w:pPr>
      <w:r w:rsidRPr="00A75AC1">
        <w:rPr>
          <w:rFonts w:ascii="Times New Roman" w:hAnsi="Times New Roman" w:cs="Times New Roman"/>
          <w:b/>
          <w:color w:val="000000"/>
          <w:sz w:val="16"/>
          <w:szCs w:val="16"/>
        </w:rPr>
        <w:t>Source:</w:t>
      </w:r>
      <w:r w:rsidRPr="00A75AC1">
        <w:rPr>
          <w:rFonts w:ascii="Times New Roman" w:hAnsi="Times New Roman" w:cs="Times New Roman"/>
          <w:color w:val="000000"/>
          <w:sz w:val="16"/>
          <w:szCs w:val="16"/>
        </w:rPr>
        <w:t xml:space="preserve"> Author's comparison of the pre-reform framework, the 2024 Law, the 2026 Implementing Regulation, and the 2026 Judicial Interpretation.</w:t>
      </w:r>
    </w:p>
    <w:p w14:paraId="3E0869A4" w14:textId="77777777" w:rsidR="002F59FF" w:rsidRPr="00A75AC1" w:rsidRDefault="00000000">
      <w:pPr>
        <w:rPr>
          <w:rFonts w:ascii="Times New Roman" w:hAnsi="Times New Roman" w:cs="Times New Roman"/>
        </w:rPr>
      </w:pPr>
      <w:r w:rsidRPr="00A75AC1">
        <w:rPr>
          <w:rFonts w:ascii="Times New Roman" w:hAnsi="Times New Roman" w:cs="Times New Roman"/>
        </w:rPr>
        <w:br w:type="page"/>
      </w:r>
    </w:p>
    <w:p w14:paraId="63C98501" w14:textId="77777777" w:rsidR="002F59FF" w:rsidRPr="00131F0F" w:rsidRDefault="00000000" w:rsidP="00131F0F">
      <w:pPr>
        <w:keepNext/>
        <w:spacing w:after="24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75AC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Supplementary Table S3. Analytical comparison of strategic-mineral resilience provisions</w:t>
      </w:r>
    </w:p>
    <w:tbl>
      <w:tblPr>
        <w:tblW w:w="1532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9"/>
        <w:gridCol w:w="2952"/>
        <w:gridCol w:w="2520"/>
        <w:gridCol w:w="3888"/>
        <w:gridCol w:w="3773"/>
      </w:tblGrid>
      <w:tr w:rsidR="002F59FF" w:rsidRPr="00A75AC1" w14:paraId="778DE90B" w14:textId="77777777">
        <w:trPr>
          <w:trHeight w:val="500"/>
          <w:tblHeader/>
          <w:jc w:val="center"/>
        </w:trPr>
        <w:tc>
          <w:tcPr>
            <w:tcW w:w="2189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005BB1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Provision cluster</w:t>
            </w:r>
          </w:p>
        </w:tc>
        <w:tc>
          <w:tcPr>
            <w:tcW w:w="2952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CA7775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Pre-2024 baseline</w:t>
            </w:r>
          </w:p>
        </w:tc>
        <w:tc>
          <w:tcPr>
            <w:tcW w:w="2520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559B66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2024 Law</w:t>
            </w:r>
          </w:p>
        </w:tc>
        <w:tc>
          <w:tcPr>
            <w:tcW w:w="3888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374E01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2026 Regulation</w:t>
            </w:r>
          </w:p>
        </w:tc>
        <w:tc>
          <w:tcPr>
            <w:tcW w:w="3773" w:type="dxa"/>
            <w:tcBorders>
              <w:top w:val="single" w:sz="10" w:space="0" w:color="000000"/>
              <w:bottom w:val="single" w:sz="8" w:space="0" w:color="000000"/>
            </w:tcBorders>
            <w:shd w:val="clear" w:color="auto" w:fill="E7E7E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B84DCF" w14:textId="77777777" w:rsidR="002F59FF" w:rsidRPr="00A75AC1" w:rsidRDefault="00000000" w:rsidP="002110E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Coupling significance and implementation question</w:t>
            </w:r>
          </w:p>
        </w:tc>
      </w:tr>
      <w:tr w:rsidR="002F59FF" w:rsidRPr="00A75AC1" w14:paraId="77715B85" w14:textId="77777777">
        <w:trPr>
          <w:jc w:val="center"/>
        </w:trPr>
        <w:tc>
          <w:tcPr>
            <w:tcW w:w="218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324BF3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Strategic designation</w:t>
            </w:r>
          </w:p>
        </w:tc>
        <w:tc>
          <w:tcPr>
            <w:tcW w:w="29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69873FC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Strategic-mineral policy relied substantially on plans, catalogues, and sectoral measures</w:t>
            </w:r>
          </w:p>
        </w:tc>
        <w:tc>
          <w:tcPr>
            <w:tcW w:w="252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1A641B1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 State Council determines and adjusts the strategic catalogue</w:t>
            </w:r>
          </w:p>
        </w:tc>
        <w:tc>
          <w:tcPr>
            <w:tcW w:w="388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2331785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Assessment factors include national importance, endowment, scarcity, import dependence, and supply-chain resilience</w:t>
            </w:r>
          </w:p>
        </w:tc>
        <w:tc>
          <w:tcPr>
            <w:tcW w:w="3773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D19F24D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Are criteria, evidence, and review cycles sufficiently transparent and inclusive?</w:t>
            </w:r>
          </w:p>
        </w:tc>
      </w:tr>
      <w:tr w:rsidR="002F59FF" w:rsidRPr="00A75AC1" w14:paraId="14A5B511" w14:textId="77777777">
        <w:trPr>
          <w:jc w:val="center"/>
        </w:trPr>
        <w:tc>
          <w:tcPr>
            <w:tcW w:w="218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2D0FE91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Protective mining and allocation</w:t>
            </w:r>
          </w:p>
        </w:tc>
        <w:tc>
          <w:tcPr>
            <w:tcW w:w="29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6C2E741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Protective mining existed for selected minerals through sectoral controls</w:t>
            </w:r>
          </w:p>
        </w:tc>
        <w:tc>
          <w:tcPr>
            <w:tcW w:w="252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E2E75A3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Protective mining is expressly authorised for specified strategic resources</w:t>
            </w:r>
          </w:p>
        </w:tc>
        <w:tc>
          <w:tcPr>
            <w:tcW w:w="388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763E3EE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Tender priority, agreement-based award, and direct grant operate under differentiated conditions</w:t>
            </w:r>
          </w:p>
        </w:tc>
        <w:tc>
          <w:tcPr>
            <w:tcW w:w="3773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E2BE2BA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 security objectives remain connected to capability, ecological conditions, reasons, and review?</w:t>
            </w:r>
          </w:p>
        </w:tc>
      </w:tr>
      <w:tr w:rsidR="002F59FF" w:rsidRPr="00A75AC1" w14:paraId="3582FEF2" w14:textId="77777777">
        <w:trPr>
          <w:jc w:val="center"/>
        </w:trPr>
        <w:tc>
          <w:tcPr>
            <w:tcW w:w="218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4200932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Product reserves</w:t>
            </w:r>
          </w:p>
        </w:tc>
        <w:tc>
          <w:tcPr>
            <w:tcW w:w="29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C0D8999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Stockpiling was governed mainly through policy and specialised administration</w:t>
            </w:r>
          </w:p>
        </w:tc>
        <w:tc>
          <w:tcPr>
            <w:tcW w:w="252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E648288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Product reserves form one component of the statutory strategic-mineral reserve system.</w:t>
            </w:r>
          </w:p>
        </w:tc>
        <w:tc>
          <w:tcPr>
            <w:tcW w:w="388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0F06DFA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Planning, collection, rotation, management, and reporting responsibilities are allocated</w:t>
            </w:r>
          </w:p>
        </w:tc>
        <w:tc>
          <w:tcPr>
            <w:tcW w:w="3773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2B7F01B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Are stock levels, rotation, losses, and release triggers professionally governed and audited?</w:t>
            </w:r>
          </w:p>
        </w:tc>
      </w:tr>
      <w:tr w:rsidR="002F59FF" w:rsidRPr="00A75AC1" w14:paraId="49A5AB37" w14:textId="77777777">
        <w:trPr>
          <w:jc w:val="center"/>
        </w:trPr>
        <w:tc>
          <w:tcPr>
            <w:tcW w:w="218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D7B5A29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Capacity reserves</w:t>
            </w:r>
          </w:p>
        </w:tc>
        <w:tc>
          <w:tcPr>
            <w:tcW w:w="29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03EC558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Surge capability lacked a unified mineral-law basis</w:t>
            </w:r>
          </w:p>
        </w:tc>
        <w:tc>
          <w:tcPr>
            <w:tcW w:w="252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3256A8F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Strategic operators bear capacity-reserve responsibility</w:t>
            </w:r>
          </w:p>
        </w:tc>
        <w:tc>
          <w:tcPr>
            <w:tcW w:w="388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D759C28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Operators prepare plans based on capacity, transport, and safety</w:t>
            </w:r>
          </w:p>
        </w:tc>
        <w:tc>
          <w:tcPr>
            <w:tcW w:w="3773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3F49931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Are restoration plans and annual restoration provisioning adjusted for surge-production disturbance?</w:t>
            </w:r>
          </w:p>
        </w:tc>
      </w:tr>
      <w:tr w:rsidR="002F59FF" w:rsidRPr="00A75AC1" w14:paraId="7D4405AC" w14:textId="77777777">
        <w:trPr>
          <w:jc w:val="center"/>
        </w:trPr>
        <w:tc>
          <w:tcPr>
            <w:tcW w:w="2189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3A64295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 situ mineral reserve sites</w:t>
            </w:r>
          </w:p>
        </w:tc>
        <w:tc>
          <w:tcPr>
            <w:tcW w:w="295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C5533A8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Resource-protection areas were dispersed across planning and administrative controls</w:t>
            </w:r>
          </w:p>
        </w:tc>
        <w:tc>
          <w:tcPr>
            <w:tcW w:w="2520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BAB92AA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 situ mineral reserve sites form one component of the statutory strategic-mineral reserve system</w:t>
            </w:r>
          </w:p>
        </w:tc>
        <w:tc>
          <w:tcPr>
            <w:tcW w:w="388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0266D69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Scientific assessment, ecological location, minimum duration, monitoring, and prohibitions on mining and resource sterilisation are specified</w:t>
            </w:r>
          </w:p>
        </w:tc>
        <w:tc>
          <w:tcPr>
            <w:tcW w:w="3773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D400D1D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How are affected rights, compensation, site protection, and illegal extraction managed?</w:t>
            </w:r>
          </w:p>
        </w:tc>
      </w:tr>
      <w:tr w:rsidR="002F59FF" w:rsidRPr="00A75AC1" w14:paraId="7459803D" w14:textId="77777777">
        <w:trPr>
          <w:jc w:val="center"/>
        </w:trPr>
        <w:tc>
          <w:tcPr>
            <w:tcW w:w="2189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9A948A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Monitoring and emergency response</w:t>
            </w:r>
          </w:p>
        </w:tc>
        <w:tc>
          <w:tcPr>
            <w:tcW w:w="2952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641521F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Supply monitoring and emergency measures were distributed across policy systems</w:t>
            </w:r>
          </w:p>
        </w:tc>
        <w:tc>
          <w:tcPr>
            <w:tcW w:w="2520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2F81687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Prediction, warning, and emergency powers receive a statutory basis</w:t>
            </w:r>
          </w:p>
        </w:tc>
        <w:tc>
          <w:tcPr>
            <w:tcW w:w="3888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284F369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Cross-agency data sharing and direct organisation, requisition, transport, and supply measures are specified</w:t>
            </w:r>
          </w:p>
        </w:tc>
        <w:tc>
          <w:tcPr>
            <w:tcW w:w="3773" w:type="dxa"/>
            <w:tcBorders>
              <w:bottom w:val="single" w:sz="10" w:space="0" w:color="00000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17AF017" w14:textId="77777777" w:rsidR="002F59FF" w:rsidRPr="00A75AC1" w:rsidRDefault="0000000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75A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Are triggers, duration, proportionality, compensation, ecological review, and post-event accountability documented?</w:t>
            </w:r>
          </w:p>
        </w:tc>
      </w:tr>
    </w:tbl>
    <w:p w14:paraId="289994DB" w14:textId="77777777" w:rsidR="002F59FF" w:rsidRPr="00A75AC1" w:rsidRDefault="00000000">
      <w:pPr>
        <w:spacing w:before="80" w:after="0"/>
        <w:rPr>
          <w:rFonts w:ascii="Times New Roman" w:hAnsi="Times New Roman" w:cs="Times New Roman"/>
          <w:sz w:val="16"/>
          <w:szCs w:val="16"/>
        </w:rPr>
      </w:pPr>
      <w:r w:rsidRPr="00A75AC1">
        <w:rPr>
          <w:rFonts w:ascii="Times New Roman" w:hAnsi="Times New Roman" w:cs="Times New Roman"/>
          <w:b/>
          <w:color w:val="000000"/>
          <w:sz w:val="16"/>
          <w:szCs w:val="16"/>
        </w:rPr>
        <w:t>Source:</w:t>
      </w:r>
      <w:r w:rsidRPr="00A75AC1">
        <w:rPr>
          <w:rFonts w:ascii="Times New Roman" w:hAnsi="Times New Roman" w:cs="Times New Roman"/>
          <w:color w:val="000000"/>
          <w:sz w:val="16"/>
          <w:szCs w:val="16"/>
        </w:rPr>
        <w:t xml:space="preserve"> Author's comparison of the pre-reform framework, the 2024 Law, and the 2026 Implementing Regulation.</w:t>
      </w:r>
    </w:p>
    <w:sectPr w:rsidR="002F59FF" w:rsidRPr="00A75AC1">
      <w:pgSz w:w="16838" w:h="11906" w:orient="landscape"/>
      <w:pgMar w:top="709" w:right="709" w:bottom="709" w:left="70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0558156">
    <w:abstractNumId w:val="8"/>
  </w:num>
  <w:num w:numId="2" w16cid:durableId="253906400">
    <w:abstractNumId w:val="6"/>
  </w:num>
  <w:num w:numId="3" w16cid:durableId="133252764">
    <w:abstractNumId w:val="5"/>
  </w:num>
  <w:num w:numId="4" w16cid:durableId="1728064052">
    <w:abstractNumId w:val="4"/>
  </w:num>
  <w:num w:numId="5" w16cid:durableId="2060585607">
    <w:abstractNumId w:val="7"/>
  </w:num>
  <w:num w:numId="6" w16cid:durableId="1704936989">
    <w:abstractNumId w:val="3"/>
  </w:num>
  <w:num w:numId="7" w16cid:durableId="128131362">
    <w:abstractNumId w:val="2"/>
  </w:num>
  <w:num w:numId="8" w16cid:durableId="1368070244">
    <w:abstractNumId w:val="1"/>
  </w:num>
  <w:num w:numId="9" w16cid:durableId="1549298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F0F"/>
    <w:rsid w:val="0015074B"/>
    <w:rsid w:val="002110E7"/>
    <w:rsid w:val="0029639D"/>
    <w:rsid w:val="002F59FF"/>
    <w:rsid w:val="00326F90"/>
    <w:rsid w:val="003B0743"/>
    <w:rsid w:val="00457BDA"/>
    <w:rsid w:val="00841EE2"/>
    <w:rsid w:val="008C1364"/>
    <w:rsid w:val="008F6C86"/>
    <w:rsid w:val="00A75AC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F6C451"/>
  <w14:defaultImageDpi w14:val="300"/>
  <w15:docId w15:val="{FC988B9B-8C27-4658-91E0-E70C4CB8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widowControl w:val="0"/>
      <w:spacing w:after="80" w:line="240" w:lineRule="auto"/>
    </w:pPr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Xinqian Li</cp:lastModifiedBy>
  <cp:revision>8</cp:revision>
  <dcterms:created xsi:type="dcterms:W3CDTF">2013-12-23T23:15:00Z</dcterms:created>
  <dcterms:modified xsi:type="dcterms:W3CDTF">2026-08-19T12:20:00Z</dcterms:modified>
  <cp:category/>
</cp:coreProperties>
</file>