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pBdr>
          <w:top w:val="none" w:color="auto" w:sz="0" w:space="0"/>
          <w:left w:val="none" w:color="auto" w:sz="0" w:space="0"/>
          <w:bottom w:val="none" w:color="auto" w:sz="0" w:space="0"/>
          <w:right w:val="none" w:color="auto" w:sz="0" w:space="0"/>
          <w:between w:val="none" w:color="auto" w:sz="0" w:space="0"/>
        </w:pBdr>
        <w:shd w:val="clear" w:fill="auto"/>
        <w:spacing w:before="120" w:after="240" w:line="275" w:lineRule="auto"/>
        <w:jc w:val="left"/>
        <w:rPr>
          <w:rFonts w:ascii="Times New Roman" w:hAnsi="Times New Roman" w:eastAsia="Times New Roman" w:cs="Times New Roman"/>
          <w:b/>
          <w:bCs/>
          <w:color w:val="1F1F1F"/>
          <w:kern w:val="0"/>
          <w:sz w:val="36"/>
          <w:szCs w:val="36"/>
          <w:lang/>
        </w:rPr>
      </w:pPr>
      <w:r>
        <w:rPr>
          <w:rFonts w:ascii="Times New Roman" w:hAnsi="Times New Roman" w:eastAsia="Times New Roman" w:cs="Times New Roman"/>
          <w:b/>
          <w:bCs/>
          <w:color w:val="1F1F1F"/>
          <w:kern w:val="0"/>
          <w:sz w:val="36"/>
          <w:szCs w:val="36"/>
          <w:rtl w:val="0"/>
          <w:lang/>
        </w:rPr>
        <w:t>Supporting information</w:t>
      </w:r>
    </w:p>
    <w:p w14:paraId="00000002">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lang/>
        </w:rPr>
      </w:pPr>
      <w:r>
        <w:rPr>
          <w:rFonts w:ascii="Times New Roman" w:hAnsi="Times New Roman" w:eastAsia="Times New Roman" w:cs="Times New Roman"/>
          <w:b/>
          <w:bCs/>
          <w:kern w:val="0"/>
          <w:sz w:val="24"/>
          <w:szCs w:val="24"/>
          <w:rtl w:val="0"/>
          <w:lang/>
        </w:rPr>
        <w:t>S1 Fig. Total lithium exploration spending in China (real, CPI 2016=100)</w:t>
      </w:r>
    </w:p>
    <w:p w14:paraId="00000003">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宋体" w:cs="Times New Roman"/>
          <w:kern w:val="0"/>
          <w:sz w:val="24"/>
          <w:szCs w:val="24"/>
          <w:rtl w:val="0"/>
          <w:lang w:val="en-US" w:eastAsia="zh-CN"/>
        </w:rPr>
      </w:pPr>
      <w:r>
        <w:rPr>
          <w:rFonts w:hint="eastAsia" w:ascii="Times New Roman" w:hAnsi="Times New Roman" w:eastAsia="Times New Roman" w:cs="Times New Roman"/>
          <w:kern w:val="0"/>
          <w:sz w:val="24"/>
          <w:szCs w:val="24"/>
          <w:rtl w:val="0"/>
          <w:lang/>
        </w:rPr>
        <w:t>The figure shows the aggregate trend in real lithium exploration expenditure in China from 2015 to 2024. Expenditure is adjusted for inflation using the Consumer Price Index, with 2016 as the base year. The series shows marked increases around 2016–2017 and 2021–2022.</w:t>
      </w:r>
      <w:r>
        <w:rPr>
          <w:rFonts w:hint="eastAsia" w:ascii="Times New Roman" w:hAnsi="Times New Roman" w:eastAsia="宋体" w:cs="Times New Roman"/>
          <w:kern w:val="0"/>
          <w:sz w:val="24"/>
          <w:szCs w:val="24"/>
          <w:rtl w:val="0"/>
          <w:lang w:val="en-US" w:eastAsia="zh-CN"/>
        </w:rPr>
        <w:t xml:space="preserve"> </w:t>
      </w:r>
    </w:p>
    <w:p w14:paraId="46A5E5FA">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hint="eastAsia" w:ascii="Times New Roman" w:hAnsi="Times New Roman" w:eastAsia="宋体" w:cs="Times New Roman"/>
          <w:kern w:val="0"/>
          <w:sz w:val="24"/>
          <w:szCs w:val="24"/>
          <w:rtl w:val="0"/>
          <w:lang w:eastAsia="zh-CN"/>
        </w:rPr>
        <w:drawing>
          <wp:inline distT="0" distB="0" distL="114300" distR="114300">
            <wp:extent cx="5943600" cy="3319780"/>
            <wp:effectExtent l="0" t="0" r="0" b="4445"/>
            <wp:docPr id="2" name="图片 2" descr="S1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1_Fig"/>
                    <pic:cNvPicPr>
                      <a:picLocks noChangeAspect="1"/>
                    </pic:cNvPicPr>
                  </pic:nvPicPr>
                  <pic:blipFill>
                    <a:blip r:embed="rId4"/>
                    <a:srcRect t="6909"/>
                    <a:stretch>
                      <a:fillRect/>
                    </a:stretch>
                  </pic:blipFill>
                  <pic:spPr>
                    <a:xfrm>
                      <a:off x="0" y="0"/>
                      <a:ext cx="5943600" cy="3319780"/>
                    </a:xfrm>
                    <a:prstGeom prst="rect">
                      <a:avLst/>
                    </a:prstGeom>
                  </pic:spPr>
                </pic:pic>
              </a:graphicData>
            </a:graphic>
          </wp:inline>
        </w:drawing>
      </w:r>
      <w:r>
        <w:rPr>
          <w:rFonts w:ascii="Times New Roman" w:hAnsi="Times New Roman" w:eastAsia="Times New Roman" w:cs="Times New Roman"/>
          <w:b/>
          <w:bCs/>
          <w:kern w:val="0"/>
          <w:sz w:val="24"/>
          <w:szCs w:val="24"/>
          <w:rtl w:val="0"/>
          <w:lang/>
        </w:rPr>
        <w:br w:type="page"/>
      </w:r>
    </w:p>
    <w:p w14:paraId="00000005">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ascii="Times New Roman" w:hAnsi="Times New Roman" w:eastAsia="Times New Roman" w:cs="Times New Roman"/>
          <w:b/>
          <w:bCs/>
          <w:kern w:val="0"/>
          <w:sz w:val="24"/>
          <w:szCs w:val="24"/>
          <w:rtl w:val="0"/>
          <w:lang/>
        </w:rPr>
        <w:t>S2 Fig. Exploration spending by funding channel (real, CPI 2016=100)</w:t>
      </w:r>
    </w:p>
    <w:p w14:paraId="00000006">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hint="eastAsia" w:ascii="Times New Roman" w:hAnsi="Times New Roman" w:eastAsia="Times New Roman" w:cs="Times New Roman"/>
          <w:kern w:val="0"/>
          <w:sz w:val="24"/>
          <w:szCs w:val="24"/>
          <w:rtl w:val="0"/>
          <w:lang/>
        </w:rPr>
        <w:t>The stacked bars decompose total real exploration expenditure into public fiscal expenditure and enterprise-side expenditure. Public fiscal expenditure includes both central and provincial geological survey appropriations. The figure shows that enterprise-side expenditure exhibits greater short-run variation, contributing more visibly to fluctuations in total expenditure</w:t>
      </w:r>
      <w:r>
        <w:rPr>
          <w:rFonts w:hint="eastAsia" w:ascii="Times New Roman" w:hAnsi="Times New Roman" w:eastAsia="宋体" w:cs="Times New Roman"/>
          <w:kern w:val="0"/>
          <w:sz w:val="24"/>
          <w:szCs w:val="24"/>
          <w:rtl w:val="0"/>
          <w:lang w:eastAsia="zh-CN"/>
        </w:rPr>
        <w:t>.</w:t>
      </w:r>
    </w:p>
    <w:p w14:paraId="68D6C6EF">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hint="eastAsia" w:ascii="Times New Roman" w:hAnsi="Times New Roman" w:eastAsia="宋体" w:cs="Times New Roman"/>
          <w:kern w:val="0"/>
          <w:sz w:val="24"/>
          <w:szCs w:val="24"/>
          <w:lang w:eastAsia="zh-CN"/>
        </w:rPr>
        <w:drawing>
          <wp:inline distT="0" distB="0" distL="114300" distR="114300">
            <wp:extent cx="5943600" cy="3331210"/>
            <wp:effectExtent l="0" t="0" r="0" b="2540"/>
            <wp:docPr id="3" name="图片 3" descr="S2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2_Fig"/>
                    <pic:cNvPicPr>
                      <a:picLocks noChangeAspect="1"/>
                    </pic:cNvPicPr>
                  </pic:nvPicPr>
                  <pic:blipFill>
                    <a:blip r:embed="rId5"/>
                    <a:srcRect t="6588"/>
                    <a:stretch>
                      <a:fillRect/>
                    </a:stretch>
                  </pic:blipFill>
                  <pic:spPr>
                    <a:xfrm>
                      <a:off x="0" y="0"/>
                      <a:ext cx="5943600" cy="3331210"/>
                    </a:xfrm>
                    <a:prstGeom prst="rect">
                      <a:avLst/>
                    </a:prstGeom>
                  </pic:spPr>
                </pic:pic>
              </a:graphicData>
            </a:graphic>
          </wp:inline>
        </w:drawing>
      </w:r>
      <w:r>
        <w:rPr>
          <w:rFonts w:ascii="Times New Roman" w:hAnsi="Times New Roman" w:eastAsia="Times New Roman" w:cs="Times New Roman"/>
          <w:b/>
          <w:bCs/>
          <w:kern w:val="0"/>
          <w:sz w:val="24"/>
          <w:szCs w:val="24"/>
          <w:rtl w:val="0"/>
          <w:lang/>
        </w:rPr>
        <w:br w:type="page"/>
      </w:r>
    </w:p>
    <w:p w14:paraId="00000008">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ascii="Times New Roman" w:hAnsi="Times New Roman" w:eastAsia="Times New Roman" w:cs="Times New Roman"/>
          <w:b/>
          <w:bCs/>
          <w:kern w:val="0"/>
          <w:sz w:val="24"/>
          <w:szCs w:val="24"/>
          <w:rtl w:val="0"/>
          <w:lang/>
        </w:rPr>
        <w:t>S3 Fig. Financing shares of lithium exploration spending (enterprise vs public)</w:t>
      </w:r>
    </w:p>
    <w:p w14:paraId="00000009">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hint="eastAsia" w:ascii="Times New Roman" w:hAnsi="Times New Roman" w:eastAsia="Times New Roman" w:cs="Times New Roman"/>
          <w:kern w:val="0"/>
          <w:sz w:val="24"/>
          <w:szCs w:val="24"/>
          <w:rtl w:val="0"/>
          <w:lang/>
        </w:rPr>
        <w:t>The figure shows the evolving composition of lithium exploration financing. The red line represents the enterprise financing share, which is the dependent variable in the main regression analysis. The blue dashed line represents the public financing share, defined as the complement of the enterprise share.</w:t>
      </w:r>
    </w:p>
    <w:p w14:paraId="540018CC">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hint="eastAsia" w:ascii="Times New Roman" w:hAnsi="Times New Roman" w:eastAsia="宋体" w:cs="Times New Roman"/>
          <w:kern w:val="0"/>
          <w:sz w:val="24"/>
          <w:szCs w:val="24"/>
          <w:lang w:eastAsia="zh-CN"/>
        </w:rPr>
        <w:drawing>
          <wp:inline distT="0" distB="0" distL="114300" distR="114300">
            <wp:extent cx="5943600" cy="3340735"/>
            <wp:effectExtent l="0" t="0" r="0" b="2540"/>
            <wp:docPr id="4" name="图片 4" descr="S3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3_Fig"/>
                    <pic:cNvPicPr>
                      <a:picLocks noChangeAspect="1"/>
                    </pic:cNvPicPr>
                  </pic:nvPicPr>
                  <pic:blipFill>
                    <a:blip r:embed="rId6"/>
                    <a:srcRect t="6321"/>
                    <a:stretch>
                      <a:fillRect/>
                    </a:stretch>
                  </pic:blipFill>
                  <pic:spPr>
                    <a:xfrm>
                      <a:off x="0" y="0"/>
                      <a:ext cx="5943600" cy="3340735"/>
                    </a:xfrm>
                    <a:prstGeom prst="rect">
                      <a:avLst/>
                    </a:prstGeom>
                  </pic:spPr>
                </pic:pic>
              </a:graphicData>
            </a:graphic>
          </wp:inline>
        </w:drawing>
      </w:r>
      <w:r>
        <w:rPr>
          <w:rFonts w:ascii="Times New Roman" w:hAnsi="Times New Roman" w:eastAsia="Times New Roman" w:cs="Times New Roman"/>
          <w:b/>
          <w:bCs/>
          <w:kern w:val="0"/>
          <w:sz w:val="24"/>
          <w:szCs w:val="24"/>
          <w:rtl w:val="0"/>
          <w:lang/>
        </w:rPr>
        <w:br w:type="page"/>
      </w:r>
    </w:p>
    <w:p w14:paraId="0000000B">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ascii="Times New Roman" w:hAnsi="Times New Roman" w:eastAsia="Times New Roman" w:cs="Times New Roman"/>
          <w:b/>
          <w:bCs/>
          <w:kern w:val="0"/>
          <w:sz w:val="24"/>
          <w:szCs w:val="24"/>
          <w:rtl w:val="0"/>
          <w:lang/>
        </w:rPr>
        <w:t>S4 Fig. Lithium price (IMF, level) and log price</w:t>
      </w:r>
    </w:p>
    <w:p w14:paraId="0000000C">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hint="eastAsia" w:ascii="Times New Roman" w:hAnsi="Times New Roman" w:eastAsia="Times New Roman" w:cs="Times New Roman"/>
          <w:kern w:val="0"/>
          <w:sz w:val="24"/>
          <w:szCs w:val="24"/>
          <w:rtl w:val="0"/>
          <w:lang/>
        </w:rPr>
        <w:t>The figure compares the global lithium price series with its natural logarithmic transformation. The absolute price series is shown on the left axis, and the log-transformed series is shown on the right axis. The log-transformed price series is used in the regression analysis.</w:t>
      </w:r>
    </w:p>
    <w:p w14:paraId="15D9ABB9">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hint="eastAsia" w:ascii="Times New Roman" w:hAnsi="Times New Roman" w:eastAsia="宋体" w:cs="Times New Roman"/>
          <w:kern w:val="0"/>
          <w:sz w:val="24"/>
          <w:szCs w:val="24"/>
          <w:lang w:eastAsia="zh-CN"/>
        </w:rPr>
        <w:drawing>
          <wp:inline distT="0" distB="0" distL="114300" distR="114300">
            <wp:extent cx="5943600" cy="3336290"/>
            <wp:effectExtent l="0" t="0" r="0" b="6985"/>
            <wp:docPr id="5" name="图片 5" descr="S4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4_Fig"/>
                    <pic:cNvPicPr>
                      <a:picLocks noChangeAspect="1"/>
                    </pic:cNvPicPr>
                  </pic:nvPicPr>
                  <pic:blipFill>
                    <a:blip r:embed="rId7"/>
                    <a:srcRect t="6446"/>
                    <a:stretch>
                      <a:fillRect/>
                    </a:stretch>
                  </pic:blipFill>
                  <pic:spPr>
                    <a:xfrm>
                      <a:off x="0" y="0"/>
                      <a:ext cx="5943600" cy="3336290"/>
                    </a:xfrm>
                    <a:prstGeom prst="rect">
                      <a:avLst/>
                    </a:prstGeom>
                  </pic:spPr>
                </pic:pic>
              </a:graphicData>
            </a:graphic>
          </wp:inline>
        </w:drawing>
      </w:r>
      <w:r>
        <w:rPr>
          <w:rFonts w:ascii="Times New Roman" w:hAnsi="Times New Roman" w:eastAsia="Times New Roman" w:cs="Times New Roman"/>
          <w:b/>
          <w:bCs/>
          <w:kern w:val="0"/>
          <w:sz w:val="24"/>
          <w:szCs w:val="24"/>
          <w:rtl w:val="0"/>
          <w:lang/>
        </w:rPr>
        <w:br w:type="page"/>
      </w:r>
    </w:p>
    <w:p w14:paraId="0000000E">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ascii="Times New Roman" w:hAnsi="Times New Roman" w:eastAsia="Times New Roman" w:cs="Times New Roman"/>
          <w:b/>
          <w:bCs/>
          <w:kern w:val="0"/>
          <w:sz w:val="24"/>
          <w:szCs w:val="24"/>
          <w:rtl w:val="0"/>
          <w:lang/>
        </w:rPr>
        <w:t>S5 Fig. Global lithium supply vs price trends</w:t>
      </w:r>
    </w:p>
    <w:p w14:paraId="0000000F">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hint="eastAsia" w:ascii="Times New Roman" w:hAnsi="Times New Roman" w:eastAsia="Times New Roman" w:cs="Times New Roman"/>
          <w:kern w:val="0"/>
          <w:sz w:val="24"/>
          <w:szCs w:val="24"/>
          <w:rtl w:val="0"/>
          <w:lang/>
        </w:rPr>
        <w:t>The figure plots global lithium mine production, converted to kilotonnes of lithium carbonate equivalent, against lithium prices</w:t>
      </w:r>
      <w:r>
        <w:rPr>
          <w:rFonts w:ascii="Times New Roman" w:hAnsi="Times New Roman" w:eastAsia="Times New Roman" w:cs="Times New Roman"/>
          <w:kern w:val="0"/>
          <w:sz w:val="24"/>
          <w:szCs w:val="24"/>
          <w:rtl w:val="0"/>
          <w:lang/>
        </w:rPr>
        <w:t xml:space="preserve">. </w:t>
      </w:r>
      <w:r>
        <w:rPr>
          <w:rFonts w:hint="eastAsia" w:ascii="Times New Roman" w:hAnsi="Times New Roman" w:eastAsia="Times New Roman" w:cs="Times New Roman"/>
          <w:kern w:val="0"/>
          <w:sz w:val="24"/>
          <w:szCs w:val="24"/>
          <w:rtl w:val="0"/>
          <w:lang/>
        </w:rPr>
        <w:t>The figure is presented as descriptive context for global lithium market developments during the study period.</w:t>
      </w:r>
    </w:p>
    <w:p w14:paraId="01245819">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hint="eastAsia" w:ascii="Times New Roman" w:hAnsi="Times New Roman" w:eastAsia="宋体" w:cs="Times New Roman"/>
          <w:kern w:val="0"/>
          <w:sz w:val="24"/>
          <w:szCs w:val="24"/>
          <w:lang w:eastAsia="zh-CN"/>
        </w:rPr>
        <w:drawing>
          <wp:inline distT="0" distB="0" distL="114300" distR="114300">
            <wp:extent cx="5943600" cy="3328035"/>
            <wp:effectExtent l="0" t="0" r="0" b="5715"/>
            <wp:docPr id="6" name="图片 6" descr="S5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5_Fig"/>
                    <pic:cNvPicPr>
                      <a:picLocks noChangeAspect="1"/>
                    </pic:cNvPicPr>
                  </pic:nvPicPr>
                  <pic:blipFill>
                    <a:blip r:embed="rId8"/>
                    <a:srcRect t="6677"/>
                    <a:stretch>
                      <a:fillRect/>
                    </a:stretch>
                  </pic:blipFill>
                  <pic:spPr>
                    <a:xfrm>
                      <a:off x="0" y="0"/>
                      <a:ext cx="5943600" cy="3328035"/>
                    </a:xfrm>
                    <a:prstGeom prst="rect">
                      <a:avLst/>
                    </a:prstGeom>
                  </pic:spPr>
                </pic:pic>
              </a:graphicData>
            </a:graphic>
          </wp:inline>
        </w:drawing>
      </w:r>
      <w:r>
        <w:rPr>
          <w:rFonts w:ascii="Times New Roman" w:hAnsi="Times New Roman" w:eastAsia="Times New Roman" w:cs="Times New Roman"/>
          <w:b/>
          <w:bCs/>
          <w:kern w:val="0"/>
          <w:sz w:val="24"/>
          <w:szCs w:val="24"/>
          <w:rtl w:val="0"/>
          <w:lang/>
        </w:rPr>
        <w:br w:type="page"/>
      </w:r>
    </w:p>
    <w:p w14:paraId="00000011">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ascii="Times New Roman" w:hAnsi="Times New Roman" w:eastAsia="Times New Roman" w:cs="Times New Roman"/>
          <w:b/>
          <w:bCs/>
          <w:kern w:val="0"/>
          <w:sz w:val="24"/>
          <w:szCs w:val="24"/>
          <w:rtl w:val="0"/>
          <w:lang/>
        </w:rPr>
        <w:t xml:space="preserve">S6 Fig. </w:t>
      </w:r>
      <w:r>
        <w:rPr>
          <w:rFonts w:hint="eastAsia" w:ascii="Times New Roman" w:hAnsi="Times New Roman" w:eastAsia="Times New Roman" w:cs="Times New Roman"/>
          <w:b/>
          <w:bCs/>
          <w:kern w:val="0"/>
          <w:sz w:val="24"/>
          <w:szCs w:val="24"/>
          <w:rtl w:val="0"/>
          <w:lang/>
        </w:rPr>
        <w:t>Leave-one-out sensitivity analysis for the Δln(price) specification</w:t>
      </w:r>
    </w:p>
    <w:p w14:paraId="00000012">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hint="eastAsia" w:ascii="Times New Roman" w:hAnsi="Times New Roman" w:eastAsia="Times New Roman" w:cs="Times New Roman"/>
          <w:kern w:val="0"/>
          <w:sz w:val="24"/>
          <w:szCs w:val="24"/>
          <w:rtl w:val="0"/>
          <w:lang/>
        </w:rPr>
        <w:t>The figure displays the estimated coefficient for the annual log price-change variable when each year is sequentially excluded from the sample. Error bars represent 95% confidence intervals. The dashed line represents the full-sample coefficient estimate, and the shaded area represents its 95% confidence interval. A positive coefficient is observed across all leave-one-out samples, suggesting that the estimated direction of the association is not determined by any single annual observation.</w:t>
      </w:r>
    </w:p>
    <w:p w14:paraId="3336140F">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hint="eastAsia" w:ascii="Times New Roman" w:hAnsi="Times New Roman" w:eastAsia="宋体" w:cs="Times New Roman"/>
          <w:kern w:val="0"/>
          <w:sz w:val="24"/>
          <w:szCs w:val="24"/>
          <w:lang w:eastAsia="zh-CN"/>
        </w:rPr>
        <w:drawing>
          <wp:inline distT="0" distB="0" distL="114300" distR="114300">
            <wp:extent cx="5943600" cy="3319780"/>
            <wp:effectExtent l="0" t="0" r="0" b="4445"/>
            <wp:docPr id="7" name="图片 7" descr="S6_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6_Fig"/>
                    <pic:cNvPicPr>
                      <a:picLocks noChangeAspect="1"/>
                    </pic:cNvPicPr>
                  </pic:nvPicPr>
                  <pic:blipFill>
                    <a:blip r:embed="rId9"/>
                    <a:srcRect t="6909"/>
                    <a:stretch>
                      <a:fillRect/>
                    </a:stretch>
                  </pic:blipFill>
                  <pic:spPr>
                    <a:xfrm>
                      <a:off x="0" y="0"/>
                      <a:ext cx="5943600" cy="3319780"/>
                    </a:xfrm>
                    <a:prstGeom prst="rect">
                      <a:avLst/>
                    </a:prstGeom>
                  </pic:spPr>
                </pic:pic>
              </a:graphicData>
            </a:graphic>
          </wp:inline>
        </w:drawing>
      </w:r>
      <w:r>
        <w:rPr>
          <w:rFonts w:ascii="Times New Roman" w:hAnsi="Times New Roman" w:eastAsia="Times New Roman" w:cs="Times New Roman"/>
          <w:b/>
          <w:bCs/>
          <w:kern w:val="0"/>
          <w:sz w:val="24"/>
          <w:szCs w:val="24"/>
          <w:rtl w:val="0"/>
          <w:lang/>
        </w:rPr>
        <w:br w:type="page"/>
      </w:r>
    </w:p>
    <w:p w14:paraId="6A8FEDC0">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bCs/>
          <w:kern w:val="0"/>
          <w:sz w:val="24"/>
          <w:szCs w:val="24"/>
          <w:rtl w:val="0"/>
          <w:lang/>
        </w:rPr>
      </w:pPr>
      <w:r>
        <w:rPr>
          <w:rFonts w:hint="eastAsia" w:ascii="Times New Roman" w:hAnsi="Times New Roman" w:eastAsia="Times New Roman" w:cs="Times New Roman"/>
          <w:b/>
          <w:bCs/>
          <w:kern w:val="0"/>
          <w:sz w:val="24"/>
          <w:szCs w:val="24"/>
          <w:rtl w:val="0"/>
          <w:lang/>
        </w:rPr>
        <w:t>S1 Table. Descriptive ADF and Johansen diagnostics</w:t>
      </w:r>
    </w:p>
    <w:p w14:paraId="1628360A">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val="0"/>
          <w:bCs w:val="0"/>
          <w:kern w:val="0"/>
          <w:sz w:val="24"/>
          <w:szCs w:val="24"/>
          <w:rtl w:val="0"/>
          <w:lang/>
        </w:rPr>
      </w:pPr>
      <w:r>
        <w:rPr>
          <w:rFonts w:hint="eastAsia" w:ascii="Times New Roman" w:hAnsi="Times New Roman" w:eastAsia="Times New Roman" w:cs="Times New Roman"/>
          <w:b w:val="0"/>
          <w:bCs w:val="0"/>
          <w:kern w:val="0"/>
          <w:sz w:val="24"/>
          <w:szCs w:val="24"/>
          <w:rtl w:val="0"/>
          <w:lang/>
        </w:rPr>
        <w:t>This table reports Augmented Dickey–Fuller (ADF) unit-root tests and Johansen cointegration diagnostics for the principal expenditure series. Given the very short annual sample, these tests have limited statistical power and are presented for descriptive completeness only. They should not be interpreted as formal evidence establishing stationarity or cointegration, nor are they used to validate the regression design.</w:t>
      </w:r>
    </w:p>
    <w:p w14:paraId="51A53D8C">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val="0"/>
          <w:bCs w:val="0"/>
          <w:kern w:val="0"/>
          <w:sz w:val="24"/>
          <w:szCs w:val="24"/>
          <w:rtl w:val="0"/>
          <w:lang/>
        </w:rPr>
      </w:pPr>
      <w:r>
        <w:rPr>
          <w:rFonts w:hint="eastAsia" w:ascii="Times New Roman" w:hAnsi="Times New Roman" w:eastAsia="Times New Roman" w:cs="Times New Roman"/>
          <w:b/>
          <w:bCs/>
          <w:kern w:val="0"/>
          <w:sz w:val="24"/>
          <w:szCs w:val="24"/>
          <w:rtl w:val="0"/>
          <w:lang w:val="en-US" w:eastAsia="zh-CN" w:bidi="ar"/>
        </w:rPr>
        <w:t>Panel A. ADF unit-root test</w:t>
      </w:r>
      <w:r>
        <w:rPr>
          <w:rFonts w:hint="eastAsia" w:ascii="Times New Roman" w:hAnsi="Times New Roman" w:eastAsia="Times New Roman" w:cs="Times New Roman"/>
          <w:b w:val="0"/>
          <w:bCs w:val="0"/>
          <w:kern w:val="0"/>
          <w:sz w:val="24"/>
          <w:szCs w:val="24"/>
          <w:rtl w:val="0"/>
          <w:lang/>
        </w:rPr>
        <w:t>s</w:t>
      </w:r>
    </w:p>
    <w:tbl>
      <w:tblPr>
        <w:tblStyle w:val="2"/>
        <w:tblpPr w:leftFromText="180" w:rightFromText="180" w:vertAnchor="text" w:horzAnchor="page" w:tblpX="1429" w:tblpY="46"/>
        <w:tblOverlap w:val="never"/>
        <w:tblW w:w="4924"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055"/>
        <w:gridCol w:w="1639"/>
        <w:gridCol w:w="2252"/>
        <w:gridCol w:w="3360"/>
      </w:tblGrid>
      <w:tr w14:paraId="697C5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1080" w:type="pct"/>
            <w:tcBorders>
              <w:top w:val="single" w:color="000000" w:sz="12" w:space="0"/>
              <w:bottom w:val="single" w:color="000000" w:sz="4" w:space="0"/>
              <w:tl2br w:val="nil"/>
            </w:tcBorders>
            <w:shd w:val="clear" w:color="auto" w:fill="FFFFFF"/>
            <w:vAlign w:val="center"/>
          </w:tcPr>
          <w:p w14:paraId="350352D4">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Series</w:t>
            </w:r>
          </w:p>
        </w:tc>
        <w:tc>
          <w:tcPr>
            <w:tcW w:w="864" w:type="pct"/>
            <w:tcBorders>
              <w:top w:val="single" w:color="000000" w:sz="12" w:space="0"/>
              <w:bottom w:val="single" w:color="000000" w:sz="4" w:space="0"/>
            </w:tcBorders>
            <w:shd w:val="clear" w:color="auto" w:fill="FFFFFF"/>
            <w:vAlign w:val="center"/>
          </w:tcPr>
          <w:p w14:paraId="5D66424F">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ADF statistic</w:t>
            </w:r>
          </w:p>
        </w:tc>
        <w:tc>
          <w:tcPr>
            <w:tcW w:w="1193" w:type="pct"/>
            <w:tcBorders>
              <w:top w:val="single" w:color="000000" w:sz="12" w:space="0"/>
              <w:bottom w:val="single" w:color="000000" w:sz="4" w:space="0"/>
            </w:tcBorders>
            <w:shd w:val="clear" w:color="auto" w:fill="FFFFFF"/>
            <w:vAlign w:val="center"/>
          </w:tcPr>
          <w:p w14:paraId="75BD7BEE">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1% Critical Value</w:t>
            </w:r>
          </w:p>
        </w:tc>
        <w:tc>
          <w:tcPr>
            <w:tcW w:w="1780" w:type="pct"/>
            <w:tcBorders>
              <w:top w:val="single" w:color="000000" w:sz="12" w:space="0"/>
              <w:bottom w:val="single" w:color="000000" w:sz="4" w:space="0"/>
            </w:tcBorders>
            <w:shd w:val="clear" w:color="auto" w:fill="FFFFFF"/>
            <w:vAlign w:val="center"/>
          </w:tcPr>
          <w:p w14:paraId="19F9C445">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Comparison with critical value</w:t>
            </w:r>
          </w:p>
        </w:tc>
      </w:tr>
      <w:tr w14:paraId="796E1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080" w:type="pct"/>
            <w:tcBorders>
              <w:top w:val="single" w:color="000000" w:sz="4" w:space="0"/>
            </w:tcBorders>
            <w:shd w:val="clear" w:color="auto" w:fill="FFFFFF"/>
            <w:vAlign w:val="center"/>
          </w:tcPr>
          <w:p w14:paraId="7C954A42">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Central Exp</w:t>
            </w:r>
          </w:p>
        </w:tc>
        <w:tc>
          <w:tcPr>
            <w:tcW w:w="864" w:type="pct"/>
            <w:tcBorders>
              <w:top w:val="single" w:color="000000" w:sz="4" w:space="0"/>
            </w:tcBorders>
            <w:shd w:val="clear" w:color="auto" w:fill="FFFFFF"/>
            <w:vAlign w:val="center"/>
          </w:tcPr>
          <w:p w14:paraId="11E9FCD3">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-4.12</w:t>
            </w:r>
          </w:p>
        </w:tc>
        <w:tc>
          <w:tcPr>
            <w:tcW w:w="1193" w:type="pct"/>
            <w:tcBorders>
              <w:top w:val="single" w:color="000000" w:sz="4" w:space="0"/>
            </w:tcBorders>
            <w:shd w:val="clear" w:color="auto" w:fill="FFFFFF"/>
            <w:vAlign w:val="center"/>
          </w:tcPr>
          <w:p w14:paraId="685846A4">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-3.77</w:t>
            </w:r>
          </w:p>
        </w:tc>
        <w:tc>
          <w:tcPr>
            <w:tcW w:w="1780" w:type="pct"/>
            <w:tcBorders>
              <w:top w:val="single" w:color="000000" w:sz="4" w:space="0"/>
            </w:tcBorders>
            <w:shd w:val="clear" w:color="auto" w:fill="FFFFFF"/>
            <w:vAlign w:val="center"/>
          </w:tcPr>
          <w:p w14:paraId="468AB22C">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Statistic below critical value</w:t>
            </w:r>
          </w:p>
        </w:tc>
      </w:tr>
      <w:tr w14:paraId="7A655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080" w:type="pct"/>
            <w:shd w:val="clear" w:color="auto" w:fill="FFFFFF"/>
            <w:vAlign w:val="center"/>
          </w:tcPr>
          <w:p w14:paraId="6811FD51">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Provincial Exp</w:t>
            </w:r>
          </w:p>
        </w:tc>
        <w:tc>
          <w:tcPr>
            <w:tcW w:w="864" w:type="pct"/>
            <w:shd w:val="clear" w:color="auto" w:fill="FFFFFF"/>
            <w:vAlign w:val="center"/>
          </w:tcPr>
          <w:p w14:paraId="38B073B6">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-2.05</w:t>
            </w:r>
          </w:p>
        </w:tc>
        <w:tc>
          <w:tcPr>
            <w:tcW w:w="1193" w:type="pct"/>
            <w:shd w:val="clear" w:color="auto" w:fill="FFFFFF"/>
            <w:vAlign w:val="center"/>
          </w:tcPr>
          <w:p w14:paraId="038D2632">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-3.77</w:t>
            </w:r>
          </w:p>
        </w:tc>
        <w:tc>
          <w:tcPr>
            <w:tcW w:w="1780" w:type="pct"/>
            <w:shd w:val="clear" w:color="auto" w:fill="FFFFFF"/>
            <w:vAlign w:val="center"/>
          </w:tcPr>
          <w:p w14:paraId="0A2DDD67">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Statistic above critical value</w:t>
            </w:r>
          </w:p>
        </w:tc>
      </w:tr>
      <w:tr w14:paraId="06198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080" w:type="pct"/>
            <w:tcBorders>
              <w:bottom w:val="single" w:color="000000" w:sz="12" w:space="0"/>
            </w:tcBorders>
            <w:shd w:val="clear" w:color="auto" w:fill="FFFFFF"/>
            <w:vAlign w:val="center"/>
          </w:tcPr>
          <w:p w14:paraId="2DFEBB92">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Enterprise Exp</w:t>
            </w:r>
          </w:p>
        </w:tc>
        <w:tc>
          <w:tcPr>
            <w:tcW w:w="864" w:type="pct"/>
            <w:tcBorders>
              <w:bottom w:val="single" w:color="000000" w:sz="12" w:space="0"/>
            </w:tcBorders>
            <w:shd w:val="clear" w:color="auto" w:fill="FFFFFF"/>
            <w:vAlign w:val="center"/>
          </w:tcPr>
          <w:p w14:paraId="50B3F75E">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-1.88</w:t>
            </w:r>
          </w:p>
        </w:tc>
        <w:tc>
          <w:tcPr>
            <w:tcW w:w="1193" w:type="pct"/>
            <w:tcBorders>
              <w:bottom w:val="single" w:color="000000" w:sz="12" w:space="0"/>
            </w:tcBorders>
            <w:shd w:val="clear" w:color="auto" w:fill="FFFFFF"/>
            <w:vAlign w:val="center"/>
          </w:tcPr>
          <w:p w14:paraId="5A20D891">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-3.77</w:t>
            </w:r>
          </w:p>
        </w:tc>
        <w:tc>
          <w:tcPr>
            <w:tcW w:w="1780" w:type="pct"/>
            <w:tcBorders>
              <w:bottom w:val="single" w:color="000000" w:sz="12" w:space="0"/>
            </w:tcBorders>
            <w:shd w:val="clear" w:color="auto" w:fill="FFFFFF"/>
            <w:vAlign w:val="center"/>
          </w:tcPr>
          <w:p w14:paraId="70EAC0C2">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firstLine="0" w:firstLineChars="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Statistic above critical value</w:t>
            </w:r>
          </w:p>
        </w:tc>
      </w:tr>
    </w:tbl>
    <w:p w14:paraId="4A295744">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bCs/>
          <w:kern w:val="0"/>
          <w:sz w:val="24"/>
          <w:szCs w:val="24"/>
          <w:lang/>
        </w:rPr>
      </w:pPr>
      <w:r>
        <w:rPr>
          <w:rFonts w:hint="eastAsia" w:ascii="Times New Roman" w:hAnsi="Times New Roman" w:eastAsia="Times New Roman" w:cs="Times New Roman"/>
          <w:b/>
          <w:bCs/>
          <w:kern w:val="0"/>
          <w:sz w:val="24"/>
          <w:szCs w:val="24"/>
          <w:lang w:val="en-US" w:eastAsia="zh-CN" w:bidi="ar"/>
        </w:rPr>
        <w:t>Panel B. Johansen cointegration test for expenditure components</w:t>
      </w:r>
    </w:p>
    <w:tbl>
      <w:tblPr>
        <w:tblStyle w:val="2"/>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431"/>
        <w:gridCol w:w="1290"/>
        <w:gridCol w:w="1533"/>
        <w:gridCol w:w="1700"/>
        <w:gridCol w:w="1533"/>
        <w:gridCol w:w="1963"/>
      </w:tblGrid>
      <w:tr w14:paraId="4145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tcBorders>
              <w:top w:val="single" w:color="000000" w:sz="12" w:space="0"/>
              <w:bottom w:val="single" w:color="000000" w:sz="4" w:space="0"/>
              <w:tl2br w:val="nil"/>
            </w:tcBorders>
            <w:shd w:val="clear" w:color="auto" w:fill="FFFFFF"/>
            <w:vAlign w:val="center"/>
          </w:tcPr>
          <w:p w14:paraId="5C851FD5">
            <w:pPr>
              <w:keepNext w:val="0"/>
              <w:keepLines w:val="0"/>
              <w:widowControl/>
              <w:suppressLineNumbers w:val="0"/>
              <w:adjustRightInd w:val="0"/>
              <w:snapToGrid w:val="0"/>
              <w:jc w:val="center"/>
              <w:textAlignment w:val="center"/>
              <w:rPr>
                <w:rFonts w:ascii="Times New Roman Bold" w:hAnsi="Times New Roman Bold" w:eastAsia="宋体" w:cs="Times New Roman Bold"/>
                <w:b w:val="0"/>
                <w:bCs/>
                <w:color w:val="000000"/>
                <w:kern w:val="0"/>
                <w:sz w:val="21"/>
                <w:szCs w:val="21"/>
                <w:u w:val="none"/>
                <w:lang w:val="en-US" w:eastAsia="zh-CN" w:bidi="ar"/>
              </w:rPr>
            </w:pPr>
            <w:r>
              <w:rPr>
                <w:rFonts w:ascii="Times New Roman Bold" w:hAnsi="Times New Roman Bold" w:eastAsia="宋体" w:cs="Times New Roman Bold"/>
                <w:b w:val="0"/>
                <w:bCs/>
                <w:color w:val="000000"/>
                <w:kern w:val="0"/>
                <w:sz w:val="21"/>
                <w:szCs w:val="21"/>
                <w:u w:val="none"/>
                <w:lang w:val="en-US" w:eastAsia="zh-CN" w:bidi="ar"/>
              </w:rPr>
              <w:t>Null hypothesis</w:t>
            </w:r>
          </w:p>
        </w:tc>
        <w:tc>
          <w:tcPr>
            <w:tcW w:w="0" w:type="auto"/>
            <w:tcBorders>
              <w:top w:val="single" w:color="000000" w:sz="12" w:space="0"/>
              <w:bottom w:val="single" w:color="000000" w:sz="4" w:space="0"/>
            </w:tcBorders>
            <w:shd w:val="clear" w:color="auto" w:fill="FFFFFF"/>
            <w:vAlign w:val="center"/>
          </w:tcPr>
          <w:p w14:paraId="67D2A431">
            <w:pPr>
              <w:keepNext w:val="0"/>
              <w:keepLines w:val="0"/>
              <w:widowControl/>
              <w:suppressLineNumbers w:val="0"/>
              <w:adjustRightInd w:val="0"/>
              <w:snapToGrid w:val="0"/>
              <w:jc w:val="center"/>
              <w:textAlignment w:val="center"/>
              <w:rPr>
                <w:rFonts w:ascii="Times New Roman Bold" w:hAnsi="Times New Roman Bold" w:eastAsia="宋体" w:cs="Times New Roman Bold"/>
                <w:b w:val="0"/>
                <w:bCs/>
                <w:color w:val="000000"/>
                <w:kern w:val="0"/>
                <w:sz w:val="21"/>
                <w:szCs w:val="21"/>
                <w:u w:val="none"/>
                <w:lang w:val="en-US" w:eastAsia="zh-CN" w:bidi="ar"/>
              </w:rPr>
            </w:pPr>
            <w:r>
              <w:rPr>
                <w:rFonts w:ascii="Times New Roman Bold" w:hAnsi="Times New Roman Bold" w:eastAsia="宋体" w:cs="Times New Roman Bold"/>
                <w:b w:val="0"/>
                <w:bCs/>
                <w:color w:val="000000"/>
                <w:kern w:val="0"/>
                <w:sz w:val="21"/>
                <w:szCs w:val="21"/>
                <w:u w:val="none"/>
                <w:lang w:val="en-US" w:eastAsia="zh-CN" w:bidi="ar"/>
              </w:rPr>
              <w:t>Trace statistic</w:t>
            </w:r>
          </w:p>
        </w:tc>
        <w:tc>
          <w:tcPr>
            <w:tcW w:w="0" w:type="auto"/>
            <w:tcBorders>
              <w:top w:val="single" w:color="000000" w:sz="12" w:space="0"/>
              <w:bottom w:val="single" w:color="000000" w:sz="4" w:space="0"/>
            </w:tcBorders>
            <w:shd w:val="clear" w:color="auto" w:fill="FFFFFF"/>
            <w:vAlign w:val="center"/>
          </w:tcPr>
          <w:p w14:paraId="423E774A">
            <w:pPr>
              <w:keepNext w:val="0"/>
              <w:keepLines w:val="0"/>
              <w:widowControl/>
              <w:suppressLineNumbers w:val="0"/>
              <w:adjustRightInd w:val="0"/>
              <w:snapToGrid w:val="0"/>
              <w:jc w:val="center"/>
              <w:textAlignment w:val="center"/>
              <w:rPr>
                <w:rFonts w:ascii="Times New Roman Bold" w:hAnsi="Times New Roman Bold" w:eastAsia="宋体" w:cs="Times New Roman Bold"/>
                <w:b w:val="0"/>
                <w:bCs/>
                <w:color w:val="000000"/>
                <w:kern w:val="0"/>
                <w:sz w:val="21"/>
                <w:szCs w:val="21"/>
                <w:u w:val="none"/>
                <w:lang w:val="en-US" w:eastAsia="zh-CN" w:bidi="ar"/>
              </w:rPr>
            </w:pPr>
            <w:r>
              <w:rPr>
                <w:rFonts w:ascii="Times New Roman Bold" w:hAnsi="Times New Roman Bold" w:eastAsia="宋体" w:cs="Times New Roman Bold"/>
                <w:b w:val="0"/>
                <w:bCs/>
                <w:color w:val="000000"/>
                <w:kern w:val="0"/>
                <w:sz w:val="21"/>
                <w:szCs w:val="21"/>
                <w:u w:val="none"/>
                <w:lang w:val="en-US" w:eastAsia="zh-CN" w:bidi="ar"/>
              </w:rPr>
              <w:t>5% critical value</w:t>
            </w:r>
          </w:p>
        </w:tc>
        <w:tc>
          <w:tcPr>
            <w:tcW w:w="0" w:type="auto"/>
            <w:tcBorders>
              <w:top w:val="single" w:color="000000" w:sz="12" w:space="0"/>
              <w:bottom w:val="single" w:color="000000" w:sz="4" w:space="0"/>
            </w:tcBorders>
            <w:shd w:val="clear" w:color="auto" w:fill="FFFFFF"/>
            <w:vAlign w:val="center"/>
          </w:tcPr>
          <w:p w14:paraId="363B0FFF">
            <w:pPr>
              <w:keepNext w:val="0"/>
              <w:keepLines w:val="0"/>
              <w:widowControl/>
              <w:suppressLineNumbers w:val="0"/>
              <w:adjustRightInd w:val="0"/>
              <w:snapToGrid w:val="0"/>
              <w:jc w:val="center"/>
              <w:textAlignment w:val="center"/>
              <w:rPr>
                <w:rFonts w:ascii="Times New Roman Bold" w:hAnsi="Times New Roman Bold" w:eastAsia="宋体" w:cs="Times New Roman Bold"/>
                <w:b w:val="0"/>
                <w:bCs/>
                <w:color w:val="000000"/>
                <w:kern w:val="0"/>
                <w:sz w:val="21"/>
                <w:szCs w:val="21"/>
                <w:u w:val="none"/>
                <w:lang w:val="en-US" w:eastAsia="zh-CN" w:bidi="ar"/>
              </w:rPr>
            </w:pPr>
            <w:r>
              <w:rPr>
                <w:rFonts w:ascii="Times New Roman Bold" w:hAnsi="Times New Roman Bold" w:eastAsia="宋体" w:cs="Times New Roman Bold"/>
                <w:b w:val="0"/>
                <w:bCs/>
                <w:color w:val="000000"/>
                <w:kern w:val="0"/>
                <w:sz w:val="21"/>
                <w:szCs w:val="21"/>
                <w:u w:val="none"/>
                <w:lang w:val="en-US" w:eastAsia="zh-CN" w:bidi="ar"/>
              </w:rPr>
              <w:t>Max-eigen statistic</w:t>
            </w:r>
          </w:p>
        </w:tc>
        <w:tc>
          <w:tcPr>
            <w:tcW w:w="0" w:type="auto"/>
            <w:tcBorders>
              <w:top w:val="single" w:color="000000" w:sz="12" w:space="0"/>
              <w:bottom w:val="single" w:color="000000" w:sz="4" w:space="0"/>
            </w:tcBorders>
            <w:shd w:val="clear" w:color="auto" w:fill="FFFFFF"/>
            <w:vAlign w:val="center"/>
          </w:tcPr>
          <w:p w14:paraId="536BDBF2">
            <w:pPr>
              <w:keepNext w:val="0"/>
              <w:keepLines w:val="0"/>
              <w:widowControl/>
              <w:suppressLineNumbers w:val="0"/>
              <w:adjustRightInd w:val="0"/>
              <w:snapToGrid w:val="0"/>
              <w:jc w:val="center"/>
              <w:textAlignment w:val="center"/>
              <w:rPr>
                <w:rFonts w:ascii="Times New Roman Bold" w:hAnsi="Times New Roman Bold" w:eastAsia="宋体" w:cs="Times New Roman Bold"/>
                <w:b w:val="0"/>
                <w:bCs/>
                <w:color w:val="000000"/>
                <w:kern w:val="0"/>
                <w:sz w:val="21"/>
                <w:szCs w:val="21"/>
                <w:u w:val="none"/>
                <w:lang w:val="en-US" w:eastAsia="zh-CN" w:bidi="ar"/>
              </w:rPr>
            </w:pPr>
            <w:r>
              <w:rPr>
                <w:rFonts w:ascii="Times New Roman Bold" w:hAnsi="Times New Roman Bold" w:eastAsia="宋体" w:cs="Times New Roman Bold"/>
                <w:b w:val="0"/>
                <w:bCs/>
                <w:color w:val="000000"/>
                <w:kern w:val="0"/>
                <w:sz w:val="21"/>
                <w:szCs w:val="21"/>
                <w:u w:val="none"/>
                <w:lang w:val="en-US" w:eastAsia="zh-CN" w:bidi="ar"/>
              </w:rPr>
              <w:t>5% critical value</w:t>
            </w:r>
          </w:p>
        </w:tc>
        <w:tc>
          <w:tcPr>
            <w:tcW w:w="0" w:type="auto"/>
            <w:tcBorders>
              <w:top w:val="single" w:color="000000" w:sz="12" w:space="0"/>
              <w:bottom w:val="single" w:color="000000" w:sz="4" w:space="0"/>
            </w:tcBorders>
            <w:shd w:val="clear" w:color="auto" w:fill="FFFFFF"/>
            <w:vAlign w:val="center"/>
          </w:tcPr>
          <w:p w14:paraId="1874206A">
            <w:pPr>
              <w:keepNext w:val="0"/>
              <w:keepLines w:val="0"/>
              <w:widowControl/>
              <w:suppressLineNumbers w:val="0"/>
              <w:adjustRightInd w:val="0"/>
              <w:snapToGrid w:val="0"/>
              <w:jc w:val="center"/>
              <w:textAlignment w:val="center"/>
              <w:rPr>
                <w:rFonts w:ascii="Times New Roman Bold" w:hAnsi="Times New Roman Bold" w:eastAsia="宋体" w:cs="Times New Roman Bold"/>
                <w:b w:val="0"/>
                <w:bCs/>
                <w:color w:val="000000"/>
                <w:kern w:val="0"/>
                <w:sz w:val="21"/>
                <w:szCs w:val="21"/>
                <w:u w:val="none"/>
                <w:lang w:val="en-US" w:eastAsia="zh-CN" w:bidi="ar"/>
              </w:rPr>
            </w:pPr>
            <w:r>
              <w:rPr>
                <w:rFonts w:hint="eastAsia" w:ascii="Times New Roman Bold" w:hAnsi="Times New Roman Bold" w:eastAsia="宋体" w:cs="Times New Roman Bold"/>
                <w:b w:val="0"/>
                <w:bCs/>
                <w:color w:val="000000"/>
                <w:kern w:val="0"/>
                <w:sz w:val="21"/>
                <w:szCs w:val="21"/>
                <w:u w:val="none"/>
                <w:lang w:val="en-US" w:eastAsia="zh-CN" w:bidi="ar"/>
              </w:rPr>
              <w:t>Test decision</w:t>
            </w:r>
          </w:p>
        </w:tc>
      </w:tr>
      <w:tr w14:paraId="1D8AC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single" w:color="000000" w:sz="4" w:space="0"/>
            </w:tcBorders>
            <w:shd w:val="clear" w:color="auto" w:fill="FFFFFF"/>
            <w:vAlign w:val="center"/>
          </w:tcPr>
          <w:p w14:paraId="398713E5">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r</w:t>
            </w:r>
            <w:r>
              <w:rPr>
                <w:rFonts w:hint="eastAsia" w:ascii="Times New Roman Regular" w:hAnsi="Times New Roman Regular" w:eastAsia="宋体" w:cs="Times New Roman Regular"/>
                <w:color w:val="000000"/>
                <w:kern w:val="0"/>
                <w:sz w:val="21"/>
                <w:szCs w:val="21"/>
                <w:u w:val="none"/>
                <w:lang w:val="en-US" w:eastAsia="zh-CN" w:bidi="ar"/>
              </w:rPr>
              <w:t>=</w:t>
            </w:r>
            <w:r>
              <w:rPr>
                <w:rFonts w:ascii="Times New Roman Regular" w:hAnsi="Times New Roman Regular" w:eastAsia="宋体" w:cs="Times New Roman Regular"/>
                <w:color w:val="000000"/>
                <w:kern w:val="0"/>
                <w:sz w:val="21"/>
                <w:szCs w:val="21"/>
                <w:u w:val="none"/>
                <w:lang w:val="en-US" w:eastAsia="zh-CN" w:bidi="ar"/>
              </w:rPr>
              <w:t>0</w:t>
            </w:r>
          </w:p>
        </w:tc>
        <w:tc>
          <w:tcPr>
            <w:tcW w:w="0" w:type="auto"/>
            <w:tcBorders>
              <w:top w:val="single" w:color="000000" w:sz="4" w:space="0"/>
            </w:tcBorders>
            <w:shd w:val="clear" w:color="auto" w:fill="FFFFFF"/>
            <w:vAlign w:val="center"/>
          </w:tcPr>
          <w:p w14:paraId="1CA5B37D">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38.773</w:t>
            </w:r>
          </w:p>
        </w:tc>
        <w:tc>
          <w:tcPr>
            <w:tcW w:w="0" w:type="auto"/>
            <w:tcBorders>
              <w:top w:val="single" w:color="000000" w:sz="4" w:space="0"/>
            </w:tcBorders>
            <w:shd w:val="clear" w:color="auto" w:fill="FFFFFF"/>
            <w:vAlign w:val="center"/>
          </w:tcPr>
          <w:p w14:paraId="7FB5137D">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29.796</w:t>
            </w:r>
          </w:p>
        </w:tc>
        <w:tc>
          <w:tcPr>
            <w:tcW w:w="0" w:type="auto"/>
            <w:tcBorders>
              <w:top w:val="single" w:color="000000" w:sz="4" w:space="0"/>
            </w:tcBorders>
            <w:shd w:val="clear" w:color="auto" w:fill="FFFFFF"/>
            <w:vAlign w:val="center"/>
          </w:tcPr>
          <w:p w14:paraId="5F078E1A">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27.317</w:t>
            </w:r>
          </w:p>
        </w:tc>
        <w:tc>
          <w:tcPr>
            <w:tcW w:w="0" w:type="auto"/>
            <w:tcBorders>
              <w:top w:val="single" w:color="000000" w:sz="4" w:space="0"/>
            </w:tcBorders>
            <w:shd w:val="clear" w:color="auto" w:fill="FFFFFF"/>
            <w:vAlign w:val="center"/>
          </w:tcPr>
          <w:p w14:paraId="217B0E10">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21.131</w:t>
            </w:r>
          </w:p>
        </w:tc>
        <w:tc>
          <w:tcPr>
            <w:tcW w:w="0" w:type="auto"/>
            <w:tcBorders>
              <w:top w:val="single" w:color="000000" w:sz="4" w:space="0"/>
            </w:tcBorders>
            <w:shd w:val="clear" w:color="auto" w:fill="FFFFFF"/>
            <w:vAlign w:val="center"/>
          </w:tcPr>
          <w:p w14:paraId="40D998EA">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hint="eastAsia" w:ascii="Times New Roman Regular" w:hAnsi="Times New Roman Regular" w:eastAsia="宋体" w:cs="Times New Roman Regular"/>
                <w:color w:val="000000"/>
                <w:kern w:val="0"/>
                <w:sz w:val="21"/>
                <w:szCs w:val="21"/>
                <w:u w:val="none"/>
                <w:lang w:val="en-US" w:eastAsia="zh-CN" w:bidi="ar"/>
              </w:rPr>
              <w:t>Reject</w:t>
            </w:r>
            <w:r>
              <w:rPr>
                <w:rFonts w:hint="eastAsia" w:ascii="Times New Roman Regular" w:hAnsi="Times New Roman Regular" w:eastAsia="宋体" w:cs="Times New Roman Regular"/>
                <w:i w:val="0"/>
                <w:iCs w:val="0"/>
                <w:color w:val="000000"/>
                <w:kern w:val="0"/>
                <w:sz w:val="21"/>
                <w:szCs w:val="21"/>
                <w:u w:val="none"/>
                <w:lang w:val="en-US" w:eastAsia="zh-CN" w:bidi="ar"/>
              </w:rPr>
              <w:t xml:space="preserve"> </w:t>
            </w:r>
            <m:oMath>
              <m:sSub>
                <m:sSubPr>
                  <m:ctrlPr>
                    <w:rPr>
                      <w:rFonts w:ascii="Cambria Math" w:hAnsi="Cambria Math" w:cs="Times New Roman Regular"/>
                      <w:i w:val="0"/>
                      <w:iCs w:val="0"/>
                      <w:color w:val="000000"/>
                      <w:kern w:val="0"/>
                      <w:sz w:val="21"/>
                      <w:szCs w:val="21"/>
                      <w:u w:val="none"/>
                      <w:lang w:val="en-US" w:bidi="ar"/>
                    </w:rPr>
                  </m:ctrlPr>
                </m:sSubPr>
                <m:e>
                  <m:r>
                    <m:rPr>
                      <m:sty m:val="p"/>
                    </m:rPr>
                    <w:rPr>
                      <w:rFonts w:hint="default" w:ascii="Cambria Math" w:hAnsi="Cambria Math" w:eastAsia="宋体" w:cs="Times New Roman Regular"/>
                      <w:color w:val="000000"/>
                      <w:kern w:val="0"/>
                      <w:sz w:val="21"/>
                      <w:szCs w:val="21"/>
                      <w:u w:val="none"/>
                      <w:lang w:val="en-US" w:eastAsia="zh-CN" w:bidi="ar"/>
                    </w:rPr>
                    <m:t>H</m:t>
                  </m:r>
                  <m:ctrlPr>
                    <w:rPr>
                      <w:rFonts w:ascii="Cambria Math" w:hAnsi="Cambria Math" w:cs="Times New Roman Regular"/>
                      <w:i w:val="0"/>
                      <w:iCs w:val="0"/>
                      <w:color w:val="000000"/>
                      <w:kern w:val="0"/>
                      <w:sz w:val="21"/>
                      <w:szCs w:val="21"/>
                      <w:u w:val="none"/>
                      <w:lang w:val="en-US" w:bidi="ar"/>
                    </w:rPr>
                  </m:ctrlPr>
                </m:e>
                <m:sub>
                  <m:r>
                    <m:rPr>
                      <m:sty m:val="p"/>
                    </m:rPr>
                    <w:rPr>
                      <w:rFonts w:hint="default" w:ascii="Cambria Math" w:hAnsi="Cambria Math" w:eastAsia="宋体" w:cs="Times New Roman Regular"/>
                      <w:color w:val="000000"/>
                      <w:kern w:val="0"/>
                      <w:sz w:val="21"/>
                      <w:szCs w:val="21"/>
                      <w:u w:val="none"/>
                      <w:lang w:val="en-US" w:eastAsia="zh-CN" w:bidi="ar"/>
                    </w:rPr>
                    <m:t>0</m:t>
                  </m:r>
                  <m:ctrlPr>
                    <w:rPr>
                      <w:rFonts w:ascii="Cambria Math" w:hAnsi="Cambria Math" w:cs="Times New Roman Regular"/>
                      <w:i w:val="0"/>
                      <w:iCs w:val="0"/>
                      <w:color w:val="000000"/>
                      <w:kern w:val="0"/>
                      <w:sz w:val="21"/>
                      <w:szCs w:val="21"/>
                      <w:u w:val="none"/>
                      <w:lang w:val="en-US" w:bidi="ar"/>
                    </w:rPr>
                  </m:ctrlPr>
                </m:sub>
              </m:sSub>
              <m:r>
                <m:rPr>
                  <m:sty m:val="p"/>
                </m:rPr>
                <w:rPr>
                  <w:rFonts w:hint="default" w:ascii="Cambria Math" w:hAnsi="Cambria Math" w:eastAsia="宋体" w:cs="Times New Roman Regular"/>
                  <w:color w:val="000000"/>
                  <w:kern w:val="0"/>
                  <w:sz w:val="21"/>
                  <w:szCs w:val="21"/>
                  <w:u w:val="none"/>
                  <w:lang w:val="en-US" w:eastAsia="zh-CN" w:bidi="ar"/>
                </w:rPr>
                <m:t>(r=0)</m:t>
              </m:r>
            </m:oMath>
          </w:p>
        </w:tc>
      </w:tr>
      <w:tr w14:paraId="691FF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bottom w:val="single" w:color="000000" w:sz="12" w:space="0"/>
            </w:tcBorders>
            <w:shd w:val="clear" w:color="auto" w:fill="FFFFFF"/>
            <w:vAlign w:val="center"/>
          </w:tcPr>
          <w:p w14:paraId="5BC2521A">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r ≤ 1</w:t>
            </w:r>
          </w:p>
        </w:tc>
        <w:tc>
          <w:tcPr>
            <w:tcW w:w="0" w:type="auto"/>
            <w:tcBorders>
              <w:bottom w:val="single" w:color="000000" w:sz="12" w:space="0"/>
            </w:tcBorders>
            <w:shd w:val="clear" w:color="auto" w:fill="FFFFFF"/>
            <w:vAlign w:val="center"/>
          </w:tcPr>
          <w:p w14:paraId="6692AFC7">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11.456</w:t>
            </w:r>
          </w:p>
        </w:tc>
        <w:tc>
          <w:tcPr>
            <w:tcW w:w="0" w:type="auto"/>
            <w:tcBorders>
              <w:bottom w:val="single" w:color="000000" w:sz="12" w:space="0"/>
            </w:tcBorders>
            <w:shd w:val="clear" w:color="auto" w:fill="FFFFFF"/>
            <w:vAlign w:val="center"/>
          </w:tcPr>
          <w:p w14:paraId="197D5630">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15.494</w:t>
            </w:r>
          </w:p>
        </w:tc>
        <w:tc>
          <w:tcPr>
            <w:tcW w:w="0" w:type="auto"/>
            <w:tcBorders>
              <w:bottom w:val="single" w:color="000000" w:sz="12" w:space="0"/>
            </w:tcBorders>
            <w:shd w:val="clear" w:color="auto" w:fill="FFFFFF"/>
            <w:vAlign w:val="center"/>
          </w:tcPr>
          <w:p w14:paraId="2BBD89DB">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7.459</w:t>
            </w:r>
          </w:p>
        </w:tc>
        <w:tc>
          <w:tcPr>
            <w:tcW w:w="0" w:type="auto"/>
            <w:tcBorders>
              <w:bottom w:val="single" w:color="000000" w:sz="12" w:space="0"/>
            </w:tcBorders>
            <w:shd w:val="clear" w:color="auto" w:fill="FFFFFF"/>
            <w:vAlign w:val="center"/>
          </w:tcPr>
          <w:p w14:paraId="5AA3926F">
            <w:pPr>
              <w:keepNext w:val="0"/>
              <w:keepLines w:val="0"/>
              <w:widowControl/>
              <w:suppressLineNumbers w:val="0"/>
              <w:adjustRightInd w:val="0"/>
              <w:snapToGrid w:val="0"/>
              <w:jc w:val="center"/>
              <w:textAlignment w:val="center"/>
              <w:rPr>
                <w:rFonts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14.264</w:t>
            </w:r>
          </w:p>
        </w:tc>
        <w:tc>
          <w:tcPr>
            <w:tcW w:w="0" w:type="auto"/>
            <w:tcBorders>
              <w:bottom w:val="single" w:color="000000" w:sz="12" w:space="0"/>
            </w:tcBorders>
            <w:shd w:val="clear" w:color="auto" w:fill="FFFFFF"/>
            <w:vAlign w:val="center"/>
          </w:tcPr>
          <w:p w14:paraId="7C3C26A3">
            <w:pPr>
              <w:keepNext w:val="0"/>
              <w:keepLines w:val="0"/>
              <w:widowControl/>
              <w:suppressLineNumbers w:val="0"/>
              <w:adjustRightInd w:val="0"/>
              <w:snapToGrid w:val="0"/>
              <w:jc w:val="center"/>
              <w:textAlignment w:val="center"/>
              <w:rPr>
                <w:rFonts w:hint="default" w:ascii="Times New Roman Regular" w:hAnsi="Times New Roman Regular" w:eastAsia="宋体" w:cs="Times New Roman Regular"/>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Do not reject</w:t>
            </w:r>
            <w:r>
              <w:rPr>
                <w:rFonts w:hint="eastAsia" w:ascii="Times New Roman Regular" w:hAnsi="Times New Roman Regular" w:eastAsia="宋体" w:cs="Times New Roman Regular"/>
                <w:color w:val="000000"/>
                <w:kern w:val="0"/>
                <w:sz w:val="21"/>
                <w:szCs w:val="21"/>
                <w:u w:val="none"/>
                <w:lang w:val="en-US" w:eastAsia="zh-CN" w:bidi="ar"/>
              </w:rPr>
              <w:t xml:space="preserve"> </w:t>
            </w:r>
            <m:oMath>
              <m:sSub>
                <m:sSubPr>
                  <m:ctrlPr>
                    <w:rPr>
                      <w:rFonts w:ascii="Cambria Math" w:hAnsi="Cambria Math" w:cs="Times New Roman Regular"/>
                      <w:i w:val="0"/>
                      <w:iCs w:val="0"/>
                      <w:color w:val="000000"/>
                      <w:kern w:val="0"/>
                      <w:sz w:val="21"/>
                      <w:szCs w:val="21"/>
                      <w:u w:val="none"/>
                      <w:lang w:val="en-US" w:bidi="ar"/>
                    </w:rPr>
                  </m:ctrlPr>
                </m:sSubPr>
                <m:e>
                  <m:r>
                    <m:rPr>
                      <m:sty m:val="p"/>
                    </m:rPr>
                    <w:rPr>
                      <w:rFonts w:hint="default" w:ascii="Cambria Math" w:hAnsi="Cambria Math" w:eastAsia="宋体" w:cs="Times New Roman Regular"/>
                      <w:color w:val="000000"/>
                      <w:kern w:val="0"/>
                      <w:sz w:val="21"/>
                      <w:szCs w:val="21"/>
                      <w:u w:val="none"/>
                      <w:lang w:val="en-US" w:eastAsia="zh-CN" w:bidi="ar"/>
                    </w:rPr>
                    <m:t>H</m:t>
                  </m:r>
                  <m:ctrlPr>
                    <w:rPr>
                      <w:rFonts w:ascii="Cambria Math" w:hAnsi="Cambria Math" w:cs="Times New Roman Regular"/>
                      <w:i w:val="0"/>
                      <w:iCs w:val="0"/>
                      <w:color w:val="000000"/>
                      <w:kern w:val="0"/>
                      <w:sz w:val="21"/>
                      <w:szCs w:val="21"/>
                      <w:u w:val="none"/>
                      <w:lang w:val="en-US" w:bidi="ar"/>
                    </w:rPr>
                  </m:ctrlPr>
                </m:e>
                <m:sub>
                  <m:r>
                    <m:rPr>
                      <m:sty m:val="p"/>
                    </m:rPr>
                    <w:rPr>
                      <w:rFonts w:hint="default" w:ascii="Cambria Math" w:hAnsi="Cambria Math" w:eastAsia="宋体" w:cs="Times New Roman Regular"/>
                      <w:color w:val="000000"/>
                      <w:kern w:val="0"/>
                      <w:sz w:val="21"/>
                      <w:szCs w:val="21"/>
                      <w:u w:val="none"/>
                      <w:lang w:val="en-US" w:eastAsia="zh-CN" w:bidi="ar"/>
                    </w:rPr>
                    <m:t>0</m:t>
                  </m:r>
                  <m:ctrlPr>
                    <w:rPr>
                      <w:rFonts w:ascii="Cambria Math" w:hAnsi="Cambria Math" w:cs="Times New Roman Regular"/>
                      <w:i w:val="0"/>
                      <w:iCs w:val="0"/>
                      <w:color w:val="000000"/>
                      <w:kern w:val="0"/>
                      <w:sz w:val="21"/>
                      <w:szCs w:val="21"/>
                      <w:u w:val="none"/>
                      <w:lang w:val="en-US" w:bidi="ar"/>
                    </w:rPr>
                  </m:ctrlPr>
                </m:sub>
              </m:sSub>
              <m:r>
                <m:rPr>
                  <m:sty m:val="p"/>
                </m:rPr>
                <w:rPr>
                  <w:rFonts w:hint="default" w:ascii="Cambria Math" w:hAnsi="Cambria Math" w:eastAsia="宋体" w:cs="Times New Roman Regular"/>
                  <w:color w:val="000000"/>
                  <w:kern w:val="0"/>
                  <w:sz w:val="21"/>
                  <w:szCs w:val="21"/>
                  <w:u w:val="none"/>
                  <w:lang w:val="en-US" w:eastAsia="zh-CN" w:bidi="ar"/>
                </w:rPr>
                <m:t>(r</m:t>
              </m:r>
              <m:r>
                <m:rPr>
                  <m:sty m:val="p"/>
                </m:rPr>
                <w:rPr>
                  <w:rFonts w:ascii="Cambria Math" w:hAnsi="Cambria Math" w:cs="Times New Roman Regular"/>
                  <w:color w:val="000000"/>
                  <w:kern w:val="0"/>
                  <w:sz w:val="21"/>
                  <w:szCs w:val="21"/>
                  <w:u w:val="none"/>
                  <w:lang w:val="en-US" w:bidi="ar"/>
                </w:rPr>
                <m:t>≤</m:t>
              </m:r>
              <m:r>
                <m:rPr>
                  <m:sty m:val="p"/>
                </m:rPr>
                <w:rPr>
                  <w:rFonts w:hint="default" w:ascii="Cambria Math" w:hAnsi="Cambria Math" w:eastAsia="宋体" w:cs="Times New Roman Regular"/>
                  <w:color w:val="000000"/>
                  <w:kern w:val="0"/>
                  <w:sz w:val="21"/>
                  <w:szCs w:val="21"/>
                  <w:u w:val="none"/>
                  <w:lang w:val="en-US" w:eastAsia="zh-CN" w:bidi="ar"/>
                </w:rPr>
                <m:t>1)</m:t>
              </m:r>
            </m:oMath>
          </w:p>
        </w:tc>
      </w:tr>
    </w:tbl>
    <w:p w14:paraId="520E6AB8">
      <w:pPr>
        <w:widowControl/>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val="0"/>
          <w:bCs w:val="0"/>
          <w:kern w:val="0"/>
          <w:sz w:val="24"/>
          <w:szCs w:val="24"/>
          <w:rtl w:val="0"/>
          <w:lang/>
        </w:rPr>
      </w:pPr>
      <w:r>
        <w:rPr>
          <w:rFonts w:hint="eastAsia" w:ascii="Times New Roman" w:hAnsi="Times New Roman" w:eastAsia="Times New Roman" w:cs="Times New Roman"/>
          <w:kern w:val="0"/>
          <w:sz w:val="24"/>
          <w:szCs w:val="24"/>
          <w:lang w:val="en-US" w:eastAsia="zh-CN" w:bidi="ar"/>
        </w:rPr>
        <w:t>Notes: The Johansen diagnostic is conducted for the central fiscal, provincial fiscal, and enterprise-side expenditure series using a constant deterministic specification and no additional lagged differences because of the limited annual sample. Results are reported for descriptive completeness only and should be interpreted cautiously given the low statistical power of conventional unit-root and cointegration tests in such short time series.</w:t>
      </w:r>
    </w:p>
    <w:p w14:paraId="1AD22A19">
      <w:pPr>
        <w:jc w:val="left"/>
        <w:rPr>
          <w:rFonts w:ascii="Times New Roman" w:hAnsi="Times New Roman" w:eastAsia="Times New Roman" w:cs="Times New Roman"/>
          <w:b/>
          <w:bCs/>
          <w:kern w:val="0"/>
          <w:sz w:val="24"/>
          <w:szCs w:val="24"/>
          <w:rtl w:val="0"/>
          <w:lang/>
        </w:rPr>
      </w:pPr>
      <w:r>
        <w:rPr>
          <w:rFonts w:ascii="Times New Roman" w:hAnsi="Times New Roman" w:eastAsia="Times New Roman" w:cs="Times New Roman"/>
          <w:b/>
          <w:bCs/>
          <w:kern w:val="0"/>
          <w:sz w:val="24"/>
          <w:szCs w:val="24"/>
          <w:rtl w:val="0"/>
          <w:lang/>
        </w:rPr>
        <w:br w:type="page"/>
      </w:r>
    </w:p>
    <w:p w14:paraId="00000014">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lang/>
        </w:rPr>
      </w:pPr>
      <w:r>
        <w:rPr>
          <w:rFonts w:ascii="Times New Roman" w:hAnsi="Times New Roman" w:eastAsia="Times New Roman" w:cs="Times New Roman"/>
          <w:b/>
          <w:bCs/>
          <w:kern w:val="0"/>
          <w:sz w:val="24"/>
          <w:szCs w:val="24"/>
          <w:rtl w:val="0"/>
          <w:lang/>
        </w:rPr>
        <w:t>S</w:t>
      </w:r>
      <w:r>
        <w:rPr>
          <w:rFonts w:hint="eastAsia" w:ascii="Times New Roman" w:hAnsi="Times New Roman" w:eastAsia="宋体" w:cs="Times New Roman"/>
          <w:b/>
          <w:bCs/>
          <w:kern w:val="0"/>
          <w:sz w:val="24"/>
          <w:szCs w:val="24"/>
          <w:rtl w:val="0"/>
          <w:lang w:val="en-US" w:eastAsia="zh-CN"/>
        </w:rPr>
        <w:t>2</w:t>
      </w:r>
      <w:r>
        <w:rPr>
          <w:rFonts w:ascii="Times New Roman" w:hAnsi="Times New Roman" w:eastAsia="Times New Roman" w:cs="Times New Roman"/>
          <w:b/>
          <w:bCs/>
          <w:kern w:val="0"/>
          <w:sz w:val="24"/>
          <w:szCs w:val="24"/>
          <w:rtl w:val="0"/>
          <w:lang/>
        </w:rPr>
        <w:t xml:space="preserve"> Table. </w:t>
      </w:r>
      <w:r>
        <w:rPr>
          <w:rFonts w:hint="eastAsia" w:ascii="Times New Roman" w:hAnsi="Times New Roman" w:eastAsia="Times New Roman" w:cs="Times New Roman"/>
          <w:b/>
          <w:bCs/>
          <w:kern w:val="0"/>
          <w:sz w:val="24"/>
          <w:szCs w:val="24"/>
          <w:rtl w:val="0"/>
          <w:lang/>
        </w:rPr>
        <w:t>Leave-one-out estimates for the primary specification</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4"/>
        <w:gridCol w:w="782"/>
        <w:gridCol w:w="1272"/>
        <w:gridCol w:w="1253"/>
        <w:gridCol w:w="911"/>
        <w:gridCol w:w="1321"/>
        <w:gridCol w:w="968"/>
        <w:gridCol w:w="1208"/>
        <w:gridCol w:w="957"/>
      </w:tblGrid>
      <w:tr w14:paraId="7A86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472" w:type="pct"/>
            <w:tcBorders>
              <w:top w:val="single" w:color="000000" w:sz="12" w:space="0"/>
              <w:left w:val="nil"/>
              <w:bottom w:val="single" w:color="000000" w:sz="4" w:space="0"/>
              <w:right w:val="nil"/>
              <w:tl2br w:val="nil"/>
            </w:tcBorders>
            <w:shd w:val="clear" w:color="auto" w:fill="FFFFFF"/>
            <w:noWrap/>
            <w:vAlign w:val="center"/>
          </w:tcPr>
          <w:p w14:paraId="15CF66E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Excluded Year</w:t>
            </w:r>
          </w:p>
        </w:tc>
        <w:tc>
          <w:tcPr>
            <w:tcW w:w="408" w:type="pct"/>
            <w:tcBorders>
              <w:top w:val="single" w:color="000000" w:sz="12" w:space="0"/>
              <w:left w:val="nil"/>
              <w:bottom w:val="single" w:color="000000" w:sz="4" w:space="0"/>
              <w:right w:val="nil"/>
            </w:tcBorders>
            <w:shd w:val="clear" w:color="auto" w:fill="FFFFFF"/>
            <w:noWrap/>
            <w:vAlign w:val="center"/>
          </w:tcPr>
          <w:p w14:paraId="2042565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Observations (N)</w:t>
            </w:r>
          </w:p>
        </w:tc>
        <w:tc>
          <w:tcPr>
            <w:tcW w:w="664" w:type="pct"/>
            <w:tcBorders>
              <w:top w:val="single" w:color="000000" w:sz="12" w:space="0"/>
              <w:left w:val="nil"/>
              <w:bottom w:val="single" w:color="000000" w:sz="4" w:space="0"/>
              <w:right w:val="nil"/>
            </w:tcBorders>
            <w:shd w:val="clear" w:color="auto" w:fill="FFFFFF"/>
            <w:noWrap/>
            <w:vAlign w:val="center"/>
          </w:tcPr>
          <w:p w14:paraId="0DBC987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Coeff. (Lagged Price)</w:t>
            </w:r>
          </w:p>
        </w:tc>
        <w:tc>
          <w:tcPr>
            <w:tcW w:w="654" w:type="pct"/>
            <w:tcBorders>
              <w:top w:val="single" w:color="000000" w:sz="12" w:space="0"/>
              <w:left w:val="nil"/>
              <w:bottom w:val="single" w:color="000000" w:sz="4" w:space="0"/>
              <w:right w:val="nil"/>
            </w:tcBorders>
            <w:shd w:val="clear" w:color="auto" w:fill="FFFFFF"/>
            <w:noWrap/>
            <w:vAlign w:val="center"/>
          </w:tcPr>
          <w:p w14:paraId="5BAB91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SE (Lagged Price)</w:t>
            </w:r>
          </w:p>
        </w:tc>
        <w:tc>
          <w:tcPr>
            <w:tcW w:w="475" w:type="pct"/>
            <w:tcBorders>
              <w:top w:val="single" w:color="000000" w:sz="12" w:space="0"/>
              <w:left w:val="nil"/>
              <w:bottom w:val="single" w:color="000000" w:sz="4" w:space="0"/>
              <w:right w:val="nil"/>
            </w:tcBorders>
            <w:shd w:val="clear" w:color="auto" w:fill="FFFFFF"/>
            <w:noWrap/>
            <w:vAlign w:val="center"/>
          </w:tcPr>
          <w:p w14:paraId="310E95E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P-value (Lagged Price)</w:t>
            </w:r>
          </w:p>
        </w:tc>
        <w:tc>
          <w:tcPr>
            <w:tcW w:w="689" w:type="pct"/>
            <w:tcBorders>
              <w:top w:val="single" w:color="000000" w:sz="12" w:space="0"/>
              <w:left w:val="nil"/>
              <w:bottom w:val="single" w:color="000000" w:sz="4" w:space="0"/>
              <w:right w:val="nil"/>
            </w:tcBorders>
            <w:shd w:val="clear" w:color="auto" w:fill="FFFFFF"/>
            <w:noWrap/>
            <w:vAlign w:val="center"/>
          </w:tcPr>
          <w:p w14:paraId="1180255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Coeff. (Time Trend)</w:t>
            </w:r>
          </w:p>
        </w:tc>
        <w:tc>
          <w:tcPr>
            <w:tcW w:w="505" w:type="pct"/>
            <w:tcBorders>
              <w:top w:val="single" w:color="000000" w:sz="12" w:space="0"/>
              <w:left w:val="nil"/>
              <w:bottom w:val="single" w:color="000000" w:sz="4" w:space="0"/>
              <w:right w:val="nil"/>
            </w:tcBorders>
            <w:shd w:val="clear" w:color="auto" w:fill="FFFFFF"/>
            <w:noWrap/>
            <w:vAlign w:val="center"/>
          </w:tcPr>
          <w:p w14:paraId="0DB2FF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SE (Time Trend)</w:t>
            </w:r>
          </w:p>
        </w:tc>
        <w:tc>
          <w:tcPr>
            <w:tcW w:w="630" w:type="pct"/>
            <w:tcBorders>
              <w:top w:val="single" w:color="000000" w:sz="12" w:space="0"/>
              <w:left w:val="nil"/>
              <w:bottom w:val="single" w:color="000000" w:sz="4" w:space="0"/>
              <w:right w:val="nil"/>
            </w:tcBorders>
            <w:shd w:val="clear" w:color="auto" w:fill="FFFFFF"/>
            <w:noWrap/>
            <w:vAlign w:val="center"/>
          </w:tcPr>
          <w:p w14:paraId="6DBBBC5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P-value (Time Trend)</w:t>
            </w:r>
          </w:p>
        </w:tc>
        <w:tc>
          <w:tcPr>
            <w:tcW w:w="499" w:type="pct"/>
            <w:tcBorders>
              <w:top w:val="single" w:color="000000" w:sz="12" w:space="0"/>
              <w:left w:val="nil"/>
              <w:bottom w:val="single" w:color="000000" w:sz="4" w:space="0"/>
              <w:right w:val="nil"/>
            </w:tcBorders>
            <w:shd w:val="clear" w:color="auto" w:fill="FFFFFF"/>
            <w:noWrap/>
            <w:vAlign w:val="center"/>
          </w:tcPr>
          <w:p w14:paraId="2B98ADA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R-squared</w:t>
            </w:r>
          </w:p>
        </w:tc>
      </w:tr>
      <w:tr w14:paraId="313EB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472" w:type="pct"/>
            <w:tcBorders>
              <w:top w:val="single" w:color="000000" w:sz="4" w:space="0"/>
              <w:left w:val="nil"/>
              <w:bottom w:val="nil"/>
              <w:right w:val="nil"/>
            </w:tcBorders>
            <w:shd w:val="clear" w:color="auto" w:fill="FFFFFF"/>
            <w:noWrap/>
            <w:vAlign w:val="center"/>
          </w:tcPr>
          <w:p w14:paraId="2C74CE2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2016</w:t>
            </w:r>
          </w:p>
        </w:tc>
        <w:tc>
          <w:tcPr>
            <w:tcW w:w="408" w:type="pct"/>
            <w:tcBorders>
              <w:top w:val="single" w:color="000000" w:sz="4" w:space="0"/>
              <w:left w:val="nil"/>
              <w:bottom w:val="nil"/>
              <w:right w:val="nil"/>
            </w:tcBorders>
            <w:shd w:val="clear" w:color="auto" w:fill="FFFFFF"/>
            <w:noWrap/>
            <w:vAlign w:val="center"/>
          </w:tcPr>
          <w:p w14:paraId="388C702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single" w:color="000000" w:sz="4" w:space="0"/>
              <w:left w:val="nil"/>
              <w:bottom w:val="nil"/>
              <w:right w:val="nil"/>
            </w:tcBorders>
            <w:shd w:val="clear" w:color="auto" w:fill="FFFFFF"/>
            <w:noWrap/>
            <w:vAlign w:val="center"/>
          </w:tcPr>
          <w:p w14:paraId="378B10B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-0.2018</w:t>
            </w:r>
          </w:p>
        </w:tc>
        <w:tc>
          <w:tcPr>
            <w:tcW w:w="654" w:type="pct"/>
            <w:tcBorders>
              <w:top w:val="single" w:color="000000" w:sz="4" w:space="0"/>
              <w:left w:val="nil"/>
              <w:bottom w:val="nil"/>
              <w:right w:val="nil"/>
            </w:tcBorders>
            <w:shd w:val="clear" w:color="auto" w:fill="FFFFFF"/>
            <w:noWrap/>
            <w:vAlign w:val="center"/>
          </w:tcPr>
          <w:p w14:paraId="60B8FC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0.0308</w:t>
            </w:r>
          </w:p>
        </w:tc>
        <w:tc>
          <w:tcPr>
            <w:tcW w:w="475" w:type="pct"/>
            <w:tcBorders>
              <w:top w:val="single" w:color="000000" w:sz="4" w:space="0"/>
              <w:left w:val="nil"/>
              <w:bottom w:val="nil"/>
              <w:right w:val="nil"/>
            </w:tcBorders>
            <w:shd w:val="clear" w:color="auto" w:fill="FFFFFF"/>
            <w:noWrap/>
            <w:vAlign w:val="center"/>
          </w:tcPr>
          <w:p w14:paraId="47F1E82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&lt;0.001</w:t>
            </w:r>
          </w:p>
        </w:tc>
        <w:tc>
          <w:tcPr>
            <w:tcW w:w="689" w:type="pct"/>
            <w:tcBorders>
              <w:top w:val="single" w:color="000000" w:sz="4" w:space="0"/>
              <w:left w:val="nil"/>
              <w:bottom w:val="nil"/>
              <w:right w:val="nil"/>
            </w:tcBorders>
            <w:shd w:val="clear" w:color="auto" w:fill="FFFFFF"/>
            <w:noWrap/>
            <w:vAlign w:val="center"/>
          </w:tcPr>
          <w:p w14:paraId="71C9876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0.0607</w:t>
            </w:r>
          </w:p>
        </w:tc>
        <w:tc>
          <w:tcPr>
            <w:tcW w:w="505" w:type="pct"/>
            <w:tcBorders>
              <w:top w:val="single" w:color="000000" w:sz="4" w:space="0"/>
              <w:left w:val="nil"/>
              <w:bottom w:val="nil"/>
              <w:right w:val="nil"/>
            </w:tcBorders>
            <w:shd w:val="clear" w:color="auto" w:fill="FFFFFF"/>
            <w:noWrap/>
            <w:vAlign w:val="center"/>
          </w:tcPr>
          <w:p w14:paraId="54BEC21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0.0115</w:t>
            </w:r>
          </w:p>
        </w:tc>
        <w:tc>
          <w:tcPr>
            <w:tcW w:w="630" w:type="pct"/>
            <w:tcBorders>
              <w:top w:val="single" w:color="000000" w:sz="4" w:space="0"/>
              <w:left w:val="nil"/>
              <w:bottom w:val="nil"/>
              <w:right w:val="nil"/>
            </w:tcBorders>
            <w:shd w:val="clear" w:color="auto" w:fill="FFFFFF"/>
            <w:noWrap/>
            <w:vAlign w:val="center"/>
          </w:tcPr>
          <w:p w14:paraId="21588E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ascii="Times New Roman Regular" w:hAnsi="Times New Roman Regular" w:eastAsia="宋体" w:cs="Times New Roman Regular"/>
                <w:color w:val="000000"/>
                <w:kern w:val="0"/>
                <w:sz w:val="21"/>
                <w:szCs w:val="21"/>
                <w:u w:val="none"/>
                <w:lang w:val="en-US" w:eastAsia="zh-CN" w:bidi="ar"/>
              </w:rPr>
              <w:t>&lt;0.001</w:t>
            </w:r>
          </w:p>
        </w:tc>
        <w:tc>
          <w:tcPr>
            <w:tcW w:w="499" w:type="pct"/>
            <w:tcBorders>
              <w:top w:val="single" w:color="000000" w:sz="4" w:space="0"/>
              <w:left w:val="nil"/>
              <w:bottom w:val="nil"/>
              <w:right w:val="nil"/>
            </w:tcBorders>
            <w:shd w:val="clear" w:color="auto" w:fill="FFFFFF"/>
            <w:noWrap/>
            <w:vAlign w:val="center"/>
          </w:tcPr>
          <w:p w14:paraId="6796DA6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0.6833</w:t>
            </w:r>
          </w:p>
        </w:tc>
      </w:tr>
      <w:tr w14:paraId="618C1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472" w:type="pct"/>
            <w:tcBorders>
              <w:top w:val="nil"/>
              <w:left w:val="nil"/>
              <w:bottom w:val="nil"/>
              <w:right w:val="nil"/>
            </w:tcBorders>
            <w:shd w:val="clear" w:color="auto" w:fill="FFFFFF"/>
            <w:noWrap/>
            <w:vAlign w:val="center"/>
          </w:tcPr>
          <w:p w14:paraId="3A68CCE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2017</w:t>
            </w:r>
          </w:p>
        </w:tc>
        <w:tc>
          <w:tcPr>
            <w:tcW w:w="408" w:type="pct"/>
            <w:tcBorders>
              <w:top w:val="nil"/>
              <w:left w:val="nil"/>
              <w:bottom w:val="nil"/>
              <w:right w:val="nil"/>
            </w:tcBorders>
            <w:shd w:val="clear" w:color="auto" w:fill="FFFFFF"/>
            <w:noWrap/>
            <w:vAlign w:val="center"/>
          </w:tcPr>
          <w:p w14:paraId="3AD2D73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nil"/>
              <w:right w:val="nil"/>
            </w:tcBorders>
            <w:shd w:val="clear" w:color="auto" w:fill="FFFFFF"/>
            <w:noWrap/>
            <w:vAlign w:val="center"/>
          </w:tcPr>
          <w:p w14:paraId="12DC7F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-0.1829</w:t>
            </w:r>
          </w:p>
        </w:tc>
        <w:tc>
          <w:tcPr>
            <w:tcW w:w="654" w:type="pct"/>
            <w:tcBorders>
              <w:top w:val="nil"/>
              <w:left w:val="nil"/>
              <w:bottom w:val="nil"/>
              <w:right w:val="nil"/>
            </w:tcBorders>
            <w:shd w:val="clear" w:color="auto" w:fill="FFFFFF"/>
            <w:noWrap/>
            <w:vAlign w:val="center"/>
          </w:tcPr>
          <w:p w14:paraId="7E6426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0.0348</w:t>
            </w:r>
          </w:p>
        </w:tc>
        <w:tc>
          <w:tcPr>
            <w:tcW w:w="475" w:type="pct"/>
            <w:tcBorders>
              <w:top w:val="nil"/>
              <w:left w:val="nil"/>
              <w:bottom w:val="nil"/>
              <w:right w:val="nil"/>
            </w:tcBorders>
            <w:shd w:val="clear" w:color="auto" w:fill="FFFFFF"/>
            <w:noWrap/>
            <w:vAlign w:val="center"/>
          </w:tcPr>
          <w:p w14:paraId="03BEA12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&lt;0.001</w:t>
            </w:r>
          </w:p>
        </w:tc>
        <w:tc>
          <w:tcPr>
            <w:tcW w:w="689" w:type="pct"/>
            <w:tcBorders>
              <w:top w:val="nil"/>
              <w:left w:val="nil"/>
              <w:bottom w:val="nil"/>
              <w:right w:val="nil"/>
            </w:tcBorders>
            <w:shd w:val="clear" w:color="auto" w:fill="FFFFFF"/>
            <w:noWrap/>
            <w:vAlign w:val="center"/>
          </w:tcPr>
          <w:p w14:paraId="50B34AC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0.0221</w:t>
            </w:r>
          </w:p>
        </w:tc>
        <w:tc>
          <w:tcPr>
            <w:tcW w:w="505" w:type="pct"/>
            <w:tcBorders>
              <w:top w:val="nil"/>
              <w:left w:val="nil"/>
              <w:bottom w:val="nil"/>
              <w:right w:val="nil"/>
            </w:tcBorders>
            <w:shd w:val="clear" w:color="auto" w:fill="FFFFFF"/>
            <w:noWrap/>
            <w:vAlign w:val="center"/>
          </w:tcPr>
          <w:p w14:paraId="32DFB38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0.0176</w:t>
            </w:r>
          </w:p>
        </w:tc>
        <w:tc>
          <w:tcPr>
            <w:tcW w:w="630" w:type="pct"/>
            <w:tcBorders>
              <w:top w:val="nil"/>
              <w:left w:val="nil"/>
              <w:bottom w:val="nil"/>
              <w:right w:val="nil"/>
            </w:tcBorders>
            <w:shd w:val="clear" w:color="auto" w:fill="FFFFFF"/>
            <w:noWrap/>
            <w:vAlign w:val="center"/>
          </w:tcPr>
          <w:p w14:paraId="22B844F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0.2099</w:t>
            </w:r>
          </w:p>
        </w:tc>
        <w:tc>
          <w:tcPr>
            <w:tcW w:w="499" w:type="pct"/>
            <w:tcBorders>
              <w:top w:val="nil"/>
              <w:left w:val="nil"/>
              <w:bottom w:val="nil"/>
              <w:right w:val="nil"/>
            </w:tcBorders>
            <w:shd w:val="clear" w:color="auto" w:fill="FFFFFF"/>
            <w:noWrap/>
            <w:vAlign w:val="center"/>
          </w:tcPr>
          <w:p w14:paraId="06A3046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0.4262</w:t>
            </w:r>
          </w:p>
        </w:tc>
      </w:tr>
      <w:tr w14:paraId="0755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472" w:type="pct"/>
            <w:tcBorders>
              <w:top w:val="nil"/>
              <w:left w:val="nil"/>
              <w:bottom w:val="nil"/>
              <w:right w:val="nil"/>
            </w:tcBorders>
            <w:shd w:val="clear" w:color="auto" w:fill="FFFFFF"/>
            <w:noWrap/>
            <w:vAlign w:val="center"/>
          </w:tcPr>
          <w:p w14:paraId="1D56451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2018</w:t>
            </w:r>
          </w:p>
        </w:tc>
        <w:tc>
          <w:tcPr>
            <w:tcW w:w="408" w:type="pct"/>
            <w:tcBorders>
              <w:top w:val="nil"/>
              <w:left w:val="nil"/>
              <w:bottom w:val="nil"/>
              <w:right w:val="nil"/>
            </w:tcBorders>
            <w:shd w:val="clear" w:color="auto" w:fill="FFFFFF"/>
            <w:noWrap/>
            <w:vAlign w:val="center"/>
          </w:tcPr>
          <w:p w14:paraId="686B399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nil"/>
              <w:right w:val="nil"/>
            </w:tcBorders>
            <w:shd w:val="clear" w:color="auto" w:fill="FFFFFF"/>
            <w:noWrap/>
            <w:vAlign w:val="center"/>
          </w:tcPr>
          <w:p w14:paraId="28FF2CC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-0.2369</w:t>
            </w:r>
          </w:p>
        </w:tc>
        <w:tc>
          <w:tcPr>
            <w:tcW w:w="654" w:type="pct"/>
            <w:tcBorders>
              <w:top w:val="nil"/>
              <w:left w:val="nil"/>
              <w:bottom w:val="nil"/>
              <w:right w:val="nil"/>
            </w:tcBorders>
            <w:shd w:val="clear" w:color="auto" w:fill="FFFFFF"/>
            <w:noWrap/>
            <w:vAlign w:val="center"/>
          </w:tcPr>
          <w:p w14:paraId="78E6E74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0.0525</w:t>
            </w:r>
          </w:p>
        </w:tc>
        <w:tc>
          <w:tcPr>
            <w:tcW w:w="475" w:type="pct"/>
            <w:tcBorders>
              <w:top w:val="nil"/>
              <w:left w:val="nil"/>
              <w:bottom w:val="nil"/>
              <w:right w:val="nil"/>
            </w:tcBorders>
            <w:shd w:val="clear" w:color="auto" w:fill="FFFFFF"/>
            <w:noWrap/>
            <w:vAlign w:val="center"/>
          </w:tcPr>
          <w:p w14:paraId="46324F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&lt;0.001</w:t>
            </w:r>
          </w:p>
        </w:tc>
        <w:tc>
          <w:tcPr>
            <w:tcW w:w="689" w:type="pct"/>
            <w:tcBorders>
              <w:top w:val="nil"/>
              <w:left w:val="nil"/>
              <w:bottom w:val="nil"/>
              <w:right w:val="nil"/>
            </w:tcBorders>
            <w:shd w:val="clear" w:color="auto" w:fill="FFFFFF"/>
            <w:noWrap/>
            <w:vAlign w:val="center"/>
          </w:tcPr>
          <w:p w14:paraId="0E24979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0.0473</w:t>
            </w:r>
          </w:p>
        </w:tc>
        <w:tc>
          <w:tcPr>
            <w:tcW w:w="505" w:type="pct"/>
            <w:tcBorders>
              <w:top w:val="nil"/>
              <w:left w:val="nil"/>
              <w:bottom w:val="nil"/>
              <w:right w:val="nil"/>
            </w:tcBorders>
            <w:shd w:val="clear" w:color="auto" w:fill="FFFFFF"/>
            <w:noWrap/>
            <w:vAlign w:val="center"/>
          </w:tcPr>
          <w:p w14:paraId="79AE389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0.0211</w:t>
            </w:r>
          </w:p>
        </w:tc>
        <w:tc>
          <w:tcPr>
            <w:tcW w:w="630" w:type="pct"/>
            <w:tcBorders>
              <w:top w:val="nil"/>
              <w:left w:val="nil"/>
              <w:bottom w:val="nil"/>
              <w:right w:val="nil"/>
            </w:tcBorders>
            <w:shd w:val="clear" w:color="auto" w:fill="FFFFFF"/>
            <w:noWrap/>
            <w:vAlign w:val="center"/>
          </w:tcPr>
          <w:p w14:paraId="511C1E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0.0251</w:t>
            </w:r>
          </w:p>
        </w:tc>
        <w:tc>
          <w:tcPr>
            <w:tcW w:w="499" w:type="pct"/>
            <w:tcBorders>
              <w:top w:val="nil"/>
              <w:left w:val="nil"/>
              <w:bottom w:val="nil"/>
              <w:right w:val="nil"/>
            </w:tcBorders>
            <w:shd w:val="clear" w:color="auto" w:fill="FFFFFF"/>
            <w:noWrap/>
            <w:vAlign w:val="center"/>
          </w:tcPr>
          <w:p w14:paraId="69EE44B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0.4272</w:t>
            </w:r>
          </w:p>
        </w:tc>
      </w:tr>
      <w:tr w14:paraId="0B3F6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472" w:type="pct"/>
            <w:tcBorders>
              <w:top w:val="nil"/>
              <w:left w:val="nil"/>
              <w:bottom w:val="nil"/>
              <w:right w:val="nil"/>
            </w:tcBorders>
            <w:shd w:val="clear" w:color="auto" w:fill="FFFFFF"/>
            <w:noWrap/>
            <w:vAlign w:val="center"/>
          </w:tcPr>
          <w:p w14:paraId="0ABE43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2019</w:t>
            </w:r>
          </w:p>
        </w:tc>
        <w:tc>
          <w:tcPr>
            <w:tcW w:w="408" w:type="pct"/>
            <w:tcBorders>
              <w:top w:val="nil"/>
              <w:left w:val="nil"/>
              <w:bottom w:val="nil"/>
              <w:right w:val="nil"/>
            </w:tcBorders>
            <w:shd w:val="clear" w:color="auto" w:fill="FFFFFF"/>
            <w:noWrap/>
            <w:vAlign w:val="center"/>
          </w:tcPr>
          <w:p w14:paraId="1501284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nil"/>
              <w:right w:val="nil"/>
            </w:tcBorders>
            <w:shd w:val="clear" w:color="auto" w:fill="FFFFFF"/>
            <w:noWrap/>
            <w:vAlign w:val="center"/>
          </w:tcPr>
          <w:p w14:paraId="11F0099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-0.1972</w:t>
            </w:r>
          </w:p>
        </w:tc>
        <w:tc>
          <w:tcPr>
            <w:tcW w:w="654" w:type="pct"/>
            <w:tcBorders>
              <w:top w:val="nil"/>
              <w:left w:val="nil"/>
              <w:bottom w:val="nil"/>
              <w:right w:val="nil"/>
            </w:tcBorders>
            <w:shd w:val="clear" w:color="auto" w:fill="FFFFFF"/>
            <w:noWrap/>
            <w:vAlign w:val="center"/>
          </w:tcPr>
          <w:p w14:paraId="3106FE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0.0453</w:t>
            </w:r>
          </w:p>
        </w:tc>
        <w:tc>
          <w:tcPr>
            <w:tcW w:w="475" w:type="pct"/>
            <w:tcBorders>
              <w:top w:val="nil"/>
              <w:left w:val="nil"/>
              <w:bottom w:val="nil"/>
              <w:right w:val="nil"/>
            </w:tcBorders>
            <w:shd w:val="clear" w:color="auto" w:fill="FFFFFF"/>
            <w:noWrap/>
            <w:vAlign w:val="center"/>
          </w:tcPr>
          <w:p w14:paraId="30502C0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&lt;0.001</w:t>
            </w:r>
          </w:p>
        </w:tc>
        <w:tc>
          <w:tcPr>
            <w:tcW w:w="689" w:type="pct"/>
            <w:tcBorders>
              <w:top w:val="nil"/>
              <w:left w:val="nil"/>
              <w:bottom w:val="nil"/>
              <w:right w:val="nil"/>
            </w:tcBorders>
            <w:shd w:val="clear" w:color="auto" w:fill="FFFFFF"/>
            <w:noWrap/>
            <w:vAlign w:val="center"/>
          </w:tcPr>
          <w:p w14:paraId="4FBBF73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0.0351</w:t>
            </w:r>
          </w:p>
        </w:tc>
        <w:tc>
          <w:tcPr>
            <w:tcW w:w="505" w:type="pct"/>
            <w:tcBorders>
              <w:top w:val="nil"/>
              <w:left w:val="nil"/>
              <w:bottom w:val="nil"/>
              <w:right w:val="nil"/>
            </w:tcBorders>
            <w:shd w:val="clear" w:color="auto" w:fill="FFFFFF"/>
            <w:noWrap/>
            <w:vAlign w:val="center"/>
          </w:tcPr>
          <w:p w14:paraId="3CF075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0.0156</w:t>
            </w:r>
          </w:p>
        </w:tc>
        <w:tc>
          <w:tcPr>
            <w:tcW w:w="630" w:type="pct"/>
            <w:tcBorders>
              <w:top w:val="nil"/>
              <w:left w:val="nil"/>
              <w:bottom w:val="nil"/>
              <w:right w:val="nil"/>
            </w:tcBorders>
            <w:shd w:val="clear" w:color="auto" w:fill="FFFFFF"/>
            <w:noWrap/>
            <w:vAlign w:val="center"/>
          </w:tcPr>
          <w:p w14:paraId="0E67987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0.024</w:t>
            </w:r>
          </w:p>
        </w:tc>
        <w:tc>
          <w:tcPr>
            <w:tcW w:w="499" w:type="pct"/>
            <w:tcBorders>
              <w:top w:val="nil"/>
              <w:left w:val="nil"/>
              <w:bottom w:val="nil"/>
              <w:right w:val="nil"/>
            </w:tcBorders>
            <w:shd w:val="clear" w:color="auto" w:fill="FFFFFF"/>
            <w:noWrap/>
            <w:vAlign w:val="center"/>
          </w:tcPr>
          <w:p w14:paraId="5752FC7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0.3531</w:t>
            </w:r>
          </w:p>
        </w:tc>
      </w:tr>
      <w:tr w14:paraId="6D2CE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472" w:type="pct"/>
            <w:tcBorders>
              <w:top w:val="nil"/>
              <w:left w:val="nil"/>
              <w:bottom w:val="nil"/>
              <w:right w:val="nil"/>
            </w:tcBorders>
            <w:shd w:val="clear" w:color="auto" w:fill="FFFFFF"/>
            <w:noWrap/>
            <w:vAlign w:val="center"/>
          </w:tcPr>
          <w:p w14:paraId="540285E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2020</w:t>
            </w:r>
          </w:p>
        </w:tc>
        <w:tc>
          <w:tcPr>
            <w:tcW w:w="408" w:type="pct"/>
            <w:tcBorders>
              <w:top w:val="nil"/>
              <w:left w:val="nil"/>
              <w:bottom w:val="nil"/>
              <w:right w:val="nil"/>
            </w:tcBorders>
            <w:shd w:val="clear" w:color="auto" w:fill="FFFFFF"/>
            <w:noWrap/>
            <w:vAlign w:val="center"/>
          </w:tcPr>
          <w:p w14:paraId="78167CA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nil"/>
              <w:right w:val="nil"/>
            </w:tcBorders>
            <w:shd w:val="clear" w:color="auto" w:fill="FFFFFF"/>
            <w:noWrap/>
            <w:vAlign w:val="center"/>
          </w:tcPr>
          <w:p w14:paraId="482C4B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-0.2224</w:t>
            </w:r>
          </w:p>
        </w:tc>
        <w:tc>
          <w:tcPr>
            <w:tcW w:w="654" w:type="pct"/>
            <w:tcBorders>
              <w:top w:val="nil"/>
              <w:left w:val="nil"/>
              <w:bottom w:val="nil"/>
              <w:right w:val="nil"/>
            </w:tcBorders>
            <w:shd w:val="clear" w:color="auto" w:fill="FFFFFF"/>
            <w:noWrap/>
            <w:vAlign w:val="center"/>
          </w:tcPr>
          <w:p w14:paraId="114FB83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0.0397</w:t>
            </w:r>
          </w:p>
        </w:tc>
        <w:tc>
          <w:tcPr>
            <w:tcW w:w="475" w:type="pct"/>
            <w:tcBorders>
              <w:top w:val="nil"/>
              <w:left w:val="nil"/>
              <w:bottom w:val="nil"/>
              <w:right w:val="nil"/>
            </w:tcBorders>
            <w:shd w:val="clear" w:color="auto" w:fill="FFFFFF"/>
            <w:noWrap/>
            <w:vAlign w:val="center"/>
          </w:tcPr>
          <w:p w14:paraId="11800B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&lt;0.001</w:t>
            </w:r>
          </w:p>
        </w:tc>
        <w:tc>
          <w:tcPr>
            <w:tcW w:w="689" w:type="pct"/>
            <w:tcBorders>
              <w:top w:val="nil"/>
              <w:left w:val="nil"/>
              <w:bottom w:val="nil"/>
              <w:right w:val="nil"/>
            </w:tcBorders>
            <w:shd w:val="clear" w:color="auto" w:fill="FFFFFF"/>
            <w:noWrap/>
            <w:vAlign w:val="center"/>
          </w:tcPr>
          <w:p w14:paraId="308FCD7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0.0414</w:t>
            </w:r>
          </w:p>
        </w:tc>
        <w:tc>
          <w:tcPr>
            <w:tcW w:w="505" w:type="pct"/>
            <w:tcBorders>
              <w:top w:val="nil"/>
              <w:left w:val="nil"/>
              <w:bottom w:val="nil"/>
              <w:right w:val="nil"/>
            </w:tcBorders>
            <w:shd w:val="clear" w:color="auto" w:fill="FFFFFF"/>
            <w:noWrap/>
            <w:vAlign w:val="center"/>
          </w:tcPr>
          <w:p w14:paraId="4EB5C19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0.0128</w:t>
            </w:r>
          </w:p>
        </w:tc>
        <w:tc>
          <w:tcPr>
            <w:tcW w:w="630" w:type="pct"/>
            <w:tcBorders>
              <w:top w:val="nil"/>
              <w:left w:val="nil"/>
              <w:bottom w:val="nil"/>
              <w:right w:val="nil"/>
            </w:tcBorders>
            <w:shd w:val="clear" w:color="auto" w:fill="FFFFFF"/>
            <w:noWrap/>
            <w:vAlign w:val="center"/>
          </w:tcPr>
          <w:p w14:paraId="77194E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0.0013</w:t>
            </w:r>
          </w:p>
        </w:tc>
        <w:tc>
          <w:tcPr>
            <w:tcW w:w="499" w:type="pct"/>
            <w:tcBorders>
              <w:top w:val="nil"/>
              <w:left w:val="nil"/>
              <w:bottom w:val="nil"/>
              <w:right w:val="nil"/>
            </w:tcBorders>
            <w:shd w:val="clear" w:color="auto" w:fill="FFFFFF"/>
            <w:noWrap/>
            <w:vAlign w:val="center"/>
          </w:tcPr>
          <w:p w14:paraId="0164100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0.3769</w:t>
            </w:r>
          </w:p>
        </w:tc>
      </w:tr>
      <w:tr w14:paraId="1AB0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472" w:type="pct"/>
            <w:tcBorders>
              <w:top w:val="nil"/>
              <w:left w:val="nil"/>
              <w:bottom w:val="nil"/>
              <w:right w:val="nil"/>
            </w:tcBorders>
            <w:shd w:val="clear" w:color="auto" w:fill="FFFFFF"/>
            <w:noWrap/>
            <w:vAlign w:val="center"/>
          </w:tcPr>
          <w:p w14:paraId="129EFF0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2021</w:t>
            </w:r>
          </w:p>
        </w:tc>
        <w:tc>
          <w:tcPr>
            <w:tcW w:w="408" w:type="pct"/>
            <w:tcBorders>
              <w:top w:val="nil"/>
              <w:left w:val="nil"/>
              <w:bottom w:val="nil"/>
              <w:right w:val="nil"/>
            </w:tcBorders>
            <w:shd w:val="clear" w:color="auto" w:fill="FFFFFF"/>
            <w:noWrap/>
            <w:vAlign w:val="center"/>
          </w:tcPr>
          <w:p w14:paraId="37B2AE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nil"/>
              <w:right w:val="nil"/>
            </w:tcBorders>
            <w:shd w:val="clear" w:color="auto" w:fill="FFFFFF"/>
            <w:noWrap/>
            <w:vAlign w:val="center"/>
          </w:tcPr>
          <w:p w14:paraId="77C0BE5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-0.2591</w:t>
            </w:r>
          </w:p>
        </w:tc>
        <w:tc>
          <w:tcPr>
            <w:tcW w:w="654" w:type="pct"/>
            <w:tcBorders>
              <w:top w:val="nil"/>
              <w:left w:val="nil"/>
              <w:bottom w:val="nil"/>
              <w:right w:val="nil"/>
            </w:tcBorders>
            <w:shd w:val="clear" w:color="auto" w:fill="FFFFFF"/>
            <w:noWrap/>
            <w:vAlign w:val="center"/>
          </w:tcPr>
          <w:p w14:paraId="10FA562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0.0614</w:t>
            </w:r>
          </w:p>
        </w:tc>
        <w:tc>
          <w:tcPr>
            <w:tcW w:w="475" w:type="pct"/>
            <w:tcBorders>
              <w:top w:val="nil"/>
              <w:left w:val="nil"/>
              <w:bottom w:val="nil"/>
              <w:right w:val="nil"/>
            </w:tcBorders>
            <w:shd w:val="clear" w:color="auto" w:fill="FFFFFF"/>
            <w:noWrap/>
            <w:vAlign w:val="center"/>
          </w:tcPr>
          <w:p w14:paraId="6C44C5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&lt;0.001</w:t>
            </w:r>
          </w:p>
        </w:tc>
        <w:tc>
          <w:tcPr>
            <w:tcW w:w="689" w:type="pct"/>
            <w:tcBorders>
              <w:top w:val="nil"/>
              <w:left w:val="nil"/>
              <w:bottom w:val="nil"/>
              <w:right w:val="nil"/>
            </w:tcBorders>
            <w:shd w:val="clear" w:color="auto" w:fill="FFFFFF"/>
            <w:noWrap/>
            <w:vAlign w:val="center"/>
          </w:tcPr>
          <w:p w14:paraId="12E12F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0.0484</w:t>
            </w:r>
          </w:p>
        </w:tc>
        <w:tc>
          <w:tcPr>
            <w:tcW w:w="505" w:type="pct"/>
            <w:tcBorders>
              <w:top w:val="nil"/>
              <w:left w:val="nil"/>
              <w:bottom w:val="nil"/>
              <w:right w:val="nil"/>
            </w:tcBorders>
            <w:shd w:val="clear" w:color="auto" w:fill="FFFFFF"/>
            <w:noWrap/>
            <w:vAlign w:val="center"/>
          </w:tcPr>
          <w:p w14:paraId="0A36F4E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0.0149</w:t>
            </w:r>
          </w:p>
        </w:tc>
        <w:tc>
          <w:tcPr>
            <w:tcW w:w="630" w:type="pct"/>
            <w:tcBorders>
              <w:top w:val="nil"/>
              <w:left w:val="nil"/>
              <w:bottom w:val="nil"/>
              <w:right w:val="nil"/>
            </w:tcBorders>
            <w:shd w:val="clear" w:color="auto" w:fill="FFFFFF"/>
            <w:noWrap/>
            <w:vAlign w:val="center"/>
          </w:tcPr>
          <w:p w14:paraId="63D0D86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0.0012</w:t>
            </w:r>
          </w:p>
        </w:tc>
        <w:tc>
          <w:tcPr>
            <w:tcW w:w="499" w:type="pct"/>
            <w:tcBorders>
              <w:top w:val="nil"/>
              <w:left w:val="nil"/>
              <w:bottom w:val="nil"/>
              <w:right w:val="nil"/>
            </w:tcBorders>
            <w:shd w:val="clear" w:color="auto" w:fill="FFFFFF"/>
            <w:noWrap/>
            <w:vAlign w:val="center"/>
          </w:tcPr>
          <w:p w14:paraId="17AC9A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0.3446</w:t>
            </w:r>
          </w:p>
        </w:tc>
      </w:tr>
      <w:tr w14:paraId="0774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472" w:type="pct"/>
            <w:tcBorders>
              <w:top w:val="nil"/>
              <w:left w:val="nil"/>
              <w:bottom w:val="nil"/>
              <w:right w:val="nil"/>
            </w:tcBorders>
            <w:shd w:val="clear" w:color="auto" w:fill="FFFFFF"/>
            <w:noWrap/>
            <w:vAlign w:val="center"/>
          </w:tcPr>
          <w:p w14:paraId="0666C2A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2022</w:t>
            </w:r>
          </w:p>
        </w:tc>
        <w:tc>
          <w:tcPr>
            <w:tcW w:w="408" w:type="pct"/>
            <w:tcBorders>
              <w:top w:val="nil"/>
              <w:left w:val="nil"/>
              <w:bottom w:val="nil"/>
              <w:right w:val="nil"/>
            </w:tcBorders>
            <w:shd w:val="clear" w:color="auto" w:fill="FFFFFF"/>
            <w:noWrap/>
            <w:vAlign w:val="center"/>
          </w:tcPr>
          <w:p w14:paraId="117DF41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nil"/>
              <w:right w:val="nil"/>
            </w:tcBorders>
            <w:shd w:val="clear" w:color="auto" w:fill="FFFFFF"/>
            <w:noWrap/>
            <w:vAlign w:val="center"/>
          </w:tcPr>
          <w:p w14:paraId="2B2EE0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-0.2265</w:t>
            </w:r>
          </w:p>
        </w:tc>
        <w:tc>
          <w:tcPr>
            <w:tcW w:w="654" w:type="pct"/>
            <w:tcBorders>
              <w:top w:val="nil"/>
              <w:left w:val="nil"/>
              <w:bottom w:val="nil"/>
              <w:right w:val="nil"/>
            </w:tcBorders>
            <w:shd w:val="clear" w:color="auto" w:fill="FFFFFF"/>
            <w:noWrap/>
            <w:vAlign w:val="center"/>
          </w:tcPr>
          <w:p w14:paraId="4C2D14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0.0494</w:t>
            </w:r>
          </w:p>
        </w:tc>
        <w:tc>
          <w:tcPr>
            <w:tcW w:w="475" w:type="pct"/>
            <w:tcBorders>
              <w:top w:val="nil"/>
              <w:left w:val="nil"/>
              <w:bottom w:val="nil"/>
              <w:right w:val="nil"/>
            </w:tcBorders>
            <w:shd w:val="clear" w:color="auto" w:fill="FFFFFF"/>
            <w:noWrap/>
            <w:vAlign w:val="center"/>
          </w:tcPr>
          <w:p w14:paraId="58F30E6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ascii="Times New Roman Regular" w:hAnsi="Times New Roman Regular" w:eastAsia="宋体" w:cs="Times New Roman Regular"/>
                <w:color w:val="000000"/>
                <w:kern w:val="0"/>
                <w:sz w:val="21"/>
                <w:szCs w:val="21"/>
                <w:u w:val="none"/>
                <w:lang w:val="en-US" w:eastAsia="zh-CN" w:bidi="ar"/>
              </w:rPr>
              <w:t>&lt;0.001</w:t>
            </w:r>
          </w:p>
        </w:tc>
        <w:tc>
          <w:tcPr>
            <w:tcW w:w="689" w:type="pct"/>
            <w:tcBorders>
              <w:top w:val="nil"/>
              <w:left w:val="nil"/>
              <w:bottom w:val="nil"/>
              <w:right w:val="nil"/>
            </w:tcBorders>
            <w:shd w:val="clear" w:color="auto" w:fill="FFFFFF"/>
            <w:noWrap/>
            <w:vAlign w:val="center"/>
          </w:tcPr>
          <w:p w14:paraId="6CAC7F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0.0429</w:t>
            </w:r>
          </w:p>
        </w:tc>
        <w:tc>
          <w:tcPr>
            <w:tcW w:w="505" w:type="pct"/>
            <w:tcBorders>
              <w:top w:val="nil"/>
              <w:left w:val="nil"/>
              <w:bottom w:val="nil"/>
              <w:right w:val="nil"/>
            </w:tcBorders>
            <w:shd w:val="clear" w:color="auto" w:fill="FFFFFF"/>
            <w:noWrap/>
            <w:vAlign w:val="center"/>
          </w:tcPr>
          <w:p w14:paraId="6ACF08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0.016</w:t>
            </w:r>
          </w:p>
        </w:tc>
        <w:tc>
          <w:tcPr>
            <w:tcW w:w="630" w:type="pct"/>
            <w:tcBorders>
              <w:top w:val="nil"/>
              <w:left w:val="nil"/>
              <w:bottom w:val="nil"/>
              <w:right w:val="nil"/>
            </w:tcBorders>
            <w:shd w:val="clear" w:color="auto" w:fill="FFFFFF"/>
            <w:noWrap/>
            <w:vAlign w:val="center"/>
          </w:tcPr>
          <w:p w14:paraId="4539696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0.0075</w:t>
            </w:r>
          </w:p>
        </w:tc>
        <w:tc>
          <w:tcPr>
            <w:tcW w:w="499" w:type="pct"/>
            <w:tcBorders>
              <w:top w:val="nil"/>
              <w:left w:val="nil"/>
              <w:bottom w:val="nil"/>
              <w:right w:val="nil"/>
            </w:tcBorders>
            <w:shd w:val="clear" w:color="auto" w:fill="FFFFFF"/>
            <w:noWrap/>
            <w:vAlign w:val="center"/>
          </w:tcPr>
          <w:p w14:paraId="0FE90A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0.343</w:t>
            </w:r>
          </w:p>
        </w:tc>
      </w:tr>
      <w:tr w14:paraId="3A8FC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472" w:type="pct"/>
            <w:tcBorders>
              <w:top w:val="nil"/>
              <w:left w:val="nil"/>
              <w:bottom w:val="nil"/>
              <w:right w:val="nil"/>
            </w:tcBorders>
            <w:shd w:val="clear" w:color="auto" w:fill="FFFFFF"/>
            <w:noWrap/>
            <w:vAlign w:val="center"/>
          </w:tcPr>
          <w:p w14:paraId="31E506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2023</w:t>
            </w:r>
          </w:p>
        </w:tc>
        <w:tc>
          <w:tcPr>
            <w:tcW w:w="408" w:type="pct"/>
            <w:tcBorders>
              <w:top w:val="nil"/>
              <w:left w:val="nil"/>
              <w:bottom w:val="nil"/>
              <w:right w:val="nil"/>
            </w:tcBorders>
            <w:shd w:val="clear" w:color="auto" w:fill="FFFFFF"/>
            <w:noWrap/>
            <w:vAlign w:val="center"/>
          </w:tcPr>
          <w:p w14:paraId="67AF8B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nil"/>
              <w:right w:val="nil"/>
            </w:tcBorders>
            <w:shd w:val="clear" w:color="auto" w:fill="FFFFFF"/>
            <w:noWrap/>
            <w:vAlign w:val="center"/>
          </w:tcPr>
          <w:p w14:paraId="3DE0F3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-0.2062</w:t>
            </w:r>
          </w:p>
        </w:tc>
        <w:tc>
          <w:tcPr>
            <w:tcW w:w="654" w:type="pct"/>
            <w:tcBorders>
              <w:top w:val="nil"/>
              <w:left w:val="nil"/>
              <w:bottom w:val="nil"/>
              <w:right w:val="nil"/>
            </w:tcBorders>
            <w:shd w:val="clear" w:color="auto" w:fill="FFFFFF"/>
            <w:noWrap/>
            <w:vAlign w:val="center"/>
          </w:tcPr>
          <w:p w14:paraId="5BC21D5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0.1016</w:t>
            </w:r>
          </w:p>
        </w:tc>
        <w:tc>
          <w:tcPr>
            <w:tcW w:w="475" w:type="pct"/>
            <w:tcBorders>
              <w:top w:val="nil"/>
              <w:left w:val="nil"/>
              <w:bottom w:val="nil"/>
              <w:right w:val="nil"/>
            </w:tcBorders>
            <w:shd w:val="clear" w:color="auto" w:fill="FFFFFF"/>
            <w:noWrap/>
            <w:vAlign w:val="center"/>
          </w:tcPr>
          <w:p w14:paraId="284D123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0.0423</w:t>
            </w:r>
          </w:p>
        </w:tc>
        <w:tc>
          <w:tcPr>
            <w:tcW w:w="689" w:type="pct"/>
            <w:tcBorders>
              <w:top w:val="nil"/>
              <w:left w:val="nil"/>
              <w:bottom w:val="nil"/>
              <w:right w:val="nil"/>
            </w:tcBorders>
            <w:shd w:val="clear" w:color="auto" w:fill="FFFFFF"/>
            <w:noWrap/>
            <w:vAlign w:val="center"/>
          </w:tcPr>
          <w:p w14:paraId="78A15F9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w:t>
            </w:r>
          </w:p>
        </w:tc>
        <w:tc>
          <w:tcPr>
            <w:tcW w:w="505" w:type="pct"/>
            <w:tcBorders>
              <w:top w:val="nil"/>
              <w:left w:val="nil"/>
              <w:bottom w:val="nil"/>
              <w:right w:val="nil"/>
            </w:tcBorders>
            <w:shd w:val="clear" w:color="auto" w:fill="FFFFFF"/>
            <w:noWrap/>
            <w:vAlign w:val="center"/>
          </w:tcPr>
          <w:p w14:paraId="4510170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0.0121</w:t>
            </w:r>
          </w:p>
        </w:tc>
        <w:tc>
          <w:tcPr>
            <w:tcW w:w="630" w:type="pct"/>
            <w:tcBorders>
              <w:top w:val="nil"/>
              <w:left w:val="nil"/>
              <w:bottom w:val="nil"/>
              <w:right w:val="nil"/>
            </w:tcBorders>
            <w:shd w:val="clear" w:color="auto" w:fill="FFFFFF"/>
            <w:noWrap/>
            <w:vAlign w:val="center"/>
          </w:tcPr>
          <w:p w14:paraId="1D5E704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ascii="Times New Roman Regular" w:hAnsi="Times New Roman Regular" w:eastAsia="宋体" w:cs="Times New Roman Regular"/>
                <w:color w:val="000000"/>
                <w:kern w:val="0"/>
                <w:sz w:val="21"/>
                <w:szCs w:val="21"/>
                <w:u w:val="none"/>
                <w:lang w:val="en-US" w:eastAsia="zh-CN" w:bidi="ar"/>
              </w:rPr>
              <w:t>&lt;0.001</w:t>
            </w:r>
          </w:p>
        </w:tc>
        <w:tc>
          <w:tcPr>
            <w:tcW w:w="499" w:type="pct"/>
            <w:tcBorders>
              <w:top w:val="nil"/>
              <w:left w:val="nil"/>
              <w:bottom w:val="nil"/>
              <w:right w:val="nil"/>
            </w:tcBorders>
            <w:shd w:val="clear" w:color="auto" w:fill="FFFFFF"/>
            <w:noWrap/>
            <w:vAlign w:val="center"/>
          </w:tcPr>
          <w:p w14:paraId="09F171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0.2901</w:t>
            </w:r>
          </w:p>
        </w:tc>
      </w:tr>
      <w:tr w14:paraId="1ABD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472" w:type="pct"/>
            <w:tcBorders>
              <w:top w:val="nil"/>
              <w:left w:val="nil"/>
              <w:bottom w:val="single" w:color="000000" w:sz="12" w:space="0"/>
              <w:right w:val="nil"/>
            </w:tcBorders>
            <w:shd w:val="clear" w:color="auto" w:fill="FFFFFF"/>
            <w:noWrap/>
            <w:vAlign w:val="center"/>
          </w:tcPr>
          <w:p w14:paraId="7FEEF5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2024</w:t>
            </w:r>
          </w:p>
        </w:tc>
        <w:tc>
          <w:tcPr>
            <w:tcW w:w="408" w:type="pct"/>
            <w:tcBorders>
              <w:top w:val="nil"/>
              <w:left w:val="nil"/>
              <w:bottom w:val="single" w:color="000000" w:sz="12" w:space="0"/>
              <w:right w:val="nil"/>
            </w:tcBorders>
            <w:shd w:val="clear" w:color="auto" w:fill="FFFFFF"/>
            <w:noWrap/>
            <w:vAlign w:val="center"/>
          </w:tcPr>
          <w:p w14:paraId="671409A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8</w:t>
            </w:r>
          </w:p>
        </w:tc>
        <w:tc>
          <w:tcPr>
            <w:tcW w:w="664" w:type="pct"/>
            <w:tcBorders>
              <w:top w:val="nil"/>
              <w:left w:val="nil"/>
              <w:bottom w:val="single" w:color="000000" w:sz="12" w:space="0"/>
              <w:right w:val="nil"/>
            </w:tcBorders>
            <w:shd w:val="clear" w:color="auto" w:fill="FFFFFF"/>
            <w:noWrap/>
            <w:vAlign w:val="center"/>
          </w:tcPr>
          <w:p w14:paraId="100C75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-0.2316</w:t>
            </w:r>
          </w:p>
        </w:tc>
        <w:tc>
          <w:tcPr>
            <w:tcW w:w="654" w:type="pct"/>
            <w:tcBorders>
              <w:top w:val="nil"/>
              <w:left w:val="nil"/>
              <w:bottom w:val="single" w:color="000000" w:sz="12" w:space="0"/>
              <w:right w:val="nil"/>
            </w:tcBorders>
            <w:shd w:val="clear" w:color="auto" w:fill="FFFFFF"/>
            <w:noWrap/>
            <w:vAlign w:val="center"/>
          </w:tcPr>
          <w:p w14:paraId="2C3643F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0.0427</w:t>
            </w:r>
          </w:p>
        </w:tc>
        <w:tc>
          <w:tcPr>
            <w:tcW w:w="475" w:type="pct"/>
            <w:tcBorders>
              <w:top w:val="nil"/>
              <w:left w:val="nil"/>
              <w:bottom w:val="single" w:color="000000" w:sz="12" w:space="0"/>
              <w:right w:val="nil"/>
            </w:tcBorders>
            <w:shd w:val="clear" w:color="auto" w:fill="FFFFFF"/>
            <w:noWrap/>
            <w:vAlign w:val="center"/>
          </w:tcPr>
          <w:p w14:paraId="43BDB0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ascii="Times New Roman Regular" w:hAnsi="Times New Roman Regular" w:eastAsia="宋体" w:cs="Times New Roman Regular"/>
                <w:color w:val="000000"/>
                <w:kern w:val="0"/>
                <w:sz w:val="21"/>
                <w:szCs w:val="21"/>
                <w:u w:val="none"/>
                <w:lang w:val="en-US" w:eastAsia="zh-CN" w:bidi="ar"/>
              </w:rPr>
              <w:t>&lt;0.001</w:t>
            </w:r>
          </w:p>
        </w:tc>
        <w:tc>
          <w:tcPr>
            <w:tcW w:w="689" w:type="pct"/>
            <w:tcBorders>
              <w:top w:val="nil"/>
              <w:left w:val="nil"/>
              <w:bottom w:val="single" w:color="000000" w:sz="12" w:space="0"/>
              <w:right w:val="nil"/>
            </w:tcBorders>
            <w:shd w:val="clear" w:color="auto" w:fill="FFFFFF"/>
            <w:noWrap/>
            <w:vAlign w:val="center"/>
          </w:tcPr>
          <w:p w14:paraId="7E5323E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0.031</w:t>
            </w:r>
          </w:p>
        </w:tc>
        <w:tc>
          <w:tcPr>
            <w:tcW w:w="505" w:type="pct"/>
            <w:tcBorders>
              <w:top w:val="nil"/>
              <w:left w:val="nil"/>
              <w:bottom w:val="single" w:color="000000" w:sz="12" w:space="0"/>
              <w:right w:val="nil"/>
            </w:tcBorders>
            <w:shd w:val="clear" w:color="auto" w:fill="FFFFFF"/>
            <w:noWrap/>
            <w:vAlign w:val="center"/>
          </w:tcPr>
          <w:p w14:paraId="6231C79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0.0125</w:t>
            </w:r>
          </w:p>
        </w:tc>
        <w:tc>
          <w:tcPr>
            <w:tcW w:w="630" w:type="pct"/>
            <w:tcBorders>
              <w:top w:val="nil"/>
              <w:left w:val="nil"/>
              <w:bottom w:val="single" w:color="000000" w:sz="12" w:space="0"/>
              <w:right w:val="nil"/>
            </w:tcBorders>
            <w:shd w:val="clear" w:color="auto" w:fill="FFFFFF"/>
            <w:noWrap/>
            <w:vAlign w:val="center"/>
          </w:tcPr>
          <w:p w14:paraId="250D896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0.013</w:t>
            </w:r>
          </w:p>
        </w:tc>
        <w:tc>
          <w:tcPr>
            <w:tcW w:w="499" w:type="pct"/>
            <w:tcBorders>
              <w:top w:val="nil"/>
              <w:left w:val="nil"/>
              <w:bottom w:val="single" w:color="000000" w:sz="12" w:space="0"/>
              <w:right w:val="nil"/>
            </w:tcBorders>
            <w:shd w:val="clear" w:color="auto" w:fill="FFFFFF"/>
            <w:noWrap/>
            <w:vAlign w:val="center"/>
          </w:tcPr>
          <w:p w14:paraId="54D9A0C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0.4356</w:t>
            </w:r>
          </w:p>
        </w:tc>
      </w:tr>
    </w:tbl>
    <w:p w14:paraId="6F07030A">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Notes: This table reports leave-one-out estimates for the primary specification using lagged log lithium price and a linear time trend. Each row excludes one year from the estimation sample. Coefficients, HAC (Newey–West, maxlags</w:t>
      </w:r>
      <w:r>
        <w:rPr>
          <w:rFonts w:hint="eastAsia" w:ascii="Times New Roman" w:hAnsi="Times New Roman" w:eastAsia="宋体" w:cs="Times New Roman"/>
          <w:kern w:val="0"/>
          <w:sz w:val="24"/>
          <w:szCs w:val="24"/>
          <w:rtl w:val="0"/>
          <w:lang w:eastAsia="zh-CN"/>
        </w:rPr>
        <w:t>=</w:t>
      </w:r>
      <w:r>
        <w:rPr>
          <w:rFonts w:hint="eastAsia" w:ascii="Times New Roman" w:hAnsi="Times New Roman" w:eastAsia="Times New Roman" w:cs="Times New Roman"/>
          <w:kern w:val="0"/>
          <w:sz w:val="24"/>
          <w:szCs w:val="24"/>
          <w:rtl w:val="0"/>
          <w:lang/>
        </w:rPr>
        <w:t>1) standard errors, p-values, and R-squared values are reported. The dependent variable is the enterprise financing share.</w:t>
      </w:r>
    </w:p>
    <w:p w14:paraId="11730D1F">
      <w:pPr>
        <w:jc w:val="left"/>
        <w:rPr>
          <w:rFonts w:ascii="Times New Roman" w:hAnsi="Times New Roman" w:eastAsia="Times New Roman" w:cs="Times New Roman"/>
          <w:b/>
          <w:bCs/>
          <w:kern w:val="0"/>
          <w:sz w:val="24"/>
          <w:szCs w:val="24"/>
          <w:rtl w:val="0"/>
          <w:lang/>
        </w:rPr>
      </w:pPr>
      <w:r>
        <w:rPr>
          <w:rFonts w:ascii="Times New Roman" w:hAnsi="Times New Roman" w:eastAsia="Times New Roman" w:cs="Times New Roman"/>
          <w:b/>
          <w:bCs/>
          <w:kern w:val="0"/>
          <w:sz w:val="24"/>
          <w:szCs w:val="24"/>
          <w:rtl w:val="0"/>
          <w:lang/>
        </w:rPr>
        <w:br w:type="page"/>
      </w:r>
    </w:p>
    <w:p w14:paraId="5E2A6613">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ascii="Times New Roman" w:hAnsi="Times New Roman" w:eastAsia="Times New Roman" w:cs="Times New Roman"/>
          <w:b/>
          <w:bCs/>
          <w:kern w:val="0"/>
          <w:sz w:val="24"/>
          <w:szCs w:val="24"/>
          <w:rtl w:val="0"/>
          <w:lang/>
        </w:rPr>
        <w:t xml:space="preserve">S3 Table. </w:t>
      </w:r>
      <w:r>
        <w:rPr>
          <w:rFonts w:hint="eastAsia" w:ascii="Times New Roman" w:hAnsi="Times New Roman" w:eastAsia="Times New Roman" w:cs="Times New Roman"/>
          <w:b/>
          <w:bCs/>
          <w:kern w:val="0"/>
          <w:sz w:val="24"/>
          <w:szCs w:val="24"/>
          <w:rtl w:val="0"/>
          <w:lang/>
        </w:rPr>
        <w:t>Sensitivity to alternative lags of</w:t>
      </w:r>
      <w:r>
        <w:rPr>
          <w:rFonts w:ascii="Times New Roman" w:hAnsi="Times New Roman" w:eastAsia="Times New Roman" w:cs="Times New Roman"/>
          <w:b/>
          <w:bCs/>
          <w:kern w:val="0"/>
          <w:sz w:val="24"/>
          <w:szCs w:val="24"/>
          <w:rtl w:val="0"/>
          <w:lang/>
        </w:rPr>
        <w:t xml:space="preserve"> ln</w:t>
      </w:r>
      <w:r>
        <w:rPr>
          <w:rFonts w:hint="eastAsia" w:ascii="Times New Roman" w:hAnsi="Times New Roman" w:eastAsia="宋体" w:cs="Times New Roman"/>
          <w:b/>
          <w:bCs/>
          <w:kern w:val="0"/>
          <w:sz w:val="24"/>
          <w:szCs w:val="24"/>
          <w:rtl w:val="0"/>
          <w:lang w:val="en-US" w:eastAsia="zh-CN"/>
        </w:rPr>
        <w:t xml:space="preserve"> </w:t>
      </w:r>
      <w:r>
        <w:rPr>
          <w:rFonts w:ascii="Times New Roman" w:hAnsi="Times New Roman" w:eastAsia="Times New Roman" w:cs="Times New Roman"/>
          <w:b/>
          <w:bCs/>
          <w:kern w:val="0"/>
          <w:sz w:val="24"/>
          <w:szCs w:val="24"/>
          <w:rtl w:val="0"/>
          <w:lang/>
        </w:rPr>
        <w:t>(price)</w:t>
      </w:r>
    </w:p>
    <w:p w14:paraId="0D40DD99">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Table S3 reports regression results using alternative lag structures of lithium prices in the primary specification. Columns present estimates using one-year (Lag 1) and two-year (Lag 2) lags of log lithium prices. The dependent variable is the enterprise financing share.</w:t>
      </w:r>
    </w:p>
    <w:p w14:paraId="0E08FFB2">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The coefficient on the one-year lag is negative (−0.202, p &lt; 0.0</w:t>
      </w:r>
      <w:r>
        <w:rPr>
          <w:rFonts w:hint="eastAsia" w:ascii="Times New Roman" w:hAnsi="Times New Roman" w:eastAsia="宋体" w:cs="Times New Roman"/>
          <w:kern w:val="0"/>
          <w:sz w:val="24"/>
          <w:szCs w:val="24"/>
          <w:rtl w:val="0"/>
          <w:lang w:val="en-US" w:eastAsia="zh-CN"/>
        </w:rPr>
        <w:t>0</w:t>
      </w:r>
      <w:r>
        <w:rPr>
          <w:rFonts w:hint="eastAsia" w:ascii="Times New Roman" w:hAnsi="Times New Roman" w:eastAsia="Times New Roman" w:cs="Times New Roman"/>
          <w:kern w:val="0"/>
          <w:sz w:val="24"/>
          <w:szCs w:val="24"/>
          <w:rtl w:val="0"/>
          <w:lang/>
        </w:rPr>
        <w:t>1), consistent with the estimate from the primary specification. By contrast, the coefficient on the two-year lag is small and statistically imprecise (0.035, p</w:t>
      </w:r>
      <w:r>
        <w:rPr>
          <w:rFonts w:hint="eastAsia" w:ascii="Times New Roman" w:hAnsi="Times New Roman" w:eastAsia="宋体" w:cs="Times New Roman"/>
          <w:kern w:val="0"/>
          <w:sz w:val="24"/>
          <w:szCs w:val="24"/>
          <w:rtl w:val="0"/>
          <w:lang w:eastAsia="zh-CN"/>
        </w:rPr>
        <w:t>=</w:t>
      </w:r>
      <w:r>
        <w:rPr>
          <w:rFonts w:hint="eastAsia" w:ascii="Times New Roman" w:hAnsi="Times New Roman" w:eastAsia="Times New Roman" w:cs="Times New Roman"/>
          <w:kern w:val="0"/>
          <w:sz w:val="24"/>
          <w:szCs w:val="24"/>
          <w:rtl w:val="0"/>
          <w:lang/>
        </w:rPr>
        <w:t>0.586), providing limited support for persistence beyond the first lag.</w:t>
      </w:r>
    </w:p>
    <w:p w14:paraId="4EFFA2D3">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These results are more consistent with a one-year lag specification than with a two-year lag specification, although the estimates should be interpreted cautiously given the short annual sample.</w:t>
      </w:r>
    </w:p>
    <w:tbl>
      <w:tblPr>
        <w:tblStyle w:val="2"/>
        <w:tblW w:w="0" w:type="auto"/>
        <w:tblInd w:w="0" w:type="dxa"/>
        <w:tblLayout w:type="autofit"/>
        <w:tblCellMar>
          <w:top w:w="0" w:type="dxa"/>
          <w:left w:w="108" w:type="dxa"/>
          <w:bottom w:w="0" w:type="dxa"/>
          <w:right w:w="108" w:type="dxa"/>
        </w:tblCellMar>
      </w:tblPr>
      <w:tblGrid>
        <w:gridCol w:w="1728"/>
        <w:gridCol w:w="1728"/>
        <w:gridCol w:w="1728"/>
        <w:gridCol w:w="1728"/>
        <w:gridCol w:w="1728"/>
      </w:tblGrid>
      <w:tr w14:paraId="0DBD3B59">
        <w:tblPrEx>
          <w:tblCellMar>
            <w:top w:w="0" w:type="dxa"/>
            <w:left w:w="108" w:type="dxa"/>
            <w:bottom w:w="0" w:type="dxa"/>
            <w:right w:w="108" w:type="dxa"/>
          </w:tblCellMar>
        </w:tblPrEx>
        <w:tc>
          <w:tcPr>
            <w:tcW w:w="1728" w:type="dxa"/>
            <w:tcBorders>
              <w:top w:val="single" w:color="000000" w:sz="12" w:space="0"/>
              <w:left w:val="nil"/>
              <w:bottom w:val="single" w:color="000000" w:sz="4" w:space="0"/>
              <w:right w:val="nil"/>
              <w:tl2br w:val="nil"/>
            </w:tcBorders>
            <w:shd w:val="clear" w:color="auto" w:fill="FFFFFF"/>
          </w:tcPr>
          <w:p w14:paraId="0BDFB5B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Lag</w:t>
            </w:r>
          </w:p>
        </w:tc>
        <w:tc>
          <w:tcPr>
            <w:tcW w:w="1728" w:type="dxa"/>
            <w:tcBorders>
              <w:top w:val="single" w:color="000000" w:sz="12" w:space="0"/>
              <w:left w:val="nil"/>
              <w:bottom w:val="single" w:color="000000" w:sz="4" w:space="0"/>
              <w:right w:val="nil"/>
            </w:tcBorders>
            <w:shd w:val="clear" w:color="auto" w:fill="FFFFFF"/>
          </w:tcPr>
          <w:p w14:paraId="31BB7AE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Coef.</w:t>
            </w:r>
          </w:p>
        </w:tc>
        <w:tc>
          <w:tcPr>
            <w:tcW w:w="1728" w:type="dxa"/>
            <w:tcBorders>
              <w:top w:val="single" w:color="000000" w:sz="12" w:space="0"/>
              <w:left w:val="nil"/>
              <w:bottom w:val="single" w:color="000000" w:sz="4" w:space="0"/>
              <w:right w:val="nil"/>
            </w:tcBorders>
            <w:shd w:val="clear" w:color="auto" w:fill="FFFFFF"/>
          </w:tcPr>
          <w:p w14:paraId="2C8905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SE</w:t>
            </w:r>
          </w:p>
        </w:tc>
        <w:tc>
          <w:tcPr>
            <w:tcW w:w="1728" w:type="dxa"/>
            <w:tcBorders>
              <w:top w:val="single" w:color="000000" w:sz="12" w:space="0"/>
              <w:left w:val="nil"/>
              <w:bottom w:val="single" w:color="000000" w:sz="4" w:space="0"/>
              <w:right w:val="nil"/>
            </w:tcBorders>
            <w:shd w:val="clear" w:color="auto" w:fill="FFFFFF"/>
          </w:tcPr>
          <w:p w14:paraId="7071A84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P-value</w:t>
            </w:r>
          </w:p>
        </w:tc>
        <w:tc>
          <w:tcPr>
            <w:tcW w:w="1728" w:type="dxa"/>
            <w:tcBorders>
              <w:top w:val="single" w:color="000000" w:sz="12" w:space="0"/>
              <w:left w:val="nil"/>
              <w:bottom w:val="single" w:color="000000" w:sz="4" w:space="0"/>
              <w:right w:val="nil"/>
            </w:tcBorders>
            <w:shd w:val="clear" w:color="auto" w:fill="FFFFFF"/>
          </w:tcPr>
          <w:p w14:paraId="050317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R-squared</w:t>
            </w:r>
          </w:p>
        </w:tc>
      </w:tr>
      <w:tr w14:paraId="05A070E4">
        <w:tblPrEx>
          <w:tblCellMar>
            <w:top w:w="0" w:type="dxa"/>
            <w:left w:w="108" w:type="dxa"/>
            <w:bottom w:w="0" w:type="dxa"/>
            <w:right w:w="108" w:type="dxa"/>
          </w:tblCellMar>
        </w:tblPrEx>
        <w:tc>
          <w:tcPr>
            <w:tcW w:w="1728" w:type="dxa"/>
            <w:tcBorders>
              <w:top w:val="single" w:color="000000" w:sz="4" w:space="0"/>
              <w:left w:val="nil"/>
              <w:bottom w:val="nil"/>
              <w:right w:val="nil"/>
            </w:tcBorders>
            <w:shd w:val="clear" w:color="auto" w:fill="FFFFFF"/>
          </w:tcPr>
          <w:p w14:paraId="50B571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Lag 1</w:t>
            </w:r>
          </w:p>
        </w:tc>
        <w:tc>
          <w:tcPr>
            <w:tcW w:w="1728" w:type="dxa"/>
            <w:tcBorders>
              <w:top w:val="single" w:color="000000" w:sz="4" w:space="0"/>
              <w:left w:val="nil"/>
              <w:bottom w:val="nil"/>
              <w:right w:val="nil"/>
            </w:tcBorders>
            <w:shd w:val="clear" w:color="auto" w:fill="FFFFFF"/>
          </w:tcPr>
          <w:p w14:paraId="45E19BA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-0.202</w:t>
            </w:r>
          </w:p>
        </w:tc>
        <w:tc>
          <w:tcPr>
            <w:tcW w:w="1728" w:type="dxa"/>
            <w:tcBorders>
              <w:top w:val="single" w:color="000000" w:sz="4" w:space="0"/>
              <w:left w:val="nil"/>
              <w:bottom w:val="nil"/>
              <w:right w:val="nil"/>
            </w:tcBorders>
            <w:shd w:val="clear" w:color="auto" w:fill="FFFFFF"/>
          </w:tcPr>
          <w:p w14:paraId="3FAF04C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0.031</w:t>
            </w:r>
          </w:p>
        </w:tc>
        <w:tc>
          <w:tcPr>
            <w:tcW w:w="1728" w:type="dxa"/>
            <w:tcBorders>
              <w:top w:val="single" w:color="000000" w:sz="4" w:space="0"/>
              <w:left w:val="nil"/>
              <w:bottom w:val="nil"/>
              <w:right w:val="nil"/>
            </w:tcBorders>
            <w:shd w:val="clear" w:color="auto" w:fill="FFFFFF"/>
          </w:tcPr>
          <w:p w14:paraId="3E8A6F3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&lt;0.001</w:t>
            </w:r>
          </w:p>
        </w:tc>
        <w:tc>
          <w:tcPr>
            <w:tcW w:w="1728" w:type="dxa"/>
            <w:tcBorders>
              <w:top w:val="single" w:color="000000" w:sz="4" w:space="0"/>
              <w:left w:val="nil"/>
              <w:bottom w:val="nil"/>
              <w:right w:val="nil"/>
            </w:tcBorders>
            <w:shd w:val="clear" w:color="auto" w:fill="FFFFFF"/>
          </w:tcPr>
          <w:p w14:paraId="049FBC2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0.683</w:t>
            </w:r>
          </w:p>
        </w:tc>
      </w:tr>
      <w:tr w14:paraId="08ABD1BA">
        <w:tblPrEx>
          <w:tblCellMar>
            <w:top w:w="0" w:type="dxa"/>
            <w:left w:w="108" w:type="dxa"/>
            <w:bottom w:w="0" w:type="dxa"/>
            <w:right w:w="108" w:type="dxa"/>
          </w:tblCellMar>
        </w:tblPrEx>
        <w:tc>
          <w:tcPr>
            <w:tcW w:w="1728" w:type="dxa"/>
            <w:tcBorders>
              <w:top w:val="nil"/>
              <w:left w:val="nil"/>
              <w:bottom w:val="single" w:color="000000" w:sz="12" w:space="0"/>
              <w:right w:val="nil"/>
            </w:tcBorders>
            <w:shd w:val="clear" w:color="auto" w:fill="FFFFFF"/>
          </w:tcPr>
          <w:p w14:paraId="18389EF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Lag 2</w:t>
            </w:r>
          </w:p>
        </w:tc>
        <w:tc>
          <w:tcPr>
            <w:tcW w:w="1728" w:type="dxa"/>
            <w:tcBorders>
              <w:top w:val="nil"/>
              <w:left w:val="nil"/>
              <w:bottom w:val="single" w:color="000000" w:sz="12" w:space="0"/>
              <w:right w:val="nil"/>
            </w:tcBorders>
            <w:shd w:val="clear" w:color="auto" w:fill="FFFFFF"/>
          </w:tcPr>
          <w:p w14:paraId="13F8F46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0.035</w:t>
            </w:r>
          </w:p>
        </w:tc>
        <w:tc>
          <w:tcPr>
            <w:tcW w:w="1728" w:type="dxa"/>
            <w:tcBorders>
              <w:top w:val="nil"/>
              <w:left w:val="nil"/>
              <w:bottom w:val="single" w:color="000000" w:sz="12" w:space="0"/>
              <w:right w:val="nil"/>
            </w:tcBorders>
            <w:shd w:val="clear" w:color="auto" w:fill="FFFFFF"/>
          </w:tcPr>
          <w:p w14:paraId="3D0CB4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0.064</w:t>
            </w:r>
          </w:p>
        </w:tc>
        <w:tc>
          <w:tcPr>
            <w:tcW w:w="1728" w:type="dxa"/>
            <w:tcBorders>
              <w:top w:val="nil"/>
              <w:left w:val="nil"/>
              <w:bottom w:val="single" w:color="000000" w:sz="12" w:space="0"/>
              <w:right w:val="nil"/>
            </w:tcBorders>
            <w:shd w:val="clear" w:color="auto" w:fill="FFFFFF"/>
          </w:tcPr>
          <w:p w14:paraId="249266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0.586</w:t>
            </w:r>
          </w:p>
        </w:tc>
        <w:tc>
          <w:tcPr>
            <w:tcW w:w="1728" w:type="dxa"/>
            <w:tcBorders>
              <w:top w:val="nil"/>
              <w:left w:val="nil"/>
              <w:bottom w:val="single" w:color="000000" w:sz="12" w:space="0"/>
              <w:right w:val="nil"/>
            </w:tcBorders>
            <w:shd w:val="clear" w:color="auto" w:fill="FFFFFF"/>
          </w:tcPr>
          <w:p w14:paraId="10C378E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0.296</w:t>
            </w:r>
          </w:p>
        </w:tc>
      </w:tr>
    </w:tbl>
    <w:p w14:paraId="7FF46310">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bCs/>
          <w:kern w:val="0"/>
          <w:sz w:val="24"/>
          <w:szCs w:val="24"/>
          <w:rtl w:val="0"/>
          <w:lang/>
        </w:rPr>
      </w:pPr>
      <w:r>
        <w:rPr>
          <w:rFonts w:hint="eastAsia" w:ascii="Times New Roman" w:hAnsi="Times New Roman" w:eastAsia="Times New Roman" w:cs="Times New Roman"/>
          <w:kern w:val="0"/>
          <w:sz w:val="24"/>
          <w:szCs w:val="24"/>
          <w:rtl w:val="0"/>
          <w:lang/>
        </w:rPr>
        <w:t>Notes: OLS estimates with HAC (Newey–West) standard errors (maxlags</w:t>
      </w:r>
      <w:r>
        <w:rPr>
          <w:rFonts w:hint="eastAsia" w:ascii="Times New Roman" w:hAnsi="Times New Roman" w:eastAsia="宋体" w:cs="Times New Roman"/>
          <w:kern w:val="0"/>
          <w:sz w:val="24"/>
          <w:szCs w:val="24"/>
          <w:rtl w:val="0"/>
          <w:lang w:eastAsia="zh-CN"/>
        </w:rPr>
        <w:t>=</w:t>
      </w:r>
      <w:r>
        <w:rPr>
          <w:rFonts w:hint="eastAsia" w:ascii="Times New Roman" w:hAnsi="Times New Roman" w:eastAsia="Times New Roman" w:cs="Times New Roman"/>
          <w:kern w:val="0"/>
          <w:sz w:val="24"/>
          <w:szCs w:val="24"/>
          <w:rtl w:val="0"/>
          <w:lang/>
        </w:rPr>
        <w:t>1). The sample size varies due to lag structure. The dependent variable is the enterprise financing share.</w:t>
      </w:r>
    </w:p>
    <w:p w14:paraId="02E327CA">
      <w:pPr>
        <w:jc w:val="left"/>
        <w:rPr>
          <w:rFonts w:ascii="Times New Roman" w:hAnsi="Times New Roman" w:eastAsia="Times New Roman" w:cs="Times New Roman"/>
          <w:b/>
          <w:bCs/>
          <w:kern w:val="0"/>
          <w:sz w:val="24"/>
          <w:szCs w:val="24"/>
          <w:rtl w:val="0"/>
          <w:lang/>
        </w:rPr>
      </w:pPr>
      <w:r>
        <w:rPr>
          <w:rFonts w:ascii="Times New Roman" w:hAnsi="Times New Roman" w:eastAsia="Times New Roman" w:cs="Times New Roman"/>
          <w:b/>
          <w:bCs/>
          <w:kern w:val="0"/>
          <w:sz w:val="24"/>
          <w:szCs w:val="24"/>
          <w:rtl w:val="0"/>
          <w:lang/>
        </w:rPr>
        <w:br w:type="page"/>
      </w:r>
    </w:p>
    <w:p w14:paraId="292D5A64">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bCs/>
          <w:kern w:val="0"/>
          <w:sz w:val="24"/>
          <w:szCs w:val="24"/>
          <w:rtl w:val="0"/>
          <w:lang/>
        </w:rPr>
      </w:pPr>
      <w:r>
        <w:rPr>
          <w:rFonts w:ascii="Times New Roman" w:hAnsi="Times New Roman" w:eastAsia="Times New Roman" w:cs="Times New Roman"/>
          <w:b/>
          <w:bCs/>
          <w:kern w:val="0"/>
          <w:sz w:val="24"/>
          <w:szCs w:val="24"/>
          <w:rtl w:val="0"/>
          <w:lang/>
        </w:rPr>
        <w:t>S4 Table. Alternative trend specifications</w:t>
      </w:r>
    </w:p>
    <w:p w14:paraId="4F3E12F3">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Table S4 reports regression results under alternative trend specifications to assess the sensitivity of the primary specification to the treatment of temporal trends. The linear specification includes a single time trend, whereas the piecewise specification allows the temporal trend to differ from 2021 onward.</w:t>
      </w:r>
    </w:p>
    <w:p w14:paraId="50118A9C">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The coefficient on lagged log lithium price is negative under both the linear-trend specification (−0.202</w:t>
      </w:r>
      <w:r>
        <w:rPr>
          <w:rFonts w:hint="eastAsia" w:ascii="Times New Roman" w:hAnsi="Times New Roman" w:eastAsia="宋体" w:cs="Times New Roman"/>
          <w:kern w:val="0"/>
          <w:sz w:val="24"/>
          <w:szCs w:val="24"/>
          <w:rtl w:val="0"/>
          <w:lang w:val="en-US" w:eastAsia="zh-CN"/>
        </w:rPr>
        <w:t>)</w:t>
      </w:r>
      <w:r>
        <w:rPr>
          <w:rFonts w:hint="eastAsia" w:ascii="Times New Roman" w:hAnsi="Times New Roman" w:eastAsia="Times New Roman" w:cs="Times New Roman"/>
          <w:kern w:val="0"/>
          <w:sz w:val="24"/>
          <w:szCs w:val="24"/>
          <w:rtl w:val="0"/>
          <w:lang/>
        </w:rPr>
        <w:t xml:space="preserve"> and the piecewise-trend specification</w:t>
      </w:r>
      <w:r>
        <w:rPr>
          <w:rFonts w:hint="eastAsia" w:ascii="Times New Roman" w:hAnsi="Times New Roman" w:eastAsia="宋体" w:cs="Times New Roman"/>
          <w:kern w:val="0"/>
          <w:sz w:val="24"/>
          <w:szCs w:val="24"/>
          <w:rtl w:val="0"/>
          <w:lang w:val="en-US" w:eastAsia="zh-CN"/>
        </w:rPr>
        <w:t xml:space="preserve"> (</w:t>
      </w:r>
      <w:r>
        <w:rPr>
          <w:rFonts w:hint="eastAsia" w:ascii="Times New Roman" w:hAnsi="Times New Roman" w:eastAsia="Times New Roman" w:cs="Times New Roman"/>
          <w:kern w:val="0"/>
          <w:sz w:val="24"/>
          <w:szCs w:val="24"/>
          <w:rtl w:val="0"/>
          <w:lang/>
        </w:rPr>
        <w:t>−0.235</w:t>
      </w:r>
      <w:r>
        <w:rPr>
          <w:rFonts w:hint="eastAsia" w:ascii="Times New Roman" w:hAnsi="Times New Roman" w:eastAsia="宋体" w:cs="Times New Roman"/>
          <w:kern w:val="0"/>
          <w:sz w:val="24"/>
          <w:szCs w:val="24"/>
          <w:rtl w:val="0"/>
          <w:lang w:val="en-US" w:eastAsia="zh-CN"/>
        </w:rPr>
        <w:t>)</w:t>
      </w:r>
      <w:r>
        <w:rPr>
          <w:rFonts w:hint="eastAsia" w:ascii="Times New Roman" w:hAnsi="Times New Roman" w:eastAsia="Times New Roman" w:cs="Times New Roman"/>
          <w:kern w:val="0"/>
          <w:sz w:val="24"/>
          <w:szCs w:val="24"/>
          <w:rtl w:val="0"/>
          <w:lang/>
        </w:rPr>
        <w:t>. Although the coefficient magnitudes differ somewhat, the estimated direction is qualitatively consistent across the two trend representations. Given the limited number of observations, the piecewise-trend specification is presented only as an exploratory sensitivity analysis and is not intended as an alternative preferred trend model.</w:t>
      </w:r>
    </w:p>
    <w:tbl>
      <w:tblPr>
        <w:tblStyle w:val="2"/>
        <w:tblW w:w="0" w:type="auto"/>
        <w:tblInd w:w="0" w:type="dxa"/>
        <w:tblLayout w:type="autofit"/>
        <w:tblCellMar>
          <w:top w:w="0" w:type="dxa"/>
          <w:left w:w="108" w:type="dxa"/>
          <w:bottom w:w="0" w:type="dxa"/>
          <w:right w:w="108" w:type="dxa"/>
        </w:tblCellMar>
      </w:tblPr>
      <w:tblGrid>
        <w:gridCol w:w="2160"/>
        <w:gridCol w:w="2160"/>
        <w:gridCol w:w="2160"/>
        <w:gridCol w:w="2160"/>
      </w:tblGrid>
      <w:tr w14:paraId="757AA0C6">
        <w:tblPrEx>
          <w:tblCellMar>
            <w:top w:w="0" w:type="dxa"/>
            <w:left w:w="108" w:type="dxa"/>
            <w:bottom w:w="0" w:type="dxa"/>
            <w:right w:w="108" w:type="dxa"/>
          </w:tblCellMar>
        </w:tblPrEx>
        <w:tc>
          <w:tcPr>
            <w:tcW w:w="2160" w:type="dxa"/>
            <w:tcBorders>
              <w:top w:val="single" w:color="000000" w:sz="12" w:space="0"/>
              <w:left w:val="nil"/>
              <w:bottom w:val="single" w:color="000000" w:sz="4" w:space="0"/>
              <w:right w:val="nil"/>
              <w:tl2br w:val="nil"/>
            </w:tcBorders>
            <w:shd w:val="clear" w:color="auto" w:fill="FFFFFF"/>
          </w:tcPr>
          <w:p w14:paraId="5C917D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Specification</w:t>
            </w:r>
          </w:p>
        </w:tc>
        <w:tc>
          <w:tcPr>
            <w:tcW w:w="2160" w:type="dxa"/>
            <w:tcBorders>
              <w:top w:val="single" w:color="000000" w:sz="12" w:space="0"/>
              <w:left w:val="nil"/>
              <w:bottom w:val="single" w:color="000000" w:sz="4" w:space="0"/>
              <w:right w:val="nil"/>
            </w:tcBorders>
            <w:shd w:val="clear" w:color="auto" w:fill="FFFFFF"/>
          </w:tcPr>
          <w:p w14:paraId="55E51BA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Coef. ln(price)</w:t>
            </w:r>
          </w:p>
        </w:tc>
        <w:tc>
          <w:tcPr>
            <w:tcW w:w="2160" w:type="dxa"/>
            <w:tcBorders>
              <w:top w:val="single" w:color="000000" w:sz="12" w:space="0"/>
              <w:left w:val="nil"/>
              <w:bottom w:val="single" w:color="000000" w:sz="4" w:space="0"/>
              <w:right w:val="nil"/>
            </w:tcBorders>
            <w:shd w:val="clear" w:color="auto" w:fill="FFFFFF"/>
          </w:tcPr>
          <w:p w14:paraId="7DAD0E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SE</w:t>
            </w:r>
          </w:p>
        </w:tc>
        <w:tc>
          <w:tcPr>
            <w:tcW w:w="2160" w:type="dxa"/>
            <w:tcBorders>
              <w:top w:val="single" w:color="000000" w:sz="12" w:space="0"/>
              <w:left w:val="nil"/>
              <w:bottom w:val="single" w:color="000000" w:sz="4" w:space="0"/>
              <w:right w:val="nil"/>
            </w:tcBorders>
            <w:shd w:val="clear" w:color="auto" w:fill="FFFFFF"/>
          </w:tcPr>
          <w:p w14:paraId="12537F6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R-squared</w:t>
            </w:r>
          </w:p>
        </w:tc>
      </w:tr>
      <w:tr w14:paraId="5D554C31">
        <w:tblPrEx>
          <w:tblCellMar>
            <w:top w:w="0" w:type="dxa"/>
            <w:left w:w="108" w:type="dxa"/>
            <w:bottom w:w="0" w:type="dxa"/>
            <w:right w:w="108" w:type="dxa"/>
          </w:tblCellMar>
        </w:tblPrEx>
        <w:tc>
          <w:tcPr>
            <w:tcW w:w="2160" w:type="dxa"/>
            <w:tcBorders>
              <w:top w:val="single" w:color="000000" w:sz="4" w:space="0"/>
              <w:left w:val="nil"/>
              <w:bottom w:val="nil"/>
              <w:right w:val="nil"/>
            </w:tcBorders>
            <w:shd w:val="clear" w:color="auto" w:fill="FFFFFF"/>
          </w:tcPr>
          <w:p w14:paraId="58273E0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Linear</w:t>
            </w:r>
          </w:p>
        </w:tc>
        <w:tc>
          <w:tcPr>
            <w:tcW w:w="2160" w:type="dxa"/>
            <w:tcBorders>
              <w:top w:val="single" w:color="000000" w:sz="4" w:space="0"/>
              <w:left w:val="nil"/>
              <w:bottom w:val="nil"/>
              <w:right w:val="nil"/>
            </w:tcBorders>
            <w:shd w:val="clear" w:color="auto" w:fill="FFFFFF"/>
          </w:tcPr>
          <w:p w14:paraId="573486A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-0.202</w:t>
            </w:r>
          </w:p>
        </w:tc>
        <w:tc>
          <w:tcPr>
            <w:tcW w:w="2160" w:type="dxa"/>
            <w:tcBorders>
              <w:top w:val="single" w:color="000000" w:sz="4" w:space="0"/>
              <w:left w:val="nil"/>
              <w:bottom w:val="nil"/>
              <w:right w:val="nil"/>
            </w:tcBorders>
            <w:shd w:val="clear" w:color="auto" w:fill="FFFFFF"/>
          </w:tcPr>
          <w:p w14:paraId="1CC178E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0.031</w:t>
            </w:r>
          </w:p>
        </w:tc>
        <w:tc>
          <w:tcPr>
            <w:tcW w:w="2160" w:type="dxa"/>
            <w:tcBorders>
              <w:top w:val="single" w:color="000000" w:sz="4" w:space="0"/>
              <w:left w:val="nil"/>
              <w:bottom w:val="nil"/>
              <w:right w:val="nil"/>
            </w:tcBorders>
            <w:shd w:val="clear" w:color="auto" w:fill="FFFFFF"/>
          </w:tcPr>
          <w:p w14:paraId="1AA1617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0.683</w:t>
            </w:r>
          </w:p>
        </w:tc>
      </w:tr>
      <w:tr w14:paraId="6097D873">
        <w:tblPrEx>
          <w:tblCellMar>
            <w:top w:w="0" w:type="dxa"/>
            <w:left w:w="108" w:type="dxa"/>
            <w:bottom w:w="0" w:type="dxa"/>
            <w:right w:w="108" w:type="dxa"/>
          </w:tblCellMar>
        </w:tblPrEx>
        <w:tc>
          <w:tcPr>
            <w:tcW w:w="2160" w:type="dxa"/>
            <w:tcBorders>
              <w:top w:val="nil"/>
              <w:left w:val="nil"/>
              <w:bottom w:val="single" w:color="000000" w:sz="12" w:space="0"/>
              <w:right w:val="nil"/>
            </w:tcBorders>
            <w:shd w:val="clear" w:color="auto" w:fill="FFFFFF"/>
          </w:tcPr>
          <w:p w14:paraId="6126506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Piecewise</w:t>
            </w:r>
          </w:p>
        </w:tc>
        <w:tc>
          <w:tcPr>
            <w:tcW w:w="2160" w:type="dxa"/>
            <w:tcBorders>
              <w:top w:val="nil"/>
              <w:left w:val="nil"/>
              <w:bottom w:val="single" w:color="000000" w:sz="12" w:space="0"/>
              <w:right w:val="nil"/>
            </w:tcBorders>
            <w:shd w:val="clear" w:color="auto" w:fill="FFFFFF"/>
          </w:tcPr>
          <w:p w14:paraId="51746D3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-0.235</w:t>
            </w:r>
          </w:p>
        </w:tc>
        <w:tc>
          <w:tcPr>
            <w:tcW w:w="2160" w:type="dxa"/>
            <w:tcBorders>
              <w:top w:val="nil"/>
              <w:left w:val="nil"/>
              <w:bottom w:val="single" w:color="000000" w:sz="12" w:space="0"/>
              <w:right w:val="nil"/>
            </w:tcBorders>
            <w:shd w:val="clear" w:color="auto" w:fill="FFFFFF"/>
          </w:tcPr>
          <w:p w14:paraId="6A8EE98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0.057</w:t>
            </w:r>
          </w:p>
        </w:tc>
        <w:tc>
          <w:tcPr>
            <w:tcW w:w="2160" w:type="dxa"/>
            <w:tcBorders>
              <w:top w:val="nil"/>
              <w:left w:val="nil"/>
              <w:bottom w:val="single" w:color="000000" w:sz="12" w:space="0"/>
              <w:right w:val="nil"/>
            </w:tcBorders>
            <w:shd w:val="clear" w:color="auto" w:fill="FFFFFF"/>
          </w:tcPr>
          <w:p w14:paraId="71A8BCA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0.694</w:t>
            </w:r>
          </w:p>
        </w:tc>
      </w:tr>
    </w:tbl>
    <w:p w14:paraId="2048B88E">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b/>
          <w:bCs/>
          <w:kern w:val="0"/>
          <w:sz w:val="24"/>
          <w:szCs w:val="24"/>
          <w:rtl w:val="0"/>
          <w:lang/>
        </w:rPr>
      </w:pPr>
      <w:r>
        <w:rPr>
          <w:rFonts w:hint="eastAsia" w:ascii="Times New Roman" w:hAnsi="Times New Roman" w:eastAsia="Times New Roman" w:cs="Times New Roman"/>
          <w:kern w:val="0"/>
          <w:sz w:val="24"/>
          <w:szCs w:val="24"/>
          <w:rtl w:val="0"/>
          <w:lang/>
        </w:rPr>
        <w:t>Notes: OLS estimates with HAC (Newey–West) standard errors (maxlags</w:t>
      </w:r>
      <w:r>
        <w:rPr>
          <w:rFonts w:hint="eastAsia" w:ascii="Times New Roman" w:hAnsi="Times New Roman" w:eastAsia="宋体" w:cs="Times New Roman"/>
          <w:kern w:val="0"/>
          <w:sz w:val="24"/>
          <w:szCs w:val="24"/>
          <w:rtl w:val="0"/>
          <w:lang w:eastAsia="zh-CN"/>
        </w:rPr>
        <w:t>=</w:t>
      </w:r>
      <w:r>
        <w:rPr>
          <w:rFonts w:hint="eastAsia" w:ascii="Times New Roman" w:hAnsi="Times New Roman" w:eastAsia="Times New Roman" w:cs="Times New Roman"/>
          <w:kern w:val="0"/>
          <w:sz w:val="24"/>
          <w:szCs w:val="24"/>
          <w:rtl w:val="0"/>
          <w:lang/>
        </w:rPr>
        <w:t>1). The dependent variable is the enterprise financing share.</w:t>
      </w:r>
    </w:p>
    <w:p w14:paraId="71391917">
      <w:pPr>
        <w:jc w:val="left"/>
        <w:rPr>
          <w:rFonts w:ascii="Times New Roman" w:hAnsi="Times New Roman" w:eastAsia="Times New Roman" w:cs="Times New Roman"/>
          <w:b/>
          <w:bCs/>
          <w:kern w:val="0"/>
          <w:sz w:val="24"/>
          <w:szCs w:val="24"/>
          <w:rtl w:val="0"/>
          <w:lang/>
        </w:rPr>
      </w:pPr>
      <w:r>
        <w:rPr>
          <w:rFonts w:ascii="Times New Roman" w:hAnsi="Times New Roman" w:eastAsia="Times New Roman" w:cs="Times New Roman"/>
          <w:b/>
          <w:bCs/>
          <w:kern w:val="0"/>
          <w:sz w:val="24"/>
          <w:szCs w:val="24"/>
          <w:rtl w:val="0"/>
          <w:lang/>
        </w:rPr>
        <w:br w:type="page"/>
      </w:r>
    </w:p>
    <w:p w14:paraId="13DB97B1">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Times New Roman" w:hAnsi="Times New Roman" w:eastAsia="Times New Roman" w:cs="Times New Roman"/>
          <w:b/>
          <w:bCs/>
          <w:kern w:val="0"/>
          <w:sz w:val="24"/>
          <w:szCs w:val="24"/>
          <w:rtl w:val="0"/>
          <w:lang/>
        </w:rPr>
      </w:pPr>
      <w:r>
        <w:rPr>
          <w:rFonts w:ascii="Times New Roman" w:hAnsi="Times New Roman" w:eastAsia="Times New Roman" w:cs="Times New Roman"/>
          <w:b/>
          <w:bCs/>
          <w:kern w:val="0"/>
          <w:sz w:val="24"/>
          <w:szCs w:val="24"/>
          <w:rtl w:val="0"/>
          <w:lang/>
        </w:rPr>
        <w:t xml:space="preserve">S5 Table. </w:t>
      </w:r>
      <w:r>
        <w:rPr>
          <w:rFonts w:hint="eastAsia" w:ascii="Times New Roman" w:hAnsi="Times New Roman" w:eastAsia="Times New Roman" w:cs="Times New Roman"/>
          <w:b/>
          <w:bCs/>
          <w:kern w:val="0"/>
          <w:sz w:val="24"/>
          <w:szCs w:val="24"/>
          <w:rtl w:val="0"/>
          <w:lang/>
        </w:rPr>
        <w:t>Exploratory policy-period indicator regression</w:t>
      </w:r>
    </w:p>
    <w:p w14:paraId="7DCAB7E8">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This table presents an exploratory regression including a policy-period indicator for the beginning of China’s Fourteenth Five-Year Plan period in 2021.</w:t>
      </w:r>
    </w:p>
    <w:p w14:paraId="0E0DAED3">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The coefficient on lagged log lithium price remains negative after inclusion of the exploratory policy-period indicator. The policy coefficient itself is statistically imprecise, and the estimates should be interpreted cautiously given the limited annual sample.</w:t>
      </w:r>
    </w:p>
    <w:p w14:paraId="5C9A3A83">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hint="eastAsia" w:ascii="Times New Roman" w:hAnsi="Times New Roman" w:eastAsia="Times New Roman" w:cs="Times New Roman"/>
          <w:kern w:val="0"/>
          <w:sz w:val="24"/>
          <w:szCs w:val="24"/>
          <w:rtl w:val="0"/>
          <w:lang/>
        </w:rPr>
      </w:pPr>
      <w:r>
        <w:rPr>
          <w:rFonts w:hint="eastAsia" w:ascii="Times New Roman" w:hAnsi="Times New Roman" w:eastAsia="Times New Roman" w:cs="Times New Roman"/>
          <w:kern w:val="0"/>
          <w:sz w:val="24"/>
          <w:szCs w:val="24"/>
          <w:rtl w:val="0"/>
          <w:lang/>
        </w:rPr>
        <w:t>The estimated association is broadly similar after inclusion of this simple policy-period indicator, although the specification is exploratory and is not intended to identify policy effects.</w:t>
      </w:r>
    </w:p>
    <w:tbl>
      <w:tblPr>
        <w:tblStyle w:val="2"/>
        <w:tblW w:w="0" w:type="auto"/>
        <w:tblInd w:w="0" w:type="dxa"/>
        <w:tblLayout w:type="autofit"/>
        <w:tblCellMar>
          <w:top w:w="0" w:type="dxa"/>
          <w:left w:w="108" w:type="dxa"/>
          <w:bottom w:w="0" w:type="dxa"/>
          <w:right w:w="108" w:type="dxa"/>
        </w:tblCellMar>
      </w:tblPr>
      <w:tblGrid>
        <w:gridCol w:w="1728"/>
        <w:gridCol w:w="1728"/>
        <w:gridCol w:w="1728"/>
        <w:gridCol w:w="1728"/>
        <w:gridCol w:w="1728"/>
      </w:tblGrid>
      <w:tr w14:paraId="4DED6180">
        <w:tblPrEx>
          <w:tblCellMar>
            <w:top w:w="0" w:type="dxa"/>
            <w:left w:w="108" w:type="dxa"/>
            <w:bottom w:w="0" w:type="dxa"/>
            <w:right w:w="108" w:type="dxa"/>
          </w:tblCellMar>
        </w:tblPrEx>
        <w:tc>
          <w:tcPr>
            <w:tcW w:w="1728" w:type="dxa"/>
            <w:tcBorders>
              <w:top w:val="single" w:color="000000" w:sz="12" w:space="0"/>
              <w:left w:val="nil"/>
              <w:bottom w:val="single" w:color="000000" w:sz="4" w:space="0"/>
              <w:right w:val="nil"/>
              <w:tl2br w:val="nil"/>
            </w:tcBorders>
            <w:shd w:val="clear" w:color="auto" w:fill="FFFFFF"/>
          </w:tcPr>
          <w:p w14:paraId="0DD56B4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Variable</w:t>
            </w:r>
          </w:p>
        </w:tc>
        <w:tc>
          <w:tcPr>
            <w:tcW w:w="1728" w:type="dxa"/>
            <w:tcBorders>
              <w:top w:val="single" w:color="000000" w:sz="12" w:space="0"/>
              <w:left w:val="nil"/>
              <w:bottom w:val="single" w:color="000000" w:sz="4" w:space="0"/>
              <w:right w:val="nil"/>
            </w:tcBorders>
            <w:shd w:val="clear" w:color="auto" w:fill="FFFFFF"/>
          </w:tcPr>
          <w:p w14:paraId="7B6BF41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Coef.</w:t>
            </w:r>
          </w:p>
        </w:tc>
        <w:tc>
          <w:tcPr>
            <w:tcW w:w="1728" w:type="dxa"/>
            <w:tcBorders>
              <w:top w:val="single" w:color="000000" w:sz="12" w:space="0"/>
              <w:left w:val="nil"/>
              <w:bottom w:val="single" w:color="000000" w:sz="4" w:space="0"/>
              <w:right w:val="nil"/>
            </w:tcBorders>
            <w:shd w:val="clear" w:color="auto" w:fill="FFFFFF"/>
          </w:tcPr>
          <w:p w14:paraId="6E95AAC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SE</w:t>
            </w:r>
          </w:p>
        </w:tc>
        <w:tc>
          <w:tcPr>
            <w:tcW w:w="1728" w:type="dxa"/>
            <w:tcBorders>
              <w:top w:val="single" w:color="000000" w:sz="12" w:space="0"/>
              <w:left w:val="nil"/>
              <w:bottom w:val="single" w:color="000000" w:sz="4" w:space="0"/>
              <w:right w:val="nil"/>
            </w:tcBorders>
            <w:shd w:val="clear" w:color="auto" w:fill="FFFFFF"/>
          </w:tcPr>
          <w:p w14:paraId="15D2372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P-value</w:t>
            </w:r>
          </w:p>
        </w:tc>
        <w:tc>
          <w:tcPr>
            <w:tcW w:w="1728" w:type="dxa"/>
            <w:tcBorders>
              <w:top w:val="single" w:color="000000" w:sz="12" w:space="0"/>
              <w:left w:val="nil"/>
              <w:bottom w:val="single" w:color="000000" w:sz="4" w:space="0"/>
              <w:right w:val="nil"/>
            </w:tcBorders>
            <w:shd w:val="clear" w:color="auto" w:fill="FFFFFF"/>
          </w:tcPr>
          <w:p w14:paraId="08E2328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Bold" w:hAnsi="Times New Roman Bold" w:eastAsia="宋体" w:cs="Times New Roman Bold"/>
                <w:b/>
                <w:bCs/>
                <w:i w:val="0"/>
                <w:iCs w:val="0"/>
                <w:color w:val="000000"/>
                <w:kern w:val="0"/>
                <w:sz w:val="21"/>
                <w:szCs w:val="21"/>
                <w:u w:val="none"/>
                <w:lang w:val="en-US" w:eastAsia="zh-CN" w:bidi="ar"/>
              </w:rPr>
            </w:pPr>
            <w:r>
              <w:rPr>
                <w:rFonts w:hint="default" w:ascii="Times New Roman Bold" w:hAnsi="Times New Roman Bold" w:eastAsia="宋体" w:cs="Times New Roman Bold"/>
                <w:b/>
                <w:bCs/>
                <w:i w:val="0"/>
                <w:iCs w:val="0"/>
                <w:color w:val="000000"/>
                <w:kern w:val="0"/>
                <w:sz w:val="21"/>
                <w:szCs w:val="21"/>
                <w:u w:val="none"/>
                <w:lang w:val="en-US" w:eastAsia="zh-CN" w:bidi="ar"/>
              </w:rPr>
              <w:t>R-squared</w:t>
            </w:r>
          </w:p>
        </w:tc>
      </w:tr>
      <w:tr w14:paraId="2F57AA03">
        <w:tblPrEx>
          <w:tblCellMar>
            <w:top w:w="0" w:type="dxa"/>
            <w:left w:w="108" w:type="dxa"/>
            <w:bottom w:w="0" w:type="dxa"/>
            <w:right w:w="108" w:type="dxa"/>
          </w:tblCellMar>
        </w:tblPrEx>
        <w:tc>
          <w:tcPr>
            <w:tcW w:w="1728" w:type="dxa"/>
            <w:tcBorders>
              <w:top w:val="single" w:color="000000" w:sz="4" w:space="0"/>
              <w:left w:val="nil"/>
              <w:bottom w:val="nil"/>
              <w:right w:val="nil"/>
            </w:tcBorders>
            <w:shd w:val="clear" w:color="auto" w:fill="FFFFFF"/>
          </w:tcPr>
          <w:p w14:paraId="6F07741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ln_price_lag1</w:t>
            </w:r>
          </w:p>
        </w:tc>
        <w:tc>
          <w:tcPr>
            <w:tcW w:w="1728" w:type="dxa"/>
            <w:tcBorders>
              <w:top w:val="single" w:color="000000" w:sz="4" w:space="0"/>
              <w:left w:val="nil"/>
              <w:bottom w:val="nil"/>
              <w:right w:val="nil"/>
            </w:tcBorders>
            <w:shd w:val="clear" w:color="auto" w:fill="FFFFFF"/>
          </w:tcPr>
          <w:p w14:paraId="2998413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-0.219</w:t>
            </w:r>
          </w:p>
        </w:tc>
        <w:tc>
          <w:tcPr>
            <w:tcW w:w="1728" w:type="dxa"/>
            <w:tcBorders>
              <w:top w:val="single" w:color="000000" w:sz="4" w:space="0"/>
              <w:left w:val="nil"/>
              <w:bottom w:val="nil"/>
              <w:right w:val="nil"/>
            </w:tcBorders>
            <w:shd w:val="clear" w:color="auto" w:fill="FFFFFF"/>
          </w:tcPr>
          <w:p w14:paraId="4FC79D5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0.031</w:t>
            </w:r>
          </w:p>
        </w:tc>
        <w:tc>
          <w:tcPr>
            <w:tcW w:w="1728" w:type="dxa"/>
            <w:tcBorders>
              <w:top w:val="single" w:color="000000" w:sz="4" w:space="0"/>
              <w:left w:val="nil"/>
              <w:bottom w:val="nil"/>
              <w:right w:val="nil"/>
            </w:tcBorders>
            <w:shd w:val="clear" w:color="auto" w:fill="FFFFFF"/>
          </w:tcPr>
          <w:p w14:paraId="75D2A79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&lt;0.001</w:t>
            </w:r>
          </w:p>
        </w:tc>
        <w:tc>
          <w:tcPr>
            <w:tcW w:w="1728" w:type="dxa"/>
            <w:tcBorders>
              <w:top w:val="single" w:color="000000" w:sz="4" w:space="0"/>
              <w:left w:val="nil"/>
              <w:bottom w:val="nil"/>
              <w:right w:val="nil"/>
            </w:tcBorders>
            <w:shd w:val="clear" w:color="auto" w:fill="FFFFFF"/>
          </w:tcPr>
          <w:p w14:paraId="6A5FF0A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0.702</w:t>
            </w:r>
          </w:p>
        </w:tc>
      </w:tr>
      <w:tr w14:paraId="4769C8BB">
        <w:tblPrEx>
          <w:tblCellMar>
            <w:top w:w="0" w:type="dxa"/>
            <w:left w:w="108" w:type="dxa"/>
            <w:bottom w:w="0" w:type="dxa"/>
            <w:right w:w="108" w:type="dxa"/>
          </w:tblCellMar>
        </w:tblPrEx>
        <w:tc>
          <w:tcPr>
            <w:tcW w:w="1728" w:type="dxa"/>
            <w:tcBorders>
              <w:top w:val="nil"/>
              <w:left w:val="nil"/>
              <w:bottom w:val="single" w:color="000000" w:sz="12" w:space="0"/>
              <w:right w:val="nil"/>
            </w:tcBorders>
            <w:shd w:val="clear" w:color="auto" w:fill="FFFFFF"/>
          </w:tcPr>
          <w:p w14:paraId="4CDC28B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policy_dummy</w:t>
            </w:r>
          </w:p>
        </w:tc>
        <w:tc>
          <w:tcPr>
            <w:tcW w:w="1728" w:type="dxa"/>
            <w:tcBorders>
              <w:top w:val="nil"/>
              <w:left w:val="nil"/>
              <w:bottom w:val="single" w:color="000000" w:sz="12" w:space="0"/>
              <w:right w:val="nil"/>
            </w:tcBorders>
            <w:shd w:val="clear" w:color="auto" w:fill="FFFFFF"/>
          </w:tcPr>
          <w:p w14:paraId="7A093D1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-0.081</w:t>
            </w:r>
          </w:p>
        </w:tc>
        <w:tc>
          <w:tcPr>
            <w:tcW w:w="1728" w:type="dxa"/>
            <w:tcBorders>
              <w:top w:val="nil"/>
              <w:left w:val="nil"/>
              <w:bottom w:val="single" w:color="000000" w:sz="12" w:space="0"/>
              <w:right w:val="nil"/>
            </w:tcBorders>
            <w:shd w:val="clear" w:color="auto" w:fill="FFFFFF"/>
          </w:tcPr>
          <w:p w14:paraId="025FDD7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0.066</w:t>
            </w:r>
          </w:p>
        </w:tc>
        <w:tc>
          <w:tcPr>
            <w:tcW w:w="1728" w:type="dxa"/>
            <w:tcBorders>
              <w:top w:val="nil"/>
              <w:left w:val="nil"/>
              <w:bottom w:val="single" w:color="000000" w:sz="12" w:space="0"/>
              <w:right w:val="nil"/>
            </w:tcBorders>
            <w:shd w:val="clear" w:color="auto" w:fill="FFFFFF"/>
          </w:tcPr>
          <w:p w14:paraId="142DC49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0.216</w:t>
            </w:r>
          </w:p>
        </w:tc>
        <w:tc>
          <w:tcPr>
            <w:tcW w:w="1728" w:type="dxa"/>
            <w:tcBorders>
              <w:top w:val="nil"/>
              <w:left w:val="nil"/>
              <w:bottom w:val="single" w:color="000000" w:sz="12" w:space="0"/>
              <w:right w:val="nil"/>
            </w:tcBorders>
            <w:shd w:val="clear" w:color="auto" w:fill="FFFFFF"/>
          </w:tcPr>
          <w:p w14:paraId="544A0BA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Regular" w:hAnsi="Times New Roman Regular" w:eastAsia="宋体" w:cs="Times New Roman Regular"/>
                <w:b w:val="0"/>
                <w:i w:val="0"/>
                <w:iCs w:val="0"/>
                <w:color w:val="000000"/>
                <w:kern w:val="0"/>
                <w:sz w:val="21"/>
                <w:szCs w:val="21"/>
                <w:u w:val="none"/>
                <w:lang w:val="en-US" w:eastAsia="zh-CN" w:bidi="ar"/>
              </w:rPr>
            </w:pPr>
            <w:r>
              <w:rPr>
                <w:rFonts w:hint="default" w:ascii="Times New Roman Regular" w:hAnsi="Times New Roman Regular" w:eastAsia="宋体" w:cs="Times New Roman Regular"/>
                <w:b w:val="0"/>
                <w:i w:val="0"/>
                <w:iCs w:val="0"/>
                <w:color w:val="000000"/>
                <w:kern w:val="0"/>
                <w:sz w:val="21"/>
                <w:szCs w:val="21"/>
                <w:u w:val="none"/>
                <w:lang w:val="en-US" w:eastAsia="zh-CN" w:bidi="ar"/>
              </w:rPr>
              <w:t>0.702</w:t>
            </w:r>
          </w:p>
        </w:tc>
      </w:tr>
    </w:tbl>
    <w:p w14:paraId="3662CD1C">
      <w:pPr>
        <w:pBdr>
          <w:top w:val="none" w:color="auto" w:sz="0" w:space="0"/>
          <w:left w:val="none" w:color="auto" w:sz="0" w:space="0"/>
          <w:bottom w:val="none" w:color="auto" w:sz="0" w:space="0"/>
          <w:right w:val="none" w:color="auto" w:sz="0" w:space="0"/>
          <w:between w:val="none" w:color="auto" w:sz="0" w:space="0"/>
        </w:pBdr>
        <w:shd w:val="clear" w:fill="auto"/>
        <w:spacing w:line="480" w:lineRule="auto"/>
        <w:jc w:val="both"/>
        <w:rPr>
          <w:rFonts w:ascii="Arial" w:hAnsi="Arial" w:eastAsia="Arial" w:cs="Arial"/>
          <w:kern w:val="0"/>
          <w:sz w:val="22"/>
          <w:szCs w:val="22"/>
          <w:lang/>
        </w:rPr>
      </w:pPr>
      <w:r>
        <w:rPr>
          <w:rFonts w:hint="eastAsia" w:ascii="Times New Roman" w:hAnsi="Times New Roman" w:eastAsia="Times New Roman" w:cs="Times New Roman"/>
          <w:kern w:val="0"/>
          <w:sz w:val="24"/>
          <w:szCs w:val="24"/>
          <w:rtl w:val="0"/>
          <w:lang/>
        </w:rPr>
        <w:t>Notes: OLS estimates with HAC (Newey–West) standard errors (maxlags</w:t>
      </w:r>
      <w:r>
        <w:rPr>
          <w:rFonts w:hint="eastAsia" w:ascii="Times New Roman" w:hAnsi="Times New Roman" w:eastAsia="宋体" w:cs="Times New Roman"/>
          <w:kern w:val="0"/>
          <w:sz w:val="24"/>
          <w:szCs w:val="24"/>
          <w:rtl w:val="0"/>
          <w:lang w:eastAsia="zh-CN"/>
        </w:rPr>
        <w:t>=</w:t>
      </w:r>
      <w:r>
        <w:rPr>
          <w:rFonts w:hint="eastAsia" w:ascii="Times New Roman" w:hAnsi="Times New Roman" w:eastAsia="Times New Roman" w:cs="Times New Roman"/>
          <w:kern w:val="0"/>
          <w:sz w:val="24"/>
          <w:szCs w:val="24"/>
          <w:rtl w:val="0"/>
          <w:lang/>
        </w:rPr>
        <w:t>1). The dependent variable is the enterprise financing share.</w:t>
      </w:r>
    </w:p>
    <w:p w14:paraId="1AFD0380">
      <w:pPr>
        <w:jc w:val="left"/>
        <w:rPr>
          <w:rFonts w:ascii="Arial" w:hAnsi="Arial" w:eastAsia="Arial" w:cs="Arial"/>
          <w:kern w:val="0"/>
          <w:sz w:val="22"/>
          <w:szCs w:val="22"/>
          <w:lang/>
        </w:rPr>
      </w:pPr>
      <w:r>
        <w:rPr>
          <w:rFonts w:ascii="Arial" w:hAnsi="Arial" w:eastAsia="Arial" w:cs="Arial"/>
          <w:kern w:val="0"/>
          <w:sz w:val="22"/>
          <w:szCs w:val="22"/>
          <w:lang/>
        </w:rPr>
        <w:br w:type="page"/>
      </w:r>
    </w:p>
    <w:p w14:paraId="07C6F6EE">
      <w:pPr>
        <w:adjustRightInd w:val="0"/>
        <w:snapToGrid w:val="0"/>
        <w:spacing w:line="480" w:lineRule="auto"/>
        <w:jc w:val="both"/>
        <w:rPr>
          <w:rFonts w:ascii="Times New Roman" w:hAnsi="Times New Roman" w:eastAsia="宋体" w:cs="Times New Roman"/>
          <w:b/>
          <w:bCs/>
          <w:kern w:val="0"/>
          <w:sz w:val="36"/>
          <w:szCs w:val="36"/>
          <w:lang/>
        </w:rPr>
      </w:pPr>
      <w:r>
        <w:rPr>
          <w:rFonts w:ascii="Times New Roman" w:hAnsi="Times New Roman" w:eastAsia="宋体" w:cs="Times New Roman"/>
          <w:b/>
          <w:bCs/>
          <w:kern w:val="0"/>
          <w:sz w:val="36"/>
          <w:szCs w:val="36"/>
          <w:lang/>
        </w:rPr>
        <w:t>Appendix A. Data sources and variable construction</w:t>
      </w:r>
    </w:p>
    <w:p w14:paraId="76FBCA8B">
      <w:p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b/>
          <w:bCs/>
          <w:kern w:val="0"/>
          <w:sz w:val="22"/>
          <w:szCs w:val="22"/>
          <w:lang/>
        </w:rPr>
        <w:t>Lithium price data</w:t>
      </w:r>
      <w:r>
        <w:rPr>
          <w:rFonts w:ascii="Times New Roman" w:hAnsi="Times New Roman" w:eastAsia="Arial" w:cs="Times New Roman"/>
          <w:kern w:val="0"/>
          <w:sz w:val="22"/>
          <w:szCs w:val="22"/>
          <w:lang/>
        </w:rPr>
        <w:t xml:space="preserve"> - Source: International Monetary Fund (IMF) Primary Commodity Prices database (Lithium metal, 99% purity, battery grade) (IMF, 2025) </w:t>
      </w:r>
    </w:p>
    <w:p w14:paraId="34963EA4">
      <w:p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b/>
          <w:bCs/>
          <w:kern w:val="0"/>
          <w:sz w:val="22"/>
          <w:szCs w:val="22"/>
          <w:lang/>
        </w:rPr>
        <w:t>Mineral exploration expenditure</w:t>
      </w:r>
      <w:r>
        <w:rPr>
          <w:rFonts w:ascii="Times New Roman" w:hAnsi="Times New Roman" w:eastAsia="Arial" w:cs="Times New Roman"/>
          <w:kern w:val="0"/>
          <w:sz w:val="22"/>
          <w:szCs w:val="22"/>
          <w:lang/>
        </w:rPr>
        <w:t xml:space="preserve"> - Source: National Non-Oil and Gas Geological Exploration Statistical Annual Report, Ministry of Natural Resources of the People’s Republic of China (MNR, 2015–2024). </w:t>
      </w:r>
    </w:p>
    <w:p w14:paraId="02EDF512">
      <w:p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b/>
          <w:bCs/>
          <w:kern w:val="0"/>
          <w:sz w:val="22"/>
          <w:szCs w:val="22"/>
          <w:lang/>
        </w:rPr>
        <w:t xml:space="preserve">Consumer price index (CPI) </w:t>
      </w:r>
      <w:r>
        <w:rPr>
          <w:rFonts w:ascii="Times New Roman" w:hAnsi="Times New Roman" w:eastAsia="Arial" w:cs="Times New Roman"/>
          <w:kern w:val="0"/>
          <w:sz w:val="22"/>
          <w:szCs w:val="22"/>
          <w:lang/>
        </w:rPr>
        <w:t xml:space="preserve">- Source: National Bureau of Statistics of China (NBS, 2025). </w:t>
      </w:r>
    </w:p>
    <w:p w14:paraId="7DDF5EB2">
      <w:p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b/>
          <w:bCs/>
          <w:kern w:val="0"/>
          <w:sz w:val="22"/>
          <w:szCs w:val="22"/>
          <w:lang/>
        </w:rPr>
        <w:t xml:space="preserve">Funding channels: </w:t>
      </w:r>
      <w:r>
        <w:rPr>
          <w:rFonts w:ascii="Times New Roman" w:hAnsi="Times New Roman" w:eastAsia="Arial" w:cs="Times New Roman"/>
          <w:kern w:val="0"/>
          <w:sz w:val="22"/>
          <w:szCs w:val="22"/>
          <w:lang/>
        </w:rPr>
        <w:t>central fiscal appropriations (central_exp), provincial fiscal appropriations (provincial_exp), and enterprise-side expenditure (enterprise_exp). The enterprise category corresponds to the “social funds” classification in official statistics and may include both state-owned and non-state entities. It is therefore interpreted as enterprise-side or non-fiscal financing rather than purely private capital.</w:t>
      </w:r>
      <w:r>
        <w:rPr>
          <w:rFonts w:hint="eastAsia" w:ascii="Times New Roman" w:hAnsi="Times New Roman" w:eastAsia="Arial" w:cs="Times New Roman"/>
          <w:kern w:val="0"/>
          <w:sz w:val="22"/>
          <w:szCs w:val="22"/>
          <w:lang/>
        </w:rPr>
        <w:t xml:space="preserve"> </w:t>
      </w:r>
      <w:r>
        <w:rPr>
          <w:rFonts w:ascii="Times New Roman" w:hAnsi="Times New Roman" w:eastAsia="Arial" w:cs="Times New Roman"/>
          <w:kern w:val="0"/>
          <w:sz w:val="22"/>
          <w:szCs w:val="22"/>
          <w:lang/>
        </w:rPr>
        <w:t>The zero value reported for central fiscal exploration expenditure in 2023 follows the official statistical record and indicates that no central fiscal input was reported for lithium exploration in that year. It is treated as an observed value in the dataset.</w:t>
      </w:r>
    </w:p>
    <w:p w14:paraId="7D40C47B">
      <w:p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b/>
          <w:bCs/>
          <w:kern w:val="0"/>
          <w:sz w:val="22"/>
          <w:szCs w:val="22"/>
          <w:lang/>
        </w:rPr>
        <w:t>Total exploration expenditure</w:t>
      </w:r>
      <w:r>
        <w:rPr>
          <w:rFonts w:ascii="Times New Roman" w:hAnsi="Times New Roman" w:eastAsia="Arial" w:cs="Times New Roman"/>
          <w:kern w:val="0"/>
          <w:sz w:val="22"/>
          <w:szCs w:val="22"/>
          <w:lang/>
        </w:rPr>
        <w:t>:</w:t>
      </w:r>
    </w:p>
    <w:p w14:paraId="38BE9028">
      <w:pPr>
        <w:spacing w:line="480" w:lineRule="auto"/>
        <w:jc w:val="left"/>
        <w:rPr>
          <w:rFonts w:ascii="Times New Roman" w:hAnsi="Times New Roman" w:eastAsia="Arial" w:cs="Times New Roman"/>
          <w:kern w:val="0"/>
          <w:sz w:val="22"/>
          <w:szCs w:val="22"/>
          <w:lang/>
        </w:rPr>
      </w:pPr>
      <m:oMathPara>
        <m:oMath>
          <m:r>
            <m:rPr/>
            <w:rPr>
              <w:rFonts w:ascii="Cambria Math" w:hAnsi="Cambria Math" w:cs="Times New Roman"/>
            </w:rPr>
            <m:t>tota</m:t>
          </m:r>
          <m:sSub>
            <m:sSubPr>
              <m:ctrlPr>
                <w:rPr>
                  <w:rFonts w:ascii="Cambria Math" w:hAnsi="Cambria Math" w:cs="Times New Roman"/>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ex</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=centra</m:t>
          </m:r>
          <m:sSub>
            <m:sSubPr>
              <m:ctrlPr>
                <w:rPr>
                  <w:rFonts w:ascii="Cambria Math" w:hAnsi="Cambria Math" w:cs="Times New Roman"/>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ex</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+provincia</m:t>
          </m:r>
          <m:sSub>
            <m:sSubPr>
              <m:ctrlPr>
                <w:rPr>
                  <w:rFonts w:ascii="Cambria Math" w:hAnsi="Cambria Math" w:cs="Times New Roman"/>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ex</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+enterpris</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i/>
                </w:rPr>
              </m:ctrlPr>
            </m:e>
            <m:sub>
              <m:r>
                <m:rPr/>
                <w:rPr>
                  <w:rFonts w:ascii="Cambria Math" w:hAnsi="Cambria Math" w:cs="Times New Roman"/>
                </w:rPr>
                <m:t>ex</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sub>
          </m:sSub>
        </m:oMath>
      </m:oMathPara>
    </w:p>
    <w:p w14:paraId="01AD108C">
      <w:pPr>
        <w:adjustRightInd w:val="0"/>
        <w:snapToGrid w:val="0"/>
        <w:spacing w:line="480" w:lineRule="auto"/>
        <w:jc w:val="both"/>
        <w:rPr>
          <w:rFonts w:ascii="Times New Roman" w:hAnsi="Times New Roman" w:eastAsia="Arial" w:cs="Times New Roman"/>
          <w:b/>
          <w:bCs/>
          <w:kern w:val="0"/>
          <w:sz w:val="22"/>
          <w:szCs w:val="22"/>
          <w:lang/>
        </w:rPr>
      </w:pPr>
      <w:r>
        <w:rPr>
          <w:rFonts w:ascii="Times New Roman" w:hAnsi="Times New Roman" w:eastAsia="Arial" w:cs="Times New Roman"/>
          <w:b/>
          <w:bCs/>
          <w:kern w:val="0"/>
          <w:sz w:val="22"/>
          <w:szCs w:val="22"/>
          <w:lang/>
        </w:rPr>
        <w:t>Real expenditure:</w:t>
      </w:r>
    </w:p>
    <w:p w14:paraId="67607F4F">
      <w:pPr>
        <w:spacing w:line="480" w:lineRule="auto"/>
        <w:jc w:val="left"/>
        <w:rPr>
          <w:rFonts w:ascii="Times New Roman" w:hAnsi="Times New Roman" w:eastAsia="Arial" w:cs="Times New Roman"/>
          <w:kern w:val="0"/>
          <w:sz w:val="22"/>
          <w:szCs w:val="22"/>
          <w:lang/>
        </w:rPr>
      </w:pPr>
      <m:oMathPara>
        <m:oMath>
          <m:r>
            <m:rPr/>
            <w:rPr>
              <w:rFonts w:ascii="Cambria Math" w:hAnsi="Cambria Math" w:cs="Times New Roman"/>
            </w:rPr>
            <m:t>rea</m:t>
          </m:r>
          <m:sSub>
            <m:sSubPr>
              <m:ctrlPr>
                <w:rPr>
                  <w:rFonts w:ascii="Cambria Math" w:hAnsi="Cambria Math" w:cs="Times New Roman"/>
                </w:rPr>
              </m:ctrlPr>
            </m:sSubPr>
            <m:e>
              <m:r>
                <m:rPr/>
                <w:rPr>
                  <w:rFonts w:ascii="Cambria Math" w:hAnsi="Cambria Math" w:cs="Times New Roman"/>
                </w:rPr>
                <m:t>l</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nomina</m:t>
              </m:r>
              <m:sSub>
                <m:sSubPr>
                  <m:ctrlPr>
                    <w:rPr>
                      <w:rFonts w:ascii="Cambria Math" w:hAnsi="Cambria Math" w:cs="Times New Roman"/>
                    </w:rPr>
                  </m:ctrlPr>
                </m:sSubPr>
                <m:e>
                  <m:r>
                    <m:rPr/>
                    <w:rPr>
                      <w:rFonts w:ascii="Cambria Math" w:hAnsi="Cambria Math" w:cs="Times New Roman"/>
                    </w:rPr>
                    <m:t>l</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×100</m:t>
              </m:r>
              <m:ctrlPr>
                <w:rPr>
                  <w:rFonts w:ascii="Cambria Math" w:hAnsi="Cambria Math" w:cs="Times New Roman"/>
                </w:rPr>
              </m:ctrlPr>
            </m:num>
            <m:den>
              <m:r>
                <m:rPr/>
                <w:rPr>
                  <w:rFonts w:ascii="Cambria Math" w:hAnsi="Cambria Math" w:cs="Times New Roman"/>
                </w:rPr>
                <m:t>CP</m:t>
              </m:r>
              <m:sSub>
                <m:sSubPr>
                  <m:ctrlPr>
                    <w:rPr>
                      <w:rFonts w:ascii="Cambria Math" w:hAnsi="Cambria Math" w:cs="Times New Roman"/>
                    </w:rPr>
                  </m:ctrlPr>
                </m:sSubPr>
                <m:e>
                  <m:r>
                    <m:rPr/>
                    <w:rPr>
                      <w:rFonts w:ascii="Cambria Math" w:hAnsi="Cambria Math" w:cs="Times New Roman"/>
                    </w:rPr>
                    <m:t>I</m:t>
                  </m:r>
                  <m:ctrlPr>
                    <w:rPr>
                      <w:rFonts w:ascii="Cambria Math" w:hAnsi="Cambria Math" w:cs="Times New Roman"/>
                    </w:rPr>
                  </m:ctrlPr>
                </m:e>
                <m:sub>
                  <m:r>
                    <m:rPr/>
                    <w:rPr>
                      <w:rFonts w:ascii="Cambria Math" w:hAnsi="Cambria Math" w:cs="Times New Roman"/>
                    </w:rPr>
                    <m:t>2016=100,t</m:t>
                  </m:r>
                  <m:ctrlPr>
                    <w:rPr>
                      <w:rFonts w:ascii="Cambria Math" w:hAnsi="Cambria Math" w:cs="Times New Roman"/>
                    </w:rPr>
                  </m:ctrlPr>
                </m:sub>
              </m:sSub>
              <m:ctrlPr>
                <w:rPr>
                  <w:rFonts w:ascii="Cambria Math" w:hAnsi="Cambria Math" w:cs="Times New Roman"/>
                </w:rPr>
              </m:ctrlPr>
            </m:den>
          </m:f>
        </m:oMath>
      </m:oMathPara>
    </w:p>
    <w:p w14:paraId="7C00D93B">
      <w:p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Although an exploration-cost or mining-sector deflator could better reflect sector-specific input costs, no consistent annual series covering the study period is publicly available. The national CPI provides a common, transparent, and reproducible basis for expressing expenditure in constant prices across years, although it may not fully capture changes in exploration-specific input costs.</w:t>
      </w:r>
    </w:p>
    <w:p w14:paraId="479AB3FB">
      <w:p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b/>
          <w:bCs/>
          <w:kern w:val="0"/>
          <w:sz w:val="22"/>
          <w:szCs w:val="22"/>
          <w:lang/>
        </w:rPr>
        <w:t>Lithium price transformation</w:t>
      </w:r>
      <w:r>
        <w:rPr>
          <w:rFonts w:ascii="Times New Roman" w:hAnsi="Times New Roman" w:eastAsia="Arial" w:cs="Times New Roman"/>
          <w:kern w:val="0"/>
          <w:sz w:val="22"/>
          <w:szCs w:val="22"/>
          <w:lang/>
        </w:rPr>
        <w:t>:</w:t>
      </w:r>
    </w:p>
    <w:p w14:paraId="14F76E4A">
      <w:pPr>
        <w:numPr>
          <w:ilvl w:val="0"/>
          <w:numId w:val="0"/>
        </w:numPr>
        <w:spacing w:line="480" w:lineRule="auto"/>
        <w:jc w:val="left"/>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 xml:space="preserve">Natural logarithm: </w:t>
      </w:r>
      <m:oMath>
        <m:func>
          <m:funcPr>
            <m:ctrlPr>
              <w:rPr>
                <w:rFonts w:ascii="Cambria Math" w:hAnsi="Cambria Math" w:cs="Times New Roman"/>
                <w:i/>
              </w:rPr>
            </m:ctrlPr>
          </m:funcPr>
          <m:fName>
            <m:r>
              <m:rPr>
                <m:sty m:val="p"/>
              </m:rPr>
              <w:rPr>
                <w:rFonts w:ascii="Cambria Math" w:hAnsi="Cambria Math" w:cs="Times New Roman"/>
              </w:rPr>
              <m:t>ln</m:t>
            </m:r>
            <m:ctrlPr>
              <w:rPr>
                <w:rFonts w:ascii="Cambria Math" w:hAnsi="Cambria Math" w:cs="Times New Roman"/>
              </w:rPr>
            </m:ctrlPr>
          </m:fName>
          <m:e>
            <m:d>
              <m:dPr>
                <m:ctrlPr>
                  <w:rPr>
                    <w:rFonts w:ascii="Cambria Math" w:hAnsi="Cambria Math" w:cs="Times New Roman"/>
                    <w:i/>
                  </w:rPr>
                </m:ctrlPr>
              </m:dPr>
              <m:e>
                <m:r>
                  <m:rPr/>
                  <w:rPr>
                    <w:rFonts w:ascii="Cambria Math" w:hAnsi="Cambria Math" w:cs="Times New Roman"/>
                  </w:rPr>
                  <m:t>pric</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i/>
                  </w:rPr>
                </m:ctrlPr>
              </m:e>
            </m:d>
            <m:ctrlPr>
              <w:rPr>
                <w:rFonts w:ascii="Cambria Math" w:hAnsi="Cambria Math" w:cs="Times New Roman"/>
                <w:i/>
              </w:rPr>
            </m:ctrlPr>
          </m:e>
        </m:func>
        <m:r>
          <m:rP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r>
                  <m:rPr/>
                  <w:rPr>
                    <w:rFonts w:ascii="Cambria Math" w:hAnsi="Cambria Math" w:cs="Times New Roman"/>
                  </w:rPr>
                  <m:t>Lithiu</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i/>
                      </w:rPr>
                    </m:ctrlPr>
                  </m:e>
                  <m:sub>
                    <m:r>
                      <m:rPr/>
                      <w:rPr>
                        <w:rFonts w:ascii="Cambria Math" w:hAnsi="Cambria Math" w:cs="Times New Roman"/>
                      </w:rPr>
                      <m:t>pric</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IMF,t</m:t>
                        </m:r>
                        <m:ctrlPr>
                          <w:rPr>
                            <w:rFonts w:ascii="Cambria Math" w:hAnsi="Cambria Math" w:cs="Times New Roman"/>
                          </w:rPr>
                        </m:ctrlPr>
                      </m:sub>
                    </m:sSub>
                    <m:ctrlPr>
                      <w:rPr>
                        <w:rFonts w:ascii="Cambria Math" w:hAnsi="Cambria Math" w:cs="Times New Roman"/>
                      </w:rPr>
                    </m:ctrlPr>
                  </m:sub>
                </m:sSub>
                <m:ctrlPr>
                  <w:rPr>
                    <w:rFonts w:ascii="Cambria Math" w:hAnsi="Cambria Math" w:cs="Times New Roman"/>
                    <w:i/>
                  </w:rPr>
                </m:ctrlPr>
              </m:e>
            </m:d>
            <m:ctrlPr>
              <w:rPr>
                <w:rFonts w:ascii="Cambria Math" w:hAnsi="Cambria Math" w:cs="Times New Roman"/>
                <w:i/>
              </w:rPr>
            </m:ctrlPr>
          </m:e>
        </m:func>
      </m:oMath>
    </w:p>
    <w:p w14:paraId="734ED902">
      <w:pPr>
        <w:numPr>
          <w:ilvl w:val="0"/>
          <w:numId w:val="0"/>
        </w:numPr>
        <w:spacing w:line="480" w:lineRule="auto"/>
        <w:jc w:val="left"/>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 xml:space="preserve">Two empirical representations of price conditions are used in the analysis: </w:t>
      </w:r>
    </w:p>
    <w:p w14:paraId="32E8108C">
      <w:pPr>
        <w:spacing w:line="480" w:lineRule="auto"/>
        <w:jc w:val="left"/>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 xml:space="preserve">lagged log price levels: </w:t>
      </w:r>
      <m:oMath>
        <m:func>
          <m:funcPr>
            <m:ctrlPr>
              <w:rPr>
                <w:rFonts w:ascii="Cambria Math" w:hAnsi="Cambria Math" w:cs="Times New Roman"/>
                <w:i/>
              </w:rPr>
            </m:ctrlPr>
          </m:funcPr>
          <m:fName>
            <m:r>
              <m:rPr>
                <m:sty m:val="p"/>
              </m:rPr>
              <w:rPr>
                <w:rFonts w:ascii="Cambria Math" w:hAnsi="Cambria Math" w:cs="Times New Roman"/>
              </w:rPr>
              <m:t>ln</m:t>
            </m:r>
            <m:ctrlPr>
              <w:rPr>
                <w:rFonts w:ascii="Cambria Math" w:hAnsi="Cambria Math" w:cs="Times New Roman"/>
              </w:rPr>
            </m:ctrlPr>
          </m:fName>
          <m:e>
            <m:d>
              <m:dPr>
                <m:ctrlPr>
                  <w:rPr>
                    <w:rFonts w:ascii="Cambria Math" w:hAnsi="Cambria Math" w:cs="Times New Roman"/>
                    <w:i/>
                  </w:rPr>
                </m:ctrlPr>
              </m:dPr>
              <m:e>
                <m:r>
                  <m:rPr/>
                  <w:rPr>
                    <w:rFonts w:ascii="Cambria Math" w:hAnsi="Cambria Math" w:cs="Times New Roman"/>
                  </w:rPr>
                  <m:t>pric</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t−1</m:t>
                    </m:r>
                    <m:ctrlPr>
                      <w:rPr>
                        <w:rFonts w:ascii="Cambria Math" w:hAnsi="Cambria Math" w:cs="Times New Roman"/>
                      </w:rPr>
                    </m:ctrlPr>
                  </m:sub>
                </m:sSub>
                <m:ctrlPr>
                  <w:rPr>
                    <w:rFonts w:ascii="Cambria Math" w:hAnsi="Cambria Math" w:cs="Times New Roman"/>
                    <w:i/>
                  </w:rPr>
                </m:ctrlPr>
              </m:e>
            </m:d>
            <m:ctrlPr>
              <w:rPr>
                <w:rFonts w:ascii="Cambria Math" w:hAnsi="Cambria Math" w:cs="Times New Roman"/>
                <w:i/>
              </w:rPr>
            </m:ctrlPr>
          </m:e>
        </m:func>
      </m:oMath>
      <w:r>
        <w:rPr>
          <w:rFonts w:ascii="Times New Roman" w:hAnsi="Times New Roman" w:eastAsia="Arial" w:cs="Times New Roman"/>
          <w:kern w:val="0"/>
          <w:sz w:val="22"/>
          <w:szCs w:val="22"/>
          <w:lang/>
        </w:rPr>
        <w:t xml:space="preserve"> </w:t>
      </w:r>
    </w:p>
    <w:p w14:paraId="0BCF9737">
      <w:pPr>
        <w:spacing w:line="480" w:lineRule="auto"/>
        <w:jc w:val="left"/>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 xml:space="preserve">Annual log price changes capture short-run price movements: </w:t>
      </w:r>
      <m:oMath>
        <m:r>
          <m:rPr>
            <m:sty m:val="p"/>
          </m:rPr>
          <w:rPr>
            <w:rFonts w:ascii="Cambria Math" w:hAnsi="Cambria Math" w:cs="Times New Roman"/>
          </w:rPr>
          <m:t>Δ</m:t>
        </m:r>
        <m:func>
          <m:funcPr>
            <m:ctrlPr>
              <w:rPr>
                <w:rFonts w:ascii="Cambria Math" w:hAnsi="Cambria Math" w:cs="Times New Roman"/>
                <w:i/>
              </w:rPr>
            </m:ctrlPr>
          </m:funcPr>
          <m:fName>
            <m:r>
              <m:rPr>
                <m:sty m:val="p"/>
              </m:rPr>
              <w:rPr>
                <w:rFonts w:ascii="Cambria Math" w:hAnsi="Cambria Math" w:cs="Times New Roman"/>
              </w:rPr>
              <m:t>ln</m:t>
            </m:r>
            <m:ctrlPr>
              <w:rPr>
                <w:rFonts w:ascii="Cambria Math" w:hAnsi="Cambria Math" w:cs="Times New Roman"/>
              </w:rPr>
            </m:ctrlPr>
          </m:fName>
          <m:e>
            <m:d>
              <m:dPr>
                <m:ctrlPr>
                  <w:rPr>
                    <w:rFonts w:ascii="Cambria Math" w:hAnsi="Cambria Math" w:cs="Times New Roman"/>
                    <w:i/>
                  </w:rPr>
                </m:ctrlPr>
              </m:dPr>
              <m:e>
                <m:r>
                  <m:rPr/>
                  <w:rPr>
                    <w:rFonts w:ascii="Cambria Math" w:hAnsi="Cambria Math" w:cs="Times New Roman"/>
                  </w:rPr>
                  <m:t>pric</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i/>
                  </w:rPr>
                </m:ctrlPr>
              </m:e>
            </m:d>
            <m:ctrlPr>
              <w:rPr>
                <w:rFonts w:ascii="Cambria Math" w:hAnsi="Cambria Math" w:cs="Times New Roman"/>
                <w:i/>
              </w:rPr>
            </m:ctrlPr>
          </m:e>
        </m:func>
        <m:r>
          <m:rP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r>
                  <m:rPr/>
                  <w:rPr>
                    <w:rFonts w:ascii="Cambria Math" w:hAnsi="Cambria Math" w:cs="Times New Roman"/>
                  </w:rPr>
                  <m:t>pric</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i/>
                  </w:rPr>
                </m:ctrlPr>
              </m:e>
            </m:d>
            <m:ctrlPr>
              <w:rPr>
                <w:rFonts w:ascii="Cambria Math" w:hAnsi="Cambria Math" w:cs="Times New Roman"/>
                <w:i/>
              </w:rPr>
            </m:ctrlPr>
          </m:e>
        </m:func>
        <m:r>
          <m:rP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r>
                  <m:rPr/>
                  <w:rPr>
                    <w:rFonts w:ascii="Cambria Math" w:hAnsi="Cambria Math" w:cs="Times New Roman"/>
                  </w:rPr>
                  <m:t>pric</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t−1</m:t>
                    </m:r>
                    <m:ctrlPr>
                      <w:rPr>
                        <w:rFonts w:ascii="Cambria Math" w:hAnsi="Cambria Math" w:cs="Times New Roman"/>
                      </w:rPr>
                    </m:ctrlPr>
                  </m:sub>
                </m:sSub>
                <m:ctrlPr>
                  <w:rPr>
                    <w:rFonts w:ascii="Cambria Math" w:hAnsi="Cambria Math" w:cs="Times New Roman"/>
                    <w:i/>
                  </w:rPr>
                </m:ctrlPr>
              </m:e>
            </m:d>
            <m:ctrlPr>
              <w:rPr>
                <w:rFonts w:ascii="Cambria Math" w:hAnsi="Cambria Math" w:cs="Times New Roman"/>
                <w:i/>
              </w:rPr>
            </m:ctrlPr>
          </m:e>
        </m:func>
      </m:oMath>
      <w:r>
        <w:rPr>
          <w:rFonts w:ascii="Times New Roman" w:hAnsi="Times New Roman" w:eastAsia="Arial" w:cs="Times New Roman"/>
          <w:kern w:val="0"/>
          <w:sz w:val="22"/>
          <w:szCs w:val="22"/>
          <w:lang/>
        </w:rPr>
        <w:t>.</w:t>
      </w:r>
    </w:p>
    <w:p w14:paraId="35E8CFFB">
      <w:pPr>
        <w:adjustRightInd w:val="0"/>
        <w:snapToGrid w:val="0"/>
        <w:spacing w:line="480" w:lineRule="auto"/>
        <w:jc w:val="both"/>
        <w:rPr>
          <w:rFonts w:ascii="Times New Roman" w:hAnsi="Times New Roman" w:eastAsia="Arial" w:cs="Times New Roman"/>
          <w:b/>
          <w:bCs/>
          <w:kern w:val="0"/>
          <w:sz w:val="22"/>
          <w:szCs w:val="22"/>
          <w:lang/>
        </w:rPr>
      </w:pPr>
      <w:r>
        <w:rPr>
          <w:rFonts w:ascii="Times New Roman" w:hAnsi="Times New Roman" w:eastAsia="Arial" w:cs="Times New Roman"/>
          <w:b/>
          <w:bCs/>
          <w:kern w:val="0"/>
          <w:sz w:val="22"/>
          <w:szCs w:val="22"/>
          <w:lang/>
        </w:rPr>
        <w:t>Main dependent variable</w:t>
      </w:r>
    </w:p>
    <w:p w14:paraId="3F7F9019">
      <w:pPr>
        <w:numPr>
          <w:ilvl w:val="0"/>
          <w:numId w:val="0"/>
        </w:numPr>
        <w:spacing w:line="480" w:lineRule="auto"/>
        <w:jc w:val="left"/>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 xml:space="preserve">Enterprise financing share: </w:t>
      </w:r>
      <m:oMath>
        <m:r>
          <m:rPr/>
          <w:rPr>
            <w:rFonts w:ascii="Cambria Math" w:hAnsi="Cambria Math" w:cs="Times New Roman"/>
          </w:rPr>
          <m:t>shar</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enterprise,t</m:t>
            </m:r>
            <m:ctrlPr>
              <w:rPr>
                <w:rFonts w:ascii="Cambria Math" w:hAnsi="Cambria Math" w:cs="Times New Roman"/>
              </w:rPr>
            </m:ctrlPr>
          </m:sub>
        </m:sSub>
        <m:r>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enterpris</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i/>
                  </w:rPr>
                </m:ctrlPr>
              </m:e>
              <m:sub>
                <m:r>
                  <m:rPr/>
                  <w:rPr>
                    <w:rFonts w:ascii="Cambria Math" w:hAnsi="Cambria Math" w:cs="Times New Roman"/>
                  </w:rPr>
                  <m:t>ex</m:t>
                </m:r>
                <m:sSubSup>
                  <m:sSubSupPr>
                    <m:ctrlPr>
                      <w:rPr>
                        <w:rFonts w:ascii="Cambria Math" w:hAnsi="Cambria Math" w:cs="Times New Roman"/>
                      </w:rPr>
                    </m:ctrlPr>
                  </m:sSubSup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r>
                      <m:rPr/>
                      <w:rPr>
                        <w:rFonts w:ascii="Cambria Math" w:hAnsi="Cambria Math" w:cs="Times New Roman"/>
                      </w:rPr>
                      <m:t>real</m:t>
                    </m:r>
                    <m:ctrlPr>
                      <w:rPr>
                        <w:rFonts w:ascii="Cambria Math" w:hAnsi="Cambria Math" w:cs="Times New Roman"/>
                      </w:rPr>
                    </m:ctrlPr>
                  </m:sup>
                </m:sSubSup>
                <m:ctrlPr>
                  <w:rPr>
                    <w:rFonts w:ascii="Cambria Math" w:hAnsi="Cambria Math" w:cs="Times New Roman"/>
                  </w:rPr>
                </m:ctrlPr>
              </m:sub>
            </m:sSub>
            <m:ctrlPr>
              <w:rPr>
                <w:rFonts w:ascii="Cambria Math" w:hAnsi="Cambria Math" w:cs="Times New Roman"/>
              </w:rPr>
            </m:ctrlPr>
          </m:num>
          <m:den>
            <m:r>
              <m:rPr/>
              <w:rPr>
                <w:rFonts w:ascii="Cambria Math" w:hAnsi="Cambria Math" w:cs="Times New Roman"/>
              </w:rPr>
              <m:t>tota</m:t>
            </m:r>
            <m:sSub>
              <m:sSubPr>
                <m:ctrlPr>
                  <w:rPr>
                    <w:rFonts w:ascii="Cambria Math" w:hAnsi="Cambria Math" w:cs="Times New Roman"/>
                  </w:rPr>
                </m:ctrlPr>
              </m:sSubPr>
              <m:e>
                <m:r>
                  <m:rPr/>
                  <w:rPr>
                    <w:rFonts w:ascii="Cambria Math" w:hAnsi="Cambria Math" w:cs="Times New Roman"/>
                  </w:rPr>
                  <m:t>l</m:t>
                </m:r>
                <m:ctrlPr>
                  <w:rPr>
                    <w:rFonts w:ascii="Cambria Math" w:hAnsi="Cambria Math" w:cs="Times New Roman"/>
                    <w:i/>
                  </w:rPr>
                </m:ctrlPr>
              </m:e>
              <m:sub>
                <m:r>
                  <m:rPr/>
                  <w:rPr>
                    <w:rFonts w:ascii="Cambria Math" w:hAnsi="Cambria Math" w:cs="Times New Roman"/>
                  </w:rPr>
                  <m:t>ex</m:t>
                </m:r>
                <m:sSubSup>
                  <m:sSubSupPr>
                    <m:ctrlPr>
                      <w:rPr>
                        <w:rFonts w:ascii="Cambria Math" w:hAnsi="Cambria Math" w:cs="Times New Roman"/>
                      </w:rPr>
                    </m:ctrlPr>
                  </m:sSubSup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r>
                      <m:rPr/>
                      <w:rPr>
                        <w:rFonts w:ascii="Cambria Math" w:hAnsi="Cambria Math" w:cs="Times New Roman"/>
                      </w:rPr>
                      <m:t>real</m:t>
                    </m:r>
                    <m:ctrlPr>
                      <w:rPr>
                        <w:rFonts w:ascii="Cambria Math" w:hAnsi="Cambria Math" w:cs="Times New Roman"/>
                      </w:rPr>
                    </m:ctrlPr>
                  </m:sup>
                </m:sSubSup>
                <m:ctrlPr>
                  <w:rPr>
                    <w:rFonts w:ascii="Cambria Math" w:hAnsi="Cambria Math" w:cs="Times New Roman"/>
                  </w:rPr>
                </m:ctrlPr>
              </m:sub>
            </m:sSub>
            <m:ctrlPr>
              <w:rPr>
                <w:rFonts w:ascii="Cambria Math" w:hAnsi="Cambria Math" w:cs="Times New Roman"/>
              </w:rPr>
            </m:ctrlPr>
          </m:den>
        </m:f>
      </m:oMath>
    </w:p>
    <w:p w14:paraId="1BC7E69A">
      <w:pPr>
        <w:numPr>
          <w:ilvl w:val="0"/>
          <w:numId w:val="0"/>
        </w:num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 xml:space="preserve">Public financing share: </w:t>
      </w:r>
      <m:oMath>
        <m:r>
          <m:rPr/>
          <w:rPr>
            <w:rFonts w:ascii="Cambria Math" w:hAnsi="Cambria Math" w:cs="Times New Roman"/>
          </w:rPr>
          <m:t>shar</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public,t</m:t>
            </m:r>
            <m:ctrlPr>
              <w:rPr>
                <w:rFonts w:ascii="Cambria Math" w:hAnsi="Cambria Math" w:cs="Times New Roman"/>
              </w:rPr>
            </m:ctrlPr>
          </m:sub>
        </m:sSub>
        <m:r>
          <m:rPr/>
          <w:rPr>
            <w:rFonts w:ascii="Cambria Math" w:hAnsi="Cambria Math" w:cs="Times New Roman"/>
          </w:rPr>
          <m:t>=1−shar</m:t>
        </m:r>
        <m:sSub>
          <m:sSubPr>
            <m:ctrlPr>
              <w:rPr>
                <w:rFonts w:ascii="Cambria Math" w:hAnsi="Cambria Math" w:cs="Times New Roman"/>
              </w:rPr>
            </m:ctrlPr>
          </m:sSubPr>
          <m:e>
            <m:r>
              <m:rPr/>
              <w:rPr>
                <w:rFonts w:ascii="Cambria Math" w:hAnsi="Cambria Math" w:cs="Times New Roman"/>
              </w:rPr>
              <m:t>e</m:t>
            </m:r>
            <m:ctrlPr>
              <w:rPr>
                <w:rFonts w:ascii="Cambria Math" w:hAnsi="Cambria Math" w:cs="Times New Roman"/>
              </w:rPr>
            </m:ctrlPr>
          </m:e>
          <m:sub>
            <m:r>
              <m:rPr/>
              <w:rPr>
                <w:rFonts w:ascii="Cambria Math" w:hAnsi="Cambria Math" w:cs="Times New Roman"/>
              </w:rPr>
              <m:t>enterprise,t</m:t>
            </m:r>
            <m:ctrlPr>
              <w:rPr>
                <w:rFonts w:ascii="Cambria Math" w:hAnsi="Cambria Math" w:cs="Times New Roman"/>
              </w:rPr>
            </m:ctrlPr>
          </m:sub>
        </m:sSub>
      </m:oMath>
    </w:p>
    <w:p w14:paraId="5EE65B6A">
      <w:pPr>
        <w:adjustRightInd w:val="0"/>
        <w:snapToGrid w:val="0"/>
        <w:spacing w:line="480" w:lineRule="auto"/>
        <w:jc w:val="both"/>
        <w:rPr>
          <w:rFonts w:ascii="Times New Roman" w:hAnsi="Times New Roman" w:eastAsia="Arial" w:cs="Times New Roman"/>
          <w:b/>
          <w:bCs/>
          <w:kern w:val="0"/>
          <w:sz w:val="22"/>
          <w:szCs w:val="22"/>
          <w:lang/>
        </w:rPr>
      </w:pPr>
      <w:r>
        <w:rPr>
          <w:rFonts w:ascii="Times New Roman" w:hAnsi="Times New Roman" w:eastAsia="Arial" w:cs="Times New Roman"/>
          <w:b/>
          <w:bCs/>
          <w:kern w:val="0"/>
          <w:sz w:val="22"/>
          <w:szCs w:val="22"/>
          <w:lang/>
        </w:rPr>
        <w:t xml:space="preserve">Data processing workflow: </w:t>
      </w:r>
    </w:p>
    <w:p w14:paraId="464DD78F">
      <w:pPr>
        <w:numPr>
          <w:ilvl w:val="0"/>
          <w:numId w:val="0"/>
        </w:num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Extraction of annual expenditure data from official reports</w:t>
      </w:r>
    </w:p>
    <w:p w14:paraId="335371ED">
      <w:pPr>
        <w:numPr>
          <w:ilvl w:val="0"/>
          <w:numId w:val="0"/>
        </w:num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Harmonization of variable definitions across years</w:t>
      </w:r>
    </w:p>
    <w:p w14:paraId="234656EF">
      <w:pPr>
        <w:numPr>
          <w:ilvl w:val="0"/>
          <w:numId w:val="0"/>
        </w:num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Conversion to consistent units, deflation using CPI (2016 = 100)</w:t>
      </w:r>
    </w:p>
    <w:p w14:paraId="5C81CD63">
      <w:pPr>
        <w:numPr>
          <w:ilvl w:val="0"/>
          <w:numId w:val="0"/>
        </w:num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Construction of total expenditure and financing shares</w:t>
      </w:r>
    </w:p>
    <w:p w14:paraId="7AB14280">
      <w:pPr>
        <w:numPr>
          <w:ilvl w:val="0"/>
          <w:numId w:val="0"/>
        </w:numPr>
        <w:adjustRightInd w:val="0"/>
        <w:snapToGrid w:val="0"/>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 xml:space="preserve">Transformation of price variables. </w:t>
      </w:r>
    </w:p>
    <w:p w14:paraId="7D512C25">
      <w:pPr>
        <w:spacing w:line="480" w:lineRule="auto"/>
        <w:jc w:val="both"/>
        <w:rPr>
          <w:rFonts w:ascii="Times New Roman" w:hAnsi="Times New Roman" w:eastAsia="Arial" w:cs="Times New Roman"/>
          <w:kern w:val="0"/>
          <w:sz w:val="22"/>
          <w:szCs w:val="22"/>
          <w:lang/>
        </w:rPr>
      </w:pPr>
      <w:r>
        <w:rPr>
          <w:rFonts w:ascii="Times New Roman" w:hAnsi="Times New Roman" w:eastAsia="Arial" w:cs="Times New Roman"/>
          <w:kern w:val="0"/>
          <w:sz w:val="22"/>
          <w:szCs w:val="22"/>
          <w:lang/>
        </w:rPr>
        <w:t>For replication, the posted Excel dataset provides the cleaned annual data used in the analysis. The scripts convert this dataset into intermediary CSV files that serve as inputs for estimation. A short mapping note is included in the replication materials to clarify this workflow and ensure that the relationship between the posted data and the code inputs is transparent.</w:t>
      </w:r>
    </w:p>
    <w:p w14:paraId="461540A5">
      <w:bookmarkStart w:id="0" w:name="_GoBack"/>
      <w:bookmarkEnd w:id="0"/>
    </w:p>
    <w:sectPr>
      <w:pgSz w:w="12240" w:h="15840"/>
      <w:pgMar w:top="1440" w:right="1440" w:bottom="1440" w:left="1440" w:header="0" w:footer="720" w:gutter="0"/>
      <w:lnNumType w:countBy="1" w:restart="continuous"/>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503050405090304"/>
    <w:charset w:val="00"/>
    <w:family w:val="auto"/>
    <w:pitch w:val="default"/>
    <w:sig w:usb0="00000000" w:usb1="00000000" w:usb2="00000001" w:usb3="00000000" w:csb0="400001BF" w:csb1="DFF70000"/>
  </w:font>
  <w:font w:name="Times New Roman Regular">
    <w:altName w:val="Times New Roman"/>
    <w:panose1 w:val="02020503050405090304"/>
    <w:charset w:val="00"/>
    <w:family w:val="auto"/>
    <w:pitch w:val="default"/>
    <w:sig w:usb0="00000000" w:usb1="00000000" w:usb2="00000001" w:usb3="00000000" w:csb0="400001BF" w:csb1="DFF7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DB4906"/>
    <w:rsid w:val="04DB4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2026-09-16T00:33:00Z</dcterms:created>
  <dcterms:modified xsi:type="dcterms:W3CDTF">2026-09-16T00:34:28Z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5BCD9732706149ED97FDE5D5561CF1A2_11</vt:lpwstr>
  </property>
  <property fmtid="{D5CDD505-2E9C-101B-9397-08002B2CF9AE}" pid="4" name="KSOTemplateDocerSaveRecord">
    <vt:lpwstr>eyJoZGlkIjoiZDg4YThlODMyN2JlYmQ2NjVhNTVjOTE2MTM0NmY3ZDgiLCJ1c2VySWQiOiI0MTM1MDk3MTgifQ==</vt:lpwstr>
  </property>
</Properties>
</file>