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F64B5">
      <w:pPr>
        <w:pStyle w:val="2"/>
        <w:spacing w:before="156" w:after="156"/>
      </w:pPr>
      <w:r>
        <w:t>Appendix A. Variable Definitions</w:t>
      </w:r>
    </w:p>
    <w:tbl>
      <w:tblPr>
        <w:tblStyle w:val="8"/>
        <w:tblW w:w="0" w:type="auto"/>
        <w:tblInd w:w="-142"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86"/>
        <w:gridCol w:w="998"/>
        <w:gridCol w:w="6180"/>
      </w:tblGrid>
      <w:tr w14:paraId="30735E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486" w:type="dxa"/>
            <w:tcBorders>
              <w:top w:val="single" w:color="auto" w:sz="4" w:space="0"/>
              <w:bottom w:val="single" w:color="auto" w:sz="4" w:space="0"/>
            </w:tcBorders>
            <w:vAlign w:val="center"/>
          </w:tcPr>
          <w:p w14:paraId="3E4778C1">
            <w:pPr>
              <w:widowControl/>
              <w:spacing w:line="240" w:lineRule="auto"/>
              <w:ind w:firstLine="0" w:firstLineChars="0"/>
              <w:jc w:val="center"/>
              <w:rPr>
                <w:rFonts w:eastAsiaTheme="majorHAnsi"/>
                <w:b/>
                <w:bCs/>
                <w:kern w:val="0"/>
                <w:sz w:val="21"/>
                <w:szCs w:val="21"/>
              </w:rPr>
            </w:pPr>
            <w:r>
              <w:rPr>
                <w:rFonts w:eastAsiaTheme="majorHAnsi"/>
                <w:b/>
                <w:bCs/>
                <w:kern w:val="0"/>
                <w:sz w:val="21"/>
                <w:szCs w:val="21"/>
              </w:rPr>
              <w:t>Variable Type</w:t>
            </w:r>
          </w:p>
        </w:tc>
        <w:tc>
          <w:tcPr>
            <w:tcW w:w="998" w:type="dxa"/>
            <w:tcBorders>
              <w:top w:val="single" w:color="auto" w:sz="4" w:space="0"/>
              <w:bottom w:val="single" w:color="auto" w:sz="4" w:space="0"/>
            </w:tcBorders>
            <w:vAlign w:val="center"/>
          </w:tcPr>
          <w:p w14:paraId="56F04779">
            <w:pPr>
              <w:widowControl/>
              <w:spacing w:line="240" w:lineRule="auto"/>
              <w:ind w:firstLine="0" w:firstLineChars="0"/>
              <w:jc w:val="center"/>
              <w:rPr>
                <w:rFonts w:eastAsiaTheme="majorHAnsi"/>
                <w:b/>
                <w:bCs/>
                <w:kern w:val="0"/>
                <w:sz w:val="21"/>
                <w:szCs w:val="21"/>
              </w:rPr>
            </w:pPr>
            <w:r>
              <w:rPr>
                <w:rFonts w:eastAsiaTheme="majorHAnsi"/>
                <w:b/>
                <w:bCs/>
                <w:kern w:val="0"/>
                <w:sz w:val="21"/>
                <w:szCs w:val="21"/>
              </w:rPr>
              <w:t>Variable</w:t>
            </w:r>
          </w:p>
        </w:tc>
        <w:tc>
          <w:tcPr>
            <w:tcW w:w="6180" w:type="dxa"/>
            <w:tcBorders>
              <w:top w:val="single" w:color="auto" w:sz="4" w:space="0"/>
              <w:bottom w:val="single" w:color="auto" w:sz="4" w:space="0"/>
            </w:tcBorders>
            <w:vAlign w:val="center"/>
          </w:tcPr>
          <w:p w14:paraId="5AF2D21C">
            <w:pPr>
              <w:widowControl/>
              <w:spacing w:line="240" w:lineRule="auto"/>
              <w:ind w:firstLine="0" w:firstLineChars="0"/>
              <w:jc w:val="center"/>
              <w:rPr>
                <w:rFonts w:eastAsiaTheme="majorHAnsi"/>
                <w:b/>
                <w:bCs/>
                <w:kern w:val="0"/>
                <w:sz w:val="21"/>
                <w:szCs w:val="21"/>
              </w:rPr>
            </w:pPr>
            <w:r>
              <w:rPr>
                <w:rFonts w:eastAsiaTheme="majorHAnsi"/>
                <w:b/>
                <w:bCs/>
                <w:kern w:val="0"/>
                <w:sz w:val="21"/>
                <w:szCs w:val="21"/>
              </w:rPr>
              <w:t>Definition</w:t>
            </w:r>
          </w:p>
        </w:tc>
      </w:tr>
      <w:tr w14:paraId="791546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486" w:type="dxa"/>
            <w:tcBorders>
              <w:top w:val="single" w:color="auto" w:sz="4" w:space="0"/>
            </w:tcBorders>
            <w:vAlign w:val="center"/>
          </w:tcPr>
          <w:p w14:paraId="54F3B489">
            <w:pPr>
              <w:widowControl/>
              <w:spacing w:line="240" w:lineRule="auto"/>
              <w:ind w:firstLine="0" w:firstLineChars="0"/>
              <w:jc w:val="left"/>
              <w:rPr>
                <w:rFonts w:eastAsiaTheme="majorHAnsi"/>
                <w:kern w:val="0"/>
                <w:sz w:val="21"/>
                <w:szCs w:val="21"/>
              </w:rPr>
            </w:pPr>
            <w:r>
              <w:rPr>
                <w:rFonts w:eastAsiaTheme="majorHAnsi"/>
                <w:kern w:val="0"/>
                <w:sz w:val="21"/>
                <w:szCs w:val="21"/>
              </w:rPr>
              <w:t>Dependent Variable</w:t>
            </w:r>
          </w:p>
        </w:tc>
        <w:tc>
          <w:tcPr>
            <w:tcW w:w="998" w:type="dxa"/>
            <w:tcBorders>
              <w:top w:val="single" w:color="auto" w:sz="4" w:space="0"/>
            </w:tcBorders>
            <w:vAlign w:val="center"/>
          </w:tcPr>
          <w:p w14:paraId="2461CC34">
            <w:pPr>
              <w:widowControl/>
              <w:spacing w:line="240" w:lineRule="auto"/>
              <w:ind w:firstLine="0" w:firstLineChars="0"/>
              <w:jc w:val="left"/>
              <w:rPr>
                <w:rFonts w:eastAsiaTheme="majorHAnsi"/>
                <w:i/>
                <w:iCs/>
                <w:kern w:val="0"/>
                <w:sz w:val="21"/>
                <w:szCs w:val="21"/>
              </w:rPr>
            </w:pPr>
            <w:r>
              <w:rPr>
                <w:rFonts w:eastAsiaTheme="majorHAnsi"/>
                <w:i/>
                <w:iCs/>
                <w:kern w:val="0"/>
                <w:sz w:val="21"/>
                <w:szCs w:val="21"/>
              </w:rPr>
              <w:t>RI</w:t>
            </w:r>
          </w:p>
        </w:tc>
        <w:tc>
          <w:tcPr>
            <w:tcW w:w="6180" w:type="dxa"/>
            <w:tcBorders>
              <w:top w:val="single" w:color="auto" w:sz="4" w:space="0"/>
            </w:tcBorders>
            <w:vAlign w:val="center"/>
          </w:tcPr>
          <w:p w14:paraId="56E3B7F6">
            <w:pPr>
              <w:widowControl/>
              <w:spacing w:line="240" w:lineRule="auto"/>
              <w:ind w:firstLine="0" w:firstLineChars="0"/>
              <w:jc w:val="left"/>
              <w:rPr>
                <w:rFonts w:eastAsiaTheme="majorHAnsi"/>
                <w:kern w:val="0"/>
                <w:sz w:val="21"/>
                <w:szCs w:val="21"/>
              </w:rPr>
            </w:pPr>
            <w:r>
              <w:rPr>
                <w:sz w:val="21"/>
                <w:szCs w:val="21"/>
              </w:rPr>
              <w:t xml:space="preserve">Corporate responsible innovation, measured as the frequency of responsible innovation-related keywords identified using a 116-word dictionary in the </w:t>
            </w:r>
            <w:bookmarkStart w:id="0" w:name="_GoBack"/>
            <w:bookmarkEnd w:id="0"/>
            <w:r>
              <w:rPr>
                <w:sz w:val="21"/>
                <w:szCs w:val="21"/>
              </w:rPr>
              <w:t>MD&amp;A section of firms' annual reports relative to the total number of valid words and multiplied by 100</w:t>
            </w:r>
            <w:r>
              <w:rPr>
                <w:rFonts w:hint="eastAsia"/>
                <w:sz w:val="21"/>
                <w:szCs w:val="21"/>
              </w:rPr>
              <w:t xml:space="preserve">, as suggested by </w:t>
            </w:r>
            <w:r>
              <w:rPr>
                <w:sz w:val="21"/>
                <w:szCs w:val="21"/>
              </w:rPr>
              <w:t>Wang et al. (2026).</w:t>
            </w:r>
          </w:p>
        </w:tc>
      </w:tr>
      <w:tr w14:paraId="731C22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1486" w:type="dxa"/>
            <w:vAlign w:val="center"/>
          </w:tcPr>
          <w:p w14:paraId="4047897E">
            <w:pPr>
              <w:widowControl/>
              <w:spacing w:line="240" w:lineRule="auto"/>
              <w:ind w:firstLine="0" w:firstLineChars="0"/>
              <w:jc w:val="left"/>
              <w:rPr>
                <w:rFonts w:eastAsiaTheme="majorHAnsi"/>
                <w:kern w:val="0"/>
                <w:sz w:val="21"/>
                <w:szCs w:val="21"/>
              </w:rPr>
            </w:pPr>
            <w:r>
              <w:rPr>
                <w:rFonts w:eastAsiaTheme="majorHAnsi"/>
                <w:kern w:val="0"/>
                <w:sz w:val="21"/>
                <w:szCs w:val="21"/>
              </w:rPr>
              <w:t>Independent Variable</w:t>
            </w:r>
          </w:p>
        </w:tc>
        <w:tc>
          <w:tcPr>
            <w:tcW w:w="998" w:type="dxa"/>
            <w:vAlign w:val="center"/>
          </w:tcPr>
          <w:p w14:paraId="13726F88">
            <w:pPr>
              <w:widowControl/>
              <w:spacing w:line="240" w:lineRule="auto"/>
              <w:ind w:firstLine="0" w:firstLineChars="0"/>
              <w:jc w:val="left"/>
              <w:rPr>
                <w:rFonts w:eastAsiaTheme="majorHAnsi"/>
                <w:i/>
                <w:iCs/>
                <w:kern w:val="0"/>
                <w:sz w:val="21"/>
                <w:szCs w:val="21"/>
              </w:rPr>
            </w:pPr>
            <w:r>
              <w:rPr>
                <w:rFonts w:eastAsiaTheme="majorHAnsi"/>
                <w:i/>
                <w:iCs/>
                <w:kern w:val="0"/>
                <w:sz w:val="21"/>
                <w:szCs w:val="21"/>
              </w:rPr>
              <w:t>ER</w:t>
            </w:r>
          </w:p>
        </w:tc>
        <w:tc>
          <w:tcPr>
            <w:tcW w:w="6180" w:type="dxa"/>
            <w:vAlign w:val="center"/>
          </w:tcPr>
          <w:p w14:paraId="282D7632">
            <w:pPr>
              <w:spacing w:line="240" w:lineRule="auto"/>
              <w:ind w:firstLine="0" w:firstLineChars="0"/>
              <w:rPr>
                <w:sz w:val="21"/>
                <w:szCs w:val="21"/>
              </w:rPr>
            </w:pPr>
            <w:r>
              <w:rPr>
                <w:sz w:val="21"/>
                <w:szCs w:val="21"/>
              </w:rPr>
              <w:t>Environmental regulation, measured as the negative value of CO₂ emissions per unit of GDP.</w:t>
            </w:r>
          </w:p>
        </w:tc>
      </w:tr>
      <w:tr w14:paraId="699704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1486" w:type="dxa"/>
            <w:vAlign w:val="center"/>
          </w:tcPr>
          <w:p w14:paraId="1953F870">
            <w:pPr>
              <w:widowControl/>
              <w:spacing w:line="240" w:lineRule="auto"/>
              <w:ind w:firstLine="0" w:firstLineChars="0"/>
              <w:jc w:val="left"/>
              <w:rPr>
                <w:rFonts w:eastAsiaTheme="majorHAnsi"/>
                <w:kern w:val="0"/>
                <w:sz w:val="21"/>
                <w:szCs w:val="21"/>
              </w:rPr>
            </w:pPr>
            <w:r>
              <w:rPr>
                <w:rFonts w:eastAsiaTheme="majorHAnsi"/>
                <w:kern w:val="0"/>
                <w:sz w:val="21"/>
                <w:szCs w:val="21"/>
              </w:rPr>
              <w:t>Mediating Variable</w:t>
            </w:r>
          </w:p>
        </w:tc>
        <w:tc>
          <w:tcPr>
            <w:tcW w:w="998" w:type="dxa"/>
            <w:vAlign w:val="center"/>
          </w:tcPr>
          <w:p w14:paraId="456EA9BE">
            <w:pPr>
              <w:widowControl/>
              <w:spacing w:line="240" w:lineRule="auto"/>
              <w:ind w:firstLine="0" w:firstLineChars="0"/>
              <w:jc w:val="left"/>
              <w:rPr>
                <w:rFonts w:eastAsiaTheme="majorHAnsi"/>
                <w:i/>
                <w:iCs/>
                <w:kern w:val="0"/>
                <w:sz w:val="21"/>
                <w:szCs w:val="21"/>
              </w:rPr>
            </w:pPr>
            <w:r>
              <w:rPr>
                <w:rFonts w:eastAsiaTheme="majorHAnsi"/>
                <w:i/>
                <w:iCs/>
                <w:kern w:val="0"/>
                <w:sz w:val="21"/>
                <w:szCs w:val="21"/>
              </w:rPr>
              <w:t>RP</w:t>
            </w:r>
          </w:p>
        </w:tc>
        <w:tc>
          <w:tcPr>
            <w:tcW w:w="6180" w:type="dxa"/>
            <w:vAlign w:val="center"/>
          </w:tcPr>
          <w:p w14:paraId="4172BBAF">
            <w:pPr>
              <w:spacing w:line="240" w:lineRule="auto"/>
              <w:ind w:firstLine="0" w:firstLineChars="0"/>
              <w:rPr>
                <w:sz w:val="21"/>
                <w:szCs w:val="21"/>
              </w:rPr>
            </w:pPr>
            <w:r>
              <w:rPr>
                <w:sz w:val="21"/>
                <w:szCs w:val="21"/>
              </w:rPr>
              <w:t xml:space="preserve">Corporate reputation, measured using a comprehensive stakeholder-based reputation index constructed from 12 indicators via factor analysis, </w:t>
            </w:r>
            <w:r>
              <w:rPr>
                <w:rFonts w:hint="eastAsia"/>
                <w:sz w:val="21"/>
                <w:szCs w:val="21"/>
              </w:rPr>
              <w:t>as suggested by</w:t>
            </w:r>
            <w:r>
              <w:rPr>
                <w:sz w:val="21"/>
                <w:szCs w:val="21"/>
              </w:rPr>
              <w:t xml:space="preserve"> Guan and Zhang (2019). Higher values indicate better corporate reputation.</w:t>
            </w:r>
          </w:p>
        </w:tc>
      </w:tr>
      <w:tr w14:paraId="352BCC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8" w:hRule="atLeast"/>
        </w:trPr>
        <w:tc>
          <w:tcPr>
            <w:tcW w:w="1486" w:type="dxa"/>
            <w:vAlign w:val="center"/>
          </w:tcPr>
          <w:p w14:paraId="618F2AD1">
            <w:pPr>
              <w:widowControl/>
              <w:spacing w:line="240" w:lineRule="auto"/>
              <w:ind w:firstLine="0" w:firstLineChars="0"/>
              <w:jc w:val="left"/>
              <w:rPr>
                <w:rFonts w:eastAsiaTheme="majorHAnsi"/>
                <w:kern w:val="0"/>
                <w:sz w:val="21"/>
                <w:szCs w:val="21"/>
              </w:rPr>
            </w:pPr>
          </w:p>
        </w:tc>
        <w:tc>
          <w:tcPr>
            <w:tcW w:w="998" w:type="dxa"/>
            <w:vAlign w:val="center"/>
          </w:tcPr>
          <w:p w14:paraId="4C6A7542">
            <w:pPr>
              <w:widowControl/>
              <w:spacing w:line="240" w:lineRule="auto"/>
              <w:ind w:firstLine="0" w:firstLineChars="0"/>
              <w:jc w:val="left"/>
              <w:rPr>
                <w:rFonts w:eastAsiaTheme="majorHAnsi"/>
                <w:i/>
                <w:iCs/>
                <w:kern w:val="0"/>
                <w:sz w:val="21"/>
                <w:szCs w:val="21"/>
              </w:rPr>
            </w:pPr>
            <w:r>
              <w:rPr>
                <w:rFonts w:hint="eastAsia" w:eastAsiaTheme="majorHAnsi"/>
                <w:i/>
                <w:iCs/>
                <w:kern w:val="0"/>
                <w:sz w:val="21"/>
                <w:szCs w:val="21"/>
              </w:rPr>
              <w:t>PCM</w:t>
            </w:r>
          </w:p>
        </w:tc>
        <w:tc>
          <w:tcPr>
            <w:tcW w:w="6180" w:type="dxa"/>
            <w:vAlign w:val="center"/>
          </w:tcPr>
          <w:p w14:paraId="2B213CF2">
            <w:pPr>
              <w:widowControl/>
              <w:spacing w:line="240" w:lineRule="auto"/>
              <w:ind w:firstLine="0" w:firstLineChars="0"/>
              <w:jc w:val="left"/>
              <w:rPr>
                <w:rFonts w:eastAsiaTheme="majorHAnsi"/>
                <w:kern w:val="0"/>
                <w:sz w:val="21"/>
                <w:szCs w:val="21"/>
              </w:rPr>
            </w:pPr>
            <w:r>
              <w:rPr>
                <w:sz w:val="21"/>
                <w:szCs w:val="21"/>
              </w:rPr>
              <w:t>Market power, measured using the Lerner Index</w:t>
            </w:r>
            <w:r>
              <w:rPr>
                <w:rFonts w:hint="eastAsia"/>
                <w:sz w:val="21"/>
                <w:szCs w:val="21"/>
              </w:rPr>
              <w:t>,</w:t>
            </w:r>
            <w:r>
              <w:rPr>
                <w:sz w:val="21"/>
                <w:szCs w:val="21"/>
              </w:rPr>
              <w:t xml:space="preserve"> calculated as (Revenue − Cost of Sales − Selling Expenses − Administrative Expenses) / Revenue. Higher values indicate stronger market power.</w:t>
            </w:r>
          </w:p>
        </w:tc>
      </w:tr>
      <w:tr w14:paraId="6658EF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1486" w:type="dxa"/>
            <w:vAlign w:val="center"/>
          </w:tcPr>
          <w:p w14:paraId="6C5DD4B4">
            <w:pPr>
              <w:widowControl/>
              <w:spacing w:line="240" w:lineRule="auto"/>
              <w:ind w:firstLine="0" w:firstLineChars="0"/>
              <w:jc w:val="left"/>
              <w:rPr>
                <w:rFonts w:eastAsiaTheme="majorHAnsi"/>
                <w:kern w:val="0"/>
                <w:sz w:val="21"/>
                <w:szCs w:val="21"/>
              </w:rPr>
            </w:pPr>
          </w:p>
        </w:tc>
        <w:tc>
          <w:tcPr>
            <w:tcW w:w="998" w:type="dxa"/>
            <w:vAlign w:val="center"/>
          </w:tcPr>
          <w:p w14:paraId="66B5E89C">
            <w:pPr>
              <w:widowControl/>
              <w:spacing w:line="240" w:lineRule="auto"/>
              <w:ind w:firstLine="0" w:firstLineChars="0"/>
              <w:jc w:val="left"/>
              <w:rPr>
                <w:rFonts w:eastAsiaTheme="majorHAnsi"/>
                <w:i/>
                <w:iCs/>
                <w:kern w:val="0"/>
                <w:sz w:val="21"/>
                <w:szCs w:val="21"/>
              </w:rPr>
            </w:pPr>
            <w:r>
              <w:rPr>
                <w:rFonts w:hint="eastAsia" w:eastAsiaTheme="majorHAnsi"/>
                <w:i/>
                <w:iCs/>
                <w:kern w:val="0"/>
                <w:sz w:val="21"/>
                <w:szCs w:val="21"/>
              </w:rPr>
              <w:t>ESG</w:t>
            </w:r>
          </w:p>
        </w:tc>
        <w:tc>
          <w:tcPr>
            <w:tcW w:w="6180" w:type="dxa"/>
            <w:vAlign w:val="center"/>
          </w:tcPr>
          <w:p w14:paraId="6BA9A62D">
            <w:pPr>
              <w:spacing w:line="240" w:lineRule="auto"/>
              <w:ind w:firstLine="0" w:firstLineChars="0"/>
              <w:rPr>
                <w:sz w:val="21"/>
                <w:szCs w:val="21"/>
              </w:rPr>
            </w:pPr>
            <w:r>
              <w:rPr>
                <w:rFonts w:hint="default" w:ascii="Times New Roman" w:hAnsi="Times New Roman" w:cs="Times New Roman"/>
                <w:sz w:val="21"/>
                <w:szCs w:val="21"/>
              </w:rPr>
              <w:t xml:space="preserve">ESG performance, </w:t>
            </w:r>
            <w:r>
              <w:rPr>
                <w:rFonts w:hint="default" w:ascii="Times New Roman" w:hAnsi="Times New Roman" w:eastAsia="宋体" w:cs="Times New Roman"/>
                <w:sz w:val="21"/>
                <w:szCs w:val="21"/>
              </w:rPr>
              <w:t>measured as the natural logarithm of ESG ratings obtained from the CNRDS database.</w:t>
            </w:r>
          </w:p>
        </w:tc>
      </w:tr>
      <w:tr w14:paraId="21EEC3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486" w:type="dxa"/>
            <w:vAlign w:val="center"/>
          </w:tcPr>
          <w:p w14:paraId="7CF0A0D5">
            <w:pPr>
              <w:widowControl/>
              <w:spacing w:line="240" w:lineRule="auto"/>
              <w:ind w:firstLine="0" w:firstLineChars="0"/>
              <w:jc w:val="left"/>
              <w:rPr>
                <w:rFonts w:eastAsiaTheme="majorHAnsi"/>
                <w:kern w:val="0"/>
                <w:sz w:val="21"/>
                <w:szCs w:val="21"/>
              </w:rPr>
            </w:pPr>
            <w:r>
              <w:rPr>
                <w:rFonts w:eastAsiaTheme="majorHAnsi"/>
                <w:kern w:val="0"/>
                <w:sz w:val="21"/>
                <w:szCs w:val="21"/>
              </w:rPr>
              <w:t>Moderating Variable</w:t>
            </w:r>
          </w:p>
        </w:tc>
        <w:tc>
          <w:tcPr>
            <w:tcW w:w="998" w:type="dxa"/>
            <w:vAlign w:val="center"/>
          </w:tcPr>
          <w:p w14:paraId="3657006B">
            <w:pPr>
              <w:widowControl/>
              <w:spacing w:line="240" w:lineRule="auto"/>
              <w:ind w:firstLine="0" w:firstLineChars="0"/>
              <w:jc w:val="left"/>
              <w:rPr>
                <w:rFonts w:eastAsiaTheme="majorHAnsi"/>
                <w:i/>
                <w:iCs/>
                <w:kern w:val="0"/>
                <w:sz w:val="21"/>
                <w:szCs w:val="21"/>
              </w:rPr>
            </w:pPr>
            <w:r>
              <w:rPr>
                <w:rFonts w:hint="eastAsia" w:eastAsiaTheme="majorHAnsi"/>
                <w:i/>
                <w:iCs/>
                <w:kern w:val="0"/>
                <w:sz w:val="21"/>
                <w:szCs w:val="21"/>
              </w:rPr>
              <w:t>GIQ</w:t>
            </w:r>
          </w:p>
        </w:tc>
        <w:tc>
          <w:tcPr>
            <w:tcW w:w="6180" w:type="dxa"/>
            <w:vAlign w:val="center"/>
          </w:tcPr>
          <w:p w14:paraId="42B7D838">
            <w:pPr>
              <w:widowControl/>
              <w:spacing w:line="240" w:lineRule="auto"/>
              <w:ind w:firstLine="0" w:firstLineChars="0"/>
              <w:jc w:val="left"/>
              <w:rPr>
                <w:rFonts w:eastAsiaTheme="majorHAnsi"/>
                <w:kern w:val="0"/>
                <w:sz w:val="21"/>
                <w:szCs w:val="21"/>
              </w:rPr>
            </w:pPr>
            <w:r>
              <w:rPr>
                <w:sz w:val="21"/>
                <w:szCs w:val="21"/>
              </w:rPr>
              <w:t>Green innovation quality, measured as</w:t>
            </w:r>
            <w:r>
              <w:rPr>
                <w:rFonts w:hint="eastAsia"/>
                <w:sz w:val="21"/>
                <w:szCs w:val="21"/>
              </w:rPr>
              <w:t xml:space="preserve"> </w:t>
            </w:r>
            <w:r>
              <w:rPr>
                <w:sz w:val="21"/>
                <w:szCs w:val="21"/>
              </w:rPr>
              <w:t xml:space="preserve">the natural logarithm of </w:t>
            </w:r>
            <w:r>
              <w:rPr>
                <w:rFonts w:hint="eastAsia"/>
                <w:sz w:val="21"/>
                <w:szCs w:val="21"/>
              </w:rPr>
              <w:t xml:space="preserve">one plus </w:t>
            </w:r>
            <w:r>
              <w:rPr>
                <w:sz w:val="21"/>
                <w:szCs w:val="21"/>
              </w:rPr>
              <w:t xml:space="preserve">green patent citations, </w:t>
            </w:r>
            <w:r>
              <w:rPr>
                <w:rFonts w:hint="eastAsia"/>
                <w:sz w:val="21"/>
                <w:szCs w:val="21"/>
              </w:rPr>
              <w:t>as suggested by</w:t>
            </w:r>
            <w:r>
              <w:rPr>
                <w:sz w:val="21"/>
                <w:szCs w:val="21"/>
              </w:rPr>
              <w:t xml:space="preserve"> Rong et al. (2017).</w:t>
            </w:r>
          </w:p>
        </w:tc>
      </w:tr>
      <w:tr w14:paraId="61DDE8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486" w:type="dxa"/>
            <w:vAlign w:val="center"/>
          </w:tcPr>
          <w:p w14:paraId="5FDE0314">
            <w:pPr>
              <w:widowControl/>
              <w:spacing w:line="240" w:lineRule="auto"/>
              <w:ind w:firstLine="0" w:firstLineChars="0"/>
              <w:jc w:val="left"/>
              <w:rPr>
                <w:rFonts w:eastAsiaTheme="majorHAnsi"/>
                <w:kern w:val="0"/>
                <w:sz w:val="21"/>
                <w:szCs w:val="21"/>
              </w:rPr>
            </w:pPr>
            <w:r>
              <w:rPr>
                <w:rFonts w:eastAsiaTheme="majorHAnsi"/>
                <w:kern w:val="0"/>
                <w:sz w:val="21"/>
                <w:szCs w:val="21"/>
              </w:rPr>
              <w:t>　</w:t>
            </w:r>
          </w:p>
        </w:tc>
        <w:tc>
          <w:tcPr>
            <w:tcW w:w="998" w:type="dxa"/>
            <w:vAlign w:val="center"/>
          </w:tcPr>
          <w:p w14:paraId="6328FCC4">
            <w:pPr>
              <w:widowControl/>
              <w:spacing w:line="240" w:lineRule="auto"/>
              <w:ind w:firstLine="0" w:firstLineChars="0"/>
              <w:jc w:val="left"/>
              <w:rPr>
                <w:rFonts w:eastAsiaTheme="majorHAnsi"/>
                <w:i/>
                <w:iCs/>
                <w:kern w:val="0"/>
                <w:sz w:val="21"/>
                <w:szCs w:val="21"/>
              </w:rPr>
            </w:pPr>
            <w:r>
              <w:rPr>
                <w:rFonts w:eastAsiaTheme="majorHAnsi"/>
                <w:i/>
                <w:iCs/>
                <w:kern w:val="0"/>
                <w:sz w:val="21"/>
                <w:szCs w:val="21"/>
              </w:rPr>
              <w:t>SCR</w:t>
            </w:r>
          </w:p>
        </w:tc>
        <w:tc>
          <w:tcPr>
            <w:tcW w:w="6180" w:type="dxa"/>
            <w:vAlign w:val="center"/>
          </w:tcPr>
          <w:p w14:paraId="3675D7A0">
            <w:pPr>
              <w:widowControl/>
              <w:spacing w:line="240" w:lineRule="auto"/>
              <w:ind w:firstLine="0" w:firstLineChars="0"/>
              <w:jc w:val="left"/>
              <w:rPr>
                <w:rFonts w:eastAsiaTheme="majorHAnsi"/>
                <w:kern w:val="0"/>
                <w:sz w:val="21"/>
                <w:szCs w:val="21"/>
              </w:rPr>
            </w:pPr>
            <w:r>
              <w:rPr>
                <w:rFonts w:eastAsiaTheme="majorHAnsi"/>
                <w:kern w:val="0"/>
                <w:sz w:val="21"/>
                <w:szCs w:val="21"/>
              </w:rPr>
              <w:t>Supply chain risk, measured as the deviation between firms’ production volatility and demand volatility.</w:t>
            </w:r>
          </w:p>
        </w:tc>
      </w:tr>
      <w:tr w14:paraId="20A244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486" w:type="dxa"/>
            <w:vAlign w:val="center"/>
          </w:tcPr>
          <w:p w14:paraId="1930F666">
            <w:pPr>
              <w:widowControl/>
              <w:spacing w:line="240" w:lineRule="auto"/>
              <w:ind w:firstLine="0" w:firstLineChars="0"/>
              <w:jc w:val="left"/>
              <w:rPr>
                <w:rFonts w:eastAsiaTheme="majorHAnsi"/>
                <w:kern w:val="0"/>
                <w:sz w:val="21"/>
                <w:szCs w:val="21"/>
              </w:rPr>
            </w:pPr>
            <w:r>
              <w:rPr>
                <w:rFonts w:eastAsiaTheme="majorHAnsi"/>
                <w:kern w:val="0"/>
                <w:sz w:val="21"/>
                <w:szCs w:val="21"/>
              </w:rPr>
              <w:t>Control Variables</w:t>
            </w:r>
          </w:p>
        </w:tc>
        <w:tc>
          <w:tcPr>
            <w:tcW w:w="998" w:type="dxa"/>
            <w:vAlign w:val="center"/>
          </w:tcPr>
          <w:p w14:paraId="06695F1B">
            <w:pPr>
              <w:widowControl/>
              <w:spacing w:line="240" w:lineRule="auto"/>
              <w:ind w:firstLine="0" w:firstLineChars="0"/>
              <w:jc w:val="left"/>
              <w:rPr>
                <w:rFonts w:eastAsiaTheme="majorHAnsi"/>
                <w:i/>
                <w:iCs/>
                <w:kern w:val="0"/>
                <w:sz w:val="21"/>
                <w:szCs w:val="21"/>
              </w:rPr>
            </w:pPr>
            <w:r>
              <w:rPr>
                <w:rFonts w:eastAsiaTheme="majorHAnsi"/>
                <w:i/>
                <w:iCs/>
                <w:kern w:val="0"/>
                <w:sz w:val="21"/>
                <w:szCs w:val="21"/>
              </w:rPr>
              <w:t>Size</w:t>
            </w:r>
          </w:p>
        </w:tc>
        <w:tc>
          <w:tcPr>
            <w:tcW w:w="6180" w:type="dxa"/>
            <w:vAlign w:val="center"/>
          </w:tcPr>
          <w:p w14:paraId="13723D31">
            <w:pPr>
              <w:widowControl/>
              <w:spacing w:line="240" w:lineRule="auto"/>
              <w:ind w:firstLine="0" w:firstLineChars="0"/>
              <w:jc w:val="left"/>
              <w:rPr>
                <w:rFonts w:eastAsiaTheme="majorHAnsi"/>
                <w:kern w:val="0"/>
                <w:sz w:val="21"/>
                <w:szCs w:val="21"/>
              </w:rPr>
            </w:pPr>
            <w:r>
              <w:rPr>
                <w:rFonts w:eastAsiaTheme="majorHAnsi"/>
                <w:kern w:val="0"/>
                <w:sz w:val="21"/>
                <w:szCs w:val="21"/>
              </w:rPr>
              <w:t>Firm size, measured as the natural logarithm of total assets.</w:t>
            </w:r>
          </w:p>
        </w:tc>
      </w:tr>
      <w:tr w14:paraId="224528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486" w:type="dxa"/>
            <w:vAlign w:val="center"/>
          </w:tcPr>
          <w:p w14:paraId="0C3D5CA1">
            <w:pPr>
              <w:widowControl/>
              <w:spacing w:line="240" w:lineRule="auto"/>
              <w:ind w:firstLine="0" w:firstLineChars="0"/>
              <w:jc w:val="left"/>
              <w:rPr>
                <w:rFonts w:eastAsiaTheme="majorHAnsi"/>
                <w:kern w:val="0"/>
                <w:sz w:val="21"/>
                <w:szCs w:val="21"/>
              </w:rPr>
            </w:pPr>
            <w:r>
              <w:rPr>
                <w:rFonts w:eastAsiaTheme="majorHAnsi"/>
                <w:kern w:val="0"/>
                <w:sz w:val="21"/>
                <w:szCs w:val="21"/>
              </w:rPr>
              <w:t>　</w:t>
            </w:r>
          </w:p>
        </w:tc>
        <w:tc>
          <w:tcPr>
            <w:tcW w:w="998" w:type="dxa"/>
            <w:vAlign w:val="center"/>
          </w:tcPr>
          <w:p w14:paraId="2917413D">
            <w:pPr>
              <w:widowControl/>
              <w:spacing w:line="240" w:lineRule="auto"/>
              <w:ind w:firstLine="0" w:firstLineChars="0"/>
              <w:jc w:val="left"/>
              <w:rPr>
                <w:rFonts w:eastAsiaTheme="majorHAnsi"/>
                <w:i/>
                <w:iCs/>
                <w:kern w:val="0"/>
                <w:sz w:val="21"/>
                <w:szCs w:val="21"/>
              </w:rPr>
            </w:pPr>
            <w:r>
              <w:rPr>
                <w:rFonts w:eastAsiaTheme="majorHAnsi"/>
                <w:i/>
                <w:iCs/>
                <w:kern w:val="0"/>
                <w:sz w:val="21"/>
                <w:szCs w:val="21"/>
              </w:rPr>
              <w:t>Age</w:t>
            </w:r>
          </w:p>
        </w:tc>
        <w:tc>
          <w:tcPr>
            <w:tcW w:w="6180" w:type="dxa"/>
            <w:vAlign w:val="center"/>
          </w:tcPr>
          <w:p w14:paraId="7C2E9633">
            <w:pPr>
              <w:widowControl/>
              <w:spacing w:line="240" w:lineRule="auto"/>
              <w:ind w:firstLine="0" w:firstLineChars="0"/>
              <w:jc w:val="left"/>
              <w:rPr>
                <w:rFonts w:eastAsiaTheme="majorHAnsi"/>
                <w:kern w:val="0"/>
                <w:sz w:val="21"/>
                <w:szCs w:val="21"/>
              </w:rPr>
            </w:pPr>
            <w:r>
              <w:rPr>
                <w:rFonts w:eastAsiaTheme="majorHAnsi"/>
                <w:kern w:val="0"/>
                <w:sz w:val="21"/>
                <w:szCs w:val="21"/>
              </w:rPr>
              <w:t>Firm age, measured as the natural logarithm of firm age.</w:t>
            </w:r>
          </w:p>
        </w:tc>
      </w:tr>
      <w:tr w14:paraId="555D5A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486" w:type="dxa"/>
            <w:vAlign w:val="center"/>
          </w:tcPr>
          <w:p w14:paraId="5240C705">
            <w:pPr>
              <w:widowControl/>
              <w:spacing w:line="240" w:lineRule="auto"/>
              <w:ind w:firstLine="0" w:firstLineChars="0"/>
              <w:jc w:val="left"/>
              <w:rPr>
                <w:rFonts w:eastAsiaTheme="majorHAnsi"/>
                <w:kern w:val="0"/>
                <w:sz w:val="21"/>
                <w:szCs w:val="21"/>
              </w:rPr>
            </w:pPr>
            <w:r>
              <w:rPr>
                <w:rFonts w:eastAsiaTheme="majorHAnsi"/>
                <w:kern w:val="0"/>
                <w:sz w:val="21"/>
                <w:szCs w:val="21"/>
              </w:rPr>
              <w:t>　</w:t>
            </w:r>
          </w:p>
        </w:tc>
        <w:tc>
          <w:tcPr>
            <w:tcW w:w="998" w:type="dxa"/>
            <w:vAlign w:val="center"/>
          </w:tcPr>
          <w:p w14:paraId="1A1FF55E">
            <w:pPr>
              <w:widowControl/>
              <w:spacing w:line="240" w:lineRule="auto"/>
              <w:ind w:firstLine="0" w:firstLineChars="0"/>
              <w:jc w:val="left"/>
              <w:rPr>
                <w:rFonts w:eastAsiaTheme="majorHAnsi"/>
                <w:i/>
                <w:iCs/>
                <w:kern w:val="0"/>
                <w:sz w:val="21"/>
                <w:szCs w:val="21"/>
              </w:rPr>
            </w:pPr>
            <w:r>
              <w:rPr>
                <w:rFonts w:eastAsiaTheme="majorHAnsi"/>
                <w:i/>
                <w:iCs/>
                <w:kern w:val="0"/>
                <w:sz w:val="21"/>
                <w:szCs w:val="21"/>
              </w:rPr>
              <w:t>Mgt</w:t>
            </w:r>
          </w:p>
        </w:tc>
        <w:tc>
          <w:tcPr>
            <w:tcW w:w="6180" w:type="dxa"/>
            <w:vAlign w:val="center"/>
          </w:tcPr>
          <w:p w14:paraId="5714D5DD">
            <w:pPr>
              <w:widowControl/>
              <w:spacing w:line="240" w:lineRule="auto"/>
              <w:ind w:firstLine="0" w:firstLineChars="0"/>
              <w:jc w:val="left"/>
              <w:rPr>
                <w:rFonts w:eastAsiaTheme="majorHAnsi"/>
                <w:kern w:val="0"/>
                <w:sz w:val="21"/>
                <w:szCs w:val="21"/>
              </w:rPr>
            </w:pPr>
            <w:r>
              <w:rPr>
                <w:rFonts w:eastAsiaTheme="majorHAnsi"/>
                <w:kern w:val="0"/>
                <w:sz w:val="21"/>
                <w:szCs w:val="21"/>
              </w:rPr>
              <w:t>Managerial ownership, measured as the proportion of shares held by top executives.</w:t>
            </w:r>
          </w:p>
        </w:tc>
      </w:tr>
      <w:tr w14:paraId="0519FE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486" w:type="dxa"/>
            <w:vAlign w:val="center"/>
          </w:tcPr>
          <w:p w14:paraId="7961D018">
            <w:pPr>
              <w:widowControl/>
              <w:spacing w:line="240" w:lineRule="auto"/>
              <w:ind w:firstLine="0" w:firstLineChars="0"/>
              <w:jc w:val="left"/>
              <w:rPr>
                <w:rFonts w:eastAsiaTheme="majorHAnsi"/>
                <w:kern w:val="0"/>
                <w:sz w:val="21"/>
                <w:szCs w:val="21"/>
              </w:rPr>
            </w:pPr>
            <w:r>
              <w:rPr>
                <w:rFonts w:eastAsiaTheme="majorHAnsi"/>
                <w:kern w:val="0"/>
                <w:sz w:val="21"/>
                <w:szCs w:val="21"/>
              </w:rPr>
              <w:t>　</w:t>
            </w:r>
          </w:p>
        </w:tc>
        <w:tc>
          <w:tcPr>
            <w:tcW w:w="998" w:type="dxa"/>
            <w:vAlign w:val="center"/>
          </w:tcPr>
          <w:p w14:paraId="38792F24">
            <w:pPr>
              <w:widowControl/>
              <w:spacing w:line="240" w:lineRule="auto"/>
              <w:ind w:firstLine="0" w:firstLineChars="0"/>
              <w:jc w:val="left"/>
              <w:rPr>
                <w:rFonts w:eastAsiaTheme="majorHAnsi"/>
                <w:i/>
                <w:iCs/>
                <w:kern w:val="0"/>
                <w:sz w:val="21"/>
                <w:szCs w:val="21"/>
              </w:rPr>
            </w:pPr>
            <w:r>
              <w:rPr>
                <w:rFonts w:eastAsiaTheme="majorHAnsi"/>
                <w:i/>
                <w:iCs/>
                <w:kern w:val="0"/>
                <w:sz w:val="21"/>
                <w:szCs w:val="21"/>
              </w:rPr>
              <w:t>Pin</w:t>
            </w:r>
          </w:p>
        </w:tc>
        <w:tc>
          <w:tcPr>
            <w:tcW w:w="6180" w:type="dxa"/>
            <w:vAlign w:val="center"/>
          </w:tcPr>
          <w:p w14:paraId="1C124CD3">
            <w:pPr>
              <w:widowControl/>
              <w:spacing w:line="240" w:lineRule="auto"/>
              <w:ind w:firstLine="0" w:firstLineChars="0"/>
              <w:jc w:val="left"/>
              <w:rPr>
                <w:rFonts w:eastAsiaTheme="majorHAnsi"/>
                <w:kern w:val="0"/>
                <w:sz w:val="21"/>
                <w:szCs w:val="21"/>
              </w:rPr>
            </w:pPr>
            <w:r>
              <w:rPr>
                <w:rFonts w:eastAsiaTheme="majorHAnsi"/>
                <w:kern w:val="0"/>
                <w:sz w:val="21"/>
                <w:szCs w:val="21"/>
              </w:rPr>
              <w:t>Board independence, measured as the proportion of independent directors on the board.</w:t>
            </w:r>
          </w:p>
        </w:tc>
      </w:tr>
      <w:tr w14:paraId="6C0A99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486" w:type="dxa"/>
            <w:vAlign w:val="center"/>
          </w:tcPr>
          <w:p w14:paraId="51523CD2">
            <w:pPr>
              <w:widowControl/>
              <w:spacing w:line="240" w:lineRule="auto"/>
              <w:ind w:firstLine="0" w:firstLineChars="0"/>
              <w:jc w:val="left"/>
              <w:rPr>
                <w:rFonts w:eastAsiaTheme="majorHAnsi"/>
                <w:kern w:val="0"/>
                <w:sz w:val="21"/>
                <w:szCs w:val="21"/>
              </w:rPr>
            </w:pPr>
            <w:r>
              <w:rPr>
                <w:rFonts w:eastAsiaTheme="majorHAnsi"/>
                <w:kern w:val="0"/>
                <w:sz w:val="21"/>
                <w:szCs w:val="21"/>
              </w:rPr>
              <w:t>　</w:t>
            </w:r>
          </w:p>
        </w:tc>
        <w:tc>
          <w:tcPr>
            <w:tcW w:w="998" w:type="dxa"/>
            <w:vAlign w:val="center"/>
          </w:tcPr>
          <w:p w14:paraId="5AF41F67">
            <w:pPr>
              <w:widowControl/>
              <w:spacing w:line="240" w:lineRule="auto"/>
              <w:ind w:firstLine="0" w:firstLineChars="0"/>
              <w:jc w:val="left"/>
              <w:rPr>
                <w:rFonts w:eastAsiaTheme="majorHAnsi"/>
                <w:i/>
                <w:iCs/>
                <w:kern w:val="0"/>
                <w:sz w:val="21"/>
                <w:szCs w:val="21"/>
              </w:rPr>
            </w:pPr>
            <w:r>
              <w:rPr>
                <w:rFonts w:eastAsiaTheme="majorHAnsi"/>
                <w:i/>
                <w:iCs/>
                <w:kern w:val="0"/>
                <w:sz w:val="21"/>
                <w:szCs w:val="21"/>
              </w:rPr>
              <w:t>SOE</w:t>
            </w:r>
          </w:p>
        </w:tc>
        <w:tc>
          <w:tcPr>
            <w:tcW w:w="6180" w:type="dxa"/>
            <w:vAlign w:val="center"/>
          </w:tcPr>
          <w:p w14:paraId="62658776">
            <w:pPr>
              <w:widowControl/>
              <w:spacing w:line="240" w:lineRule="auto"/>
              <w:ind w:firstLine="0" w:firstLineChars="0"/>
              <w:jc w:val="left"/>
              <w:rPr>
                <w:rFonts w:eastAsiaTheme="majorHAnsi"/>
                <w:kern w:val="0"/>
                <w:sz w:val="21"/>
                <w:szCs w:val="21"/>
              </w:rPr>
            </w:pPr>
            <w:r>
              <w:rPr>
                <w:rFonts w:eastAsiaTheme="majorHAnsi"/>
                <w:kern w:val="0"/>
                <w:sz w:val="21"/>
                <w:szCs w:val="21"/>
              </w:rPr>
              <w:t>Ownership type, defined as a dummy variable equal to 1 if the ultimate controlling shareholder is the state, and 0 otherwise.</w:t>
            </w:r>
          </w:p>
        </w:tc>
      </w:tr>
      <w:tr w14:paraId="73F3D5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486" w:type="dxa"/>
            <w:vAlign w:val="center"/>
          </w:tcPr>
          <w:p w14:paraId="6DBFEDB0">
            <w:pPr>
              <w:widowControl/>
              <w:spacing w:line="240" w:lineRule="auto"/>
              <w:ind w:firstLine="0" w:firstLineChars="0"/>
              <w:jc w:val="left"/>
              <w:rPr>
                <w:rFonts w:eastAsiaTheme="majorHAnsi"/>
                <w:kern w:val="0"/>
                <w:sz w:val="21"/>
                <w:szCs w:val="21"/>
              </w:rPr>
            </w:pPr>
            <w:r>
              <w:rPr>
                <w:rFonts w:eastAsiaTheme="majorHAnsi"/>
                <w:kern w:val="0"/>
                <w:sz w:val="21"/>
                <w:szCs w:val="21"/>
              </w:rPr>
              <w:t>　</w:t>
            </w:r>
          </w:p>
        </w:tc>
        <w:tc>
          <w:tcPr>
            <w:tcW w:w="998" w:type="dxa"/>
            <w:vAlign w:val="center"/>
          </w:tcPr>
          <w:p w14:paraId="770E7BFC">
            <w:pPr>
              <w:widowControl/>
              <w:spacing w:line="240" w:lineRule="auto"/>
              <w:ind w:firstLine="0" w:firstLineChars="0"/>
              <w:jc w:val="left"/>
              <w:rPr>
                <w:rFonts w:eastAsiaTheme="majorHAnsi"/>
                <w:i/>
                <w:iCs/>
                <w:kern w:val="0"/>
                <w:sz w:val="21"/>
                <w:szCs w:val="21"/>
              </w:rPr>
            </w:pPr>
            <w:r>
              <w:rPr>
                <w:rFonts w:eastAsiaTheme="majorHAnsi"/>
                <w:i/>
                <w:iCs/>
                <w:kern w:val="0"/>
                <w:sz w:val="21"/>
                <w:szCs w:val="21"/>
              </w:rPr>
              <w:t>Top</w:t>
            </w:r>
          </w:p>
        </w:tc>
        <w:tc>
          <w:tcPr>
            <w:tcW w:w="6180" w:type="dxa"/>
            <w:vAlign w:val="center"/>
          </w:tcPr>
          <w:p w14:paraId="01B766EA">
            <w:pPr>
              <w:widowControl/>
              <w:spacing w:line="240" w:lineRule="auto"/>
              <w:ind w:firstLine="0" w:firstLineChars="0"/>
              <w:jc w:val="left"/>
              <w:rPr>
                <w:rFonts w:eastAsiaTheme="majorHAnsi"/>
                <w:kern w:val="0"/>
                <w:sz w:val="21"/>
                <w:szCs w:val="21"/>
              </w:rPr>
            </w:pPr>
            <w:r>
              <w:rPr>
                <w:rFonts w:eastAsiaTheme="majorHAnsi"/>
                <w:kern w:val="0"/>
                <w:sz w:val="21"/>
                <w:szCs w:val="21"/>
              </w:rPr>
              <w:t>Ownership concentration, measured as the shareholding ratio of the largest shareholder.</w:t>
            </w:r>
          </w:p>
        </w:tc>
      </w:tr>
      <w:tr w14:paraId="6F3403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486" w:type="dxa"/>
            <w:vAlign w:val="center"/>
          </w:tcPr>
          <w:p w14:paraId="6C62EAC5">
            <w:pPr>
              <w:widowControl/>
              <w:spacing w:line="240" w:lineRule="auto"/>
              <w:ind w:firstLine="0" w:firstLineChars="0"/>
              <w:jc w:val="left"/>
              <w:rPr>
                <w:rFonts w:eastAsiaTheme="majorHAnsi"/>
                <w:kern w:val="0"/>
                <w:sz w:val="21"/>
                <w:szCs w:val="21"/>
              </w:rPr>
            </w:pPr>
          </w:p>
        </w:tc>
        <w:tc>
          <w:tcPr>
            <w:tcW w:w="998" w:type="dxa"/>
            <w:vAlign w:val="center"/>
          </w:tcPr>
          <w:p w14:paraId="29D57A49">
            <w:pPr>
              <w:widowControl/>
              <w:spacing w:line="240" w:lineRule="auto"/>
              <w:ind w:firstLine="0" w:firstLineChars="0"/>
              <w:jc w:val="left"/>
              <w:rPr>
                <w:rFonts w:eastAsiaTheme="majorHAnsi"/>
                <w:i/>
                <w:iCs/>
                <w:kern w:val="0"/>
                <w:sz w:val="21"/>
                <w:szCs w:val="21"/>
              </w:rPr>
            </w:pPr>
            <w:r>
              <w:rPr>
                <w:i/>
                <w:kern w:val="0"/>
                <w:sz w:val="21"/>
                <w:szCs w:val="21"/>
              </w:rPr>
              <w:t>Lev</w:t>
            </w:r>
          </w:p>
        </w:tc>
        <w:tc>
          <w:tcPr>
            <w:tcW w:w="6180" w:type="dxa"/>
            <w:vAlign w:val="center"/>
          </w:tcPr>
          <w:p w14:paraId="7DC0F997">
            <w:pPr>
              <w:widowControl/>
              <w:spacing w:line="240" w:lineRule="auto"/>
              <w:ind w:firstLine="0" w:firstLineChars="0"/>
              <w:jc w:val="left"/>
              <w:rPr>
                <w:rFonts w:eastAsiaTheme="majorHAnsi"/>
                <w:kern w:val="0"/>
                <w:sz w:val="21"/>
                <w:szCs w:val="21"/>
              </w:rPr>
            </w:pPr>
            <w:r>
              <w:rPr>
                <w:rFonts w:eastAsiaTheme="majorHAnsi"/>
                <w:kern w:val="0"/>
                <w:sz w:val="21"/>
                <w:szCs w:val="21"/>
              </w:rPr>
              <w:t>Leverage, measured as the ratio of total liabilities to total assets.</w:t>
            </w:r>
          </w:p>
        </w:tc>
      </w:tr>
      <w:tr w14:paraId="78048B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486" w:type="dxa"/>
            <w:vAlign w:val="center"/>
          </w:tcPr>
          <w:p w14:paraId="3967CFFE">
            <w:pPr>
              <w:widowControl/>
              <w:spacing w:line="240" w:lineRule="auto"/>
              <w:ind w:firstLine="0" w:firstLineChars="0"/>
              <w:jc w:val="left"/>
              <w:rPr>
                <w:rFonts w:eastAsiaTheme="majorHAnsi"/>
                <w:kern w:val="0"/>
                <w:sz w:val="21"/>
                <w:szCs w:val="21"/>
              </w:rPr>
            </w:pPr>
          </w:p>
        </w:tc>
        <w:tc>
          <w:tcPr>
            <w:tcW w:w="998" w:type="dxa"/>
            <w:vAlign w:val="center"/>
          </w:tcPr>
          <w:p w14:paraId="5EA30B21">
            <w:pPr>
              <w:widowControl/>
              <w:spacing w:line="240" w:lineRule="auto"/>
              <w:ind w:firstLine="0" w:firstLineChars="0"/>
              <w:jc w:val="left"/>
              <w:rPr>
                <w:rFonts w:eastAsiaTheme="majorHAnsi"/>
                <w:i/>
                <w:iCs/>
                <w:kern w:val="0"/>
                <w:sz w:val="21"/>
                <w:szCs w:val="21"/>
              </w:rPr>
            </w:pPr>
            <w:r>
              <w:rPr>
                <w:i/>
                <w:kern w:val="0"/>
                <w:sz w:val="21"/>
                <w:szCs w:val="21"/>
              </w:rPr>
              <w:t>Invrec</w:t>
            </w:r>
          </w:p>
        </w:tc>
        <w:tc>
          <w:tcPr>
            <w:tcW w:w="6180" w:type="dxa"/>
            <w:vAlign w:val="center"/>
          </w:tcPr>
          <w:p w14:paraId="2FEED23F">
            <w:pPr>
              <w:widowControl/>
              <w:spacing w:line="240" w:lineRule="auto"/>
              <w:ind w:firstLine="0" w:firstLineChars="0"/>
              <w:jc w:val="left"/>
              <w:rPr>
                <w:rFonts w:eastAsiaTheme="majorHAnsi"/>
                <w:kern w:val="0"/>
                <w:sz w:val="21"/>
                <w:szCs w:val="21"/>
              </w:rPr>
            </w:pPr>
            <w:r>
              <w:rPr>
                <w:rFonts w:eastAsiaTheme="majorHAnsi"/>
                <w:kern w:val="0"/>
                <w:sz w:val="21"/>
                <w:szCs w:val="21"/>
              </w:rPr>
              <w:t>Inventory turnover, measured as the ratio of cost of goods sold to average inventory</w:t>
            </w:r>
          </w:p>
        </w:tc>
      </w:tr>
      <w:tr w14:paraId="4A054B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486" w:type="dxa"/>
            <w:vAlign w:val="center"/>
          </w:tcPr>
          <w:p w14:paraId="61774480">
            <w:pPr>
              <w:widowControl/>
              <w:spacing w:line="240" w:lineRule="auto"/>
              <w:ind w:firstLine="0" w:firstLineChars="0"/>
              <w:jc w:val="left"/>
              <w:rPr>
                <w:rFonts w:eastAsiaTheme="majorHAnsi"/>
                <w:kern w:val="0"/>
                <w:sz w:val="21"/>
                <w:szCs w:val="21"/>
              </w:rPr>
            </w:pPr>
          </w:p>
        </w:tc>
        <w:tc>
          <w:tcPr>
            <w:tcW w:w="998" w:type="dxa"/>
            <w:vAlign w:val="center"/>
          </w:tcPr>
          <w:p w14:paraId="378BD5D1">
            <w:pPr>
              <w:widowControl/>
              <w:spacing w:line="240" w:lineRule="auto"/>
              <w:ind w:firstLine="0" w:firstLineChars="0"/>
              <w:jc w:val="left"/>
              <w:rPr>
                <w:rFonts w:eastAsiaTheme="majorHAnsi"/>
                <w:i/>
                <w:iCs/>
                <w:kern w:val="0"/>
                <w:sz w:val="21"/>
                <w:szCs w:val="21"/>
              </w:rPr>
            </w:pPr>
            <w:r>
              <w:rPr>
                <w:i/>
                <w:kern w:val="0"/>
                <w:sz w:val="21"/>
                <w:szCs w:val="21"/>
              </w:rPr>
              <w:t>Growth</w:t>
            </w:r>
          </w:p>
        </w:tc>
        <w:tc>
          <w:tcPr>
            <w:tcW w:w="6180" w:type="dxa"/>
            <w:vAlign w:val="center"/>
          </w:tcPr>
          <w:p w14:paraId="0A967B4F">
            <w:pPr>
              <w:widowControl/>
              <w:spacing w:line="240" w:lineRule="auto"/>
              <w:ind w:firstLine="0" w:firstLineChars="0"/>
              <w:jc w:val="left"/>
              <w:rPr>
                <w:rFonts w:eastAsiaTheme="majorHAnsi"/>
                <w:kern w:val="0"/>
                <w:sz w:val="21"/>
                <w:szCs w:val="21"/>
              </w:rPr>
            </w:pPr>
            <w:r>
              <w:rPr>
                <w:rFonts w:eastAsiaTheme="majorHAnsi"/>
                <w:kern w:val="0"/>
                <w:sz w:val="21"/>
                <w:szCs w:val="21"/>
              </w:rPr>
              <w:t xml:space="preserve">Revenue growth, measured as the percentage change in </w:t>
            </w:r>
            <w:r>
              <w:rPr>
                <w:rFonts w:hint="eastAsia"/>
                <w:kern w:val="0"/>
                <w:sz w:val="21"/>
                <w:szCs w:val="21"/>
              </w:rPr>
              <w:t xml:space="preserve">annual </w:t>
            </w:r>
            <w:r>
              <w:rPr>
                <w:rFonts w:eastAsiaTheme="majorHAnsi"/>
                <w:kern w:val="0"/>
                <w:sz w:val="21"/>
                <w:szCs w:val="21"/>
              </w:rPr>
              <w:t xml:space="preserve">revenue relative to the previous </w:t>
            </w:r>
            <w:r>
              <w:rPr>
                <w:rFonts w:hint="eastAsia"/>
                <w:kern w:val="0"/>
                <w:sz w:val="21"/>
                <w:szCs w:val="21"/>
              </w:rPr>
              <w:t>year</w:t>
            </w:r>
            <w:r>
              <w:rPr>
                <w:rFonts w:eastAsiaTheme="majorHAnsi"/>
                <w:kern w:val="0"/>
                <w:sz w:val="21"/>
                <w:szCs w:val="21"/>
              </w:rPr>
              <w:t>.</w:t>
            </w:r>
          </w:p>
        </w:tc>
      </w:tr>
    </w:tbl>
    <w:p w14:paraId="481B663D">
      <w:pPr>
        <w:spacing w:line="240" w:lineRule="auto"/>
        <w:ind w:firstLine="0" w:firstLineChars="0"/>
        <w:rPr>
          <w:sz w:val="21"/>
          <w:szCs w:val="21"/>
        </w:rPr>
      </w:pPr>
    </w:p>
    <w:p w14:paraId="5E2E1C2F">
      <w:pPr>
        <w:widowControl/>
        <w:spacing w:line="240" w:lineRule="auto"/>
        <w:ind w:firstLine="0" w:firstLineChars="0"/>
        <w:jc w:val="left"/>
        <w:rPr>
          <w:sz w:val="21"/>
          <w:szCs w:val="21"/>
        </w:rPr>
      </w:pPr>
      <w:r>
        <w:rPr>
          <w:sz w:val="21"/>
          <w:szCs w:val="21"/>
        </w:rPr>
        <w:br w:type="page"/>
      </w:r>
    </w:p>
    <w:p w14:paraId="29FC11BD">
      <w:pPr>
        <w:pStyle w:val="2"/>
        <w:spacing w:before="156" w:after="156"/>
      </w:pPr>
      <w:r>
        <w:t xml:space="preserve">Appendix </w:t>
      </w:r>
      <w:r>
        <w:rPr>
          <w:rFonts w:hint="eastAsia" w:eastAsiaTheme="minorEastAsia"/>
        </w:rPr>
        <w:t>B</w:t>
      </w:r>
      <w:r>
        <w:t>. Responsible Innovation Dictionary (116 Keywords)</w:t>
      </w:r>
    </w:p>
    <w:tbl>
      <w:tblPr>
        <w:tblStyle w:val="8"/>
        <w:tblW w:w="0" w:type="auto"/>
        <w:tblInd w:w="0" w:type="dxa"/>
        <w:tblLayout w:type="fixed"/>
        <w:tblCellMar>
          <w:top w:w="0" w:type="dxa"/>
          <w:left w:w="108" w:type="dxa"/>
          <w:bottom w:w="0" w:type="dxa"/>
          <w:right w:w="108" w:type="dxa"/>
        </w:tblCellMar>
      </w:tblPr>
      <w:tblGrid>
        <w:gridCol w:w="1318"/>
        <w:gridCol w:w="1607"/>
        <w:gridCol w:w="5355"/>
      </w:tblGrid>
      <w:tr w14:paraId="1D1584CC">
        <w:tblPrEx>
          <w:tblCellMar>
            <w:top w:w="0" w:type="dxa"/>
            <w:left w:w="108" w:type="dxa"/>
            <w:bottom w:w="0" w:type="dxa"/>
            <w:right w:w="108" w:type="dxa"/>
          </w:tblCellMar>
        </w:tblPrEx>
        <w:trPr>
          <w:trHeight w:val="276" w:hRule="atLeast"/>
        </w:trPr>
        <w:tc>
          <w:tcPr>
            <w:tcW w:w="1318" w:type="dxa"/>
            <w:tcBorders>
              <w:top w:val="single" w:color="auto" w:sz="4" w:space="0"/>
              <w:bottom w:val="single" w:color="auto" w:sz="4" w:space="0"/>
            </w:tcBorders>
            <w:vAlign w:val="center"/>
          </w:tcPr>
          <w:p w14:paraId="46415142">
            <w:pPr>
              <w:spacing w:line="240" w:lineRule="auto"/>
              <w:ind w:firstLine="0" w:firstLineChars="0"/>
              <w:rPr>
                <w:rFonts w:eastAsiaTheme="majorHAnsi"/>
                <w:kern w:val="0"/>
                <w:sz w:val="21"/>
                <w:szCs w:val="21"/>
              </w:rPr>
            </w:pPr>
            <w:r>
              <w:rPr>
                <w:rFonts w:eastAsiaTheme="majorHAnsi"/>
                <w:kern w:val="0"/>
                <w:sz w:val="21"/>
                <w:szCs w:val="21"/>
              </w:rPr>
              <w:t>Dimension</w:t>
            </w:r>
          </w:p>
        </w:tc>
        <w:tc>
          <w:tcPr>
            <w:tcW w:w="1607" w:type="dxa"/>
            <w:tcBorders>
              <w:top w:val="single" w:color="auto" w:sz="4" w:space="0"/>
              <w:bottom w:val="single" w:color="auto" w:sz="4" w:space="0"/>
            </w:tcBorders>
            <w:vAlign w:val="center"/>
          </w:tcPr>
          <w:p w14:paraId="52D72366">
            <w:pPr>
              <w:spacing w:line="240" w:lineRule="auto"/>
              <w:ind w:firstLine="0" w:firstLineChars="0"/>
              <w:rPr>
                <w:rFonts w:eastAsiaTheme="majorHAnsi"/>
                <w:kern w:val="0"/>
                <w:sz w:val="21"/>
                <w:szCs w:val="21"/>
              </w:rPr>
            </w:pPr>
            <w:r>
              <w:rPr>
                <w:rFonts w:eastAsiaTheme="majorHAnsi"/>
                <w:kern w:val="0"/>
                <w:sz w:val="21"/>
                <w:szCs w:val="21"/>
              </w:rPr>
              <w:t>Sub-dimension</w:t>
            </w:r>
          </w:p>
        </w:tc>
        <w:tc>
          <w:tcPr>
            <w:tcW w:w="5355" w:type="dxa"/>
            <w:tcBorders>
              <w:top w:val="single" w:color="auto" w:sz="4" w:space="0"/>
              <w:bottom w:val="single" w:color="auto" w:sz="4" w:space="0"/>
            </w:tcBorders>
            <w:vAlign w:val="center"/>
          </w:tcPr>
          <w:p w14:paraId="2275D267">
            <w:pPr>
              <w:spacing w:line="240" w:lineRule="auto"/>
              <w:ind w:firstLine="0" w:firstLineChars="0"/>
              <w:rPr>
                <w:rFonts w:eastAsiaTheme="majorHAnsi"/>
                <w:kern w:val="0"/>
                <w:sz w:val="21"/>
                <w:szCs w:val="21"/>
              </w:rPr>
            </w:pPr>
            <w:r>
              <w:rPr>
                <w:rFonts w:eastAsiaTheme="majorHAnsi"/>
                <w:kern w:val="0"/>
                <w:sz w:val="21"/>
                <w:szCs w:val="21"/>
              </w:rPr>
              <w:t>Keywords</w:t>
            </w:r>
          </w:p>
        </w:tc>
      </w:tr>
      <w:tr w14:paraId="472EB75D">
        <w:tblPrEx>
          <w:tblCellMar>
            <w:top w:w="0" w:type="dxa"/>
            <w:left w:w="108" w:type="dxa"/>
            <w:bottom w:w="0" w:type="dxa"/>
            <w:right w:w="108" w:type="dxa"/>
          </w:tblCellMar>
        </w:tblPrEx>
        <w:trPr>
          <w:trHeight w:val="276" w:hRule="atLeast"/>
        </w:trPr>
        <w:tc>
          <w:tcPr>
            <w:tcW w:w="1318" w:type="dxa"/>
            <w:tcBorders>
              <w:top w:val="single" w:color="auto" w:sz="4" w:space="0"/>
              <w:bottom w:val="single" w:color="auto" w:sz="4" w:space="0"/>
            </w:tcBorders>
            <w:vAlign w:val="center"/>
          </w:tcPr>
          <w:p w14:paraId="5D94559B">
            <w:pPr>
              <w:spacing w:line="240" w:lineRule="auto"/>
              <w:ind w:firstLine="0" w:firstLineChars="0"/>
              <w:rPr>
                <w:rFonts w:eastAsiaTheme="majorHAnsi"/>
                <w:kern w:val="0"/>
                <w:sz w:val="21"/>
                <w:szCs w:val="21"/>
              </w:rPr>
            </w:pPr>
            <w:r>
              <w:rPr>
                <w:rFonts w:eastAsiaTheme="majorHAnsi"/>
                <w:kern w:val="0"/>
                <w:sz w:val="21"/>
                <w:szCs w:val="21"/>
              </w:rPr>
              <w:t>Responsible Innovation Outcomes</w:t>
            </w:r>
          </w:p>
        </w:tc>
        <w:tc>
          <w:tcPr>
            <w:tcW w:w="1607" w:type="dxa"/>
            <w:tcBorders>
              <w:top w:val="single" w:color="auto" w:sz="4" w:space="0"/>
              <w:bottom w:val="single" w:color="auto" w:sz="4" w:space="0"/>
            </w:tcBorders>
            <w:vAlign w:val="center"/>
          </w:tcPr>
          <w:p w14:paraId="1EA510CC">
            <w:pPr>
              <w:spacing w:line="240" w:lineRule="auto"/>
              <w:ind w:firstLine="0" w:firstLineChars="0"/>
              <w:rPr>
                <w:rFonts w:eastAsiaTheme="majorHAnsi"/>
                <w:kern w:val="0"/>
                <w:sz w:val="21"/>
                <w:szCs w:val="21"/>
              </w:rPr>
            </w:pPr>
            <w:r>
              <w:rPr>
                <w:rFonts w:eastAsiaTheme="majorHAnsi"/>
                <w:kern w:val="0"/>
                <w:sz w:val="21"/>
                <w:szCs w:val="21"/>
              </w:rPr>
              <w:t>Ethical Acceptability</w:t>
            </w:r>
          </w:p>
        </w:tc>
        <w:tc>
          <w:tcPr>
            <w:tcW w:w="5355" w:type="dxa"/>
            <w:tcBorders>
              <w:top w:val="single" w:color="auto" w:sz="4" w:space="0"/>
              <w:bottom w:val="single" w:color="auto" w:sz="4" w:space="0"/>
            </w:tcBorders>
            <w:vAlign w:val="center"/>
          </w:tcPr>
          <w:p w14:paraId="3D8234C1">
            <w:pPr>
              <w:spacing w:line="240" w:lineRule="auto"/>
              <w:ind w:firstLine="0" w:firstLineChars="0"/>
              <w:rPr>
                <w:rFonts w:eastAsiaTheme="majorHAnsi"/>
                <w:kern w:val="0"/>
                <w:sz w:val="21"/>
                <w:szCs w:val="21"/>
              </w:rPr>
            </w:pPr>
            <w:r>
              <w:rPr>
                <w:rFonts w:eastAsia="Times New Roman"/>
                <w:sz w:val="21"/>
                <w:szCs w:val="21"/>
              </w:rPr>
              <w:t>Safety, Reliability, Transparency, Stability, Controllability, Accuracy, Precision, Credibility, Dependability, Reliance, Reputation, Trust</w:t>
            </w:r>
          </w:p>
        </w:tc>
      </w:tr>
      <w:tr w14:paraId="3EC4D1F4">
        <w:tblPrEx>
          <w:tblCellMar>
            <w:top w:w="0" w:type="dxa"/>
            <w:left w:w="108" w:type="dxa"/>
            <w:bottom w:w="0" w:type="dxa"/>
            <w:right w:w="108" w:type="dxa"/>
          </w:tblCellMar>
        </w:tblPrEx>
        <w:trPr>
          <w:trHeight w:val="276" w:hRule="atLeast"/>
        </w:trPr>
        <w:tc>
          <w:tcPr>
            <w:tcW w:w="1318" w:type="dxa"/>
            <w:tcBorders>
              <w:top w:val="single" w:color="auto" w:sz="4" w:space="0"/>
              <w:bottom w:val="single" w:color="auto" w:sz="4" w:space="0"/>
            </w:tcBorders>
            <w:vAlign w:val="center"/>
          </w:tcPr>
          <w:p w14:paraId="663D5029">
            <w:pPr>
              <w:spacing w:line="240" w:lineRule="auto"/>
              <w:ind w:firstLine="0" w:firstLineChars="0"/>
              <w:rPr>
                <w:rFonts w:eastAsiaTheme="majorHAnsi"/>
                <w:kern w:val="0"/>
                <w:sz w:val="21"/>
                <w:szCs w:val="21"/>
              </w:rPr>
            </w:pPr>
          </w:p>
        </w:tc>
        <w:tc>
          <w:tcPr>
            <w:tcW w:w="1607" w:type="dxa"/>
            <w:tcBorders>
              <w:top w:val="single" w:color="auto" w:sz="4" w:space="0"/>
              <w:bottom w:val="single" w:color="auto" w:sz="4" w:space="0"/>
            </w:tcBorders>
            <w:vAlign w:val="center"/>
          </w:tcPr>
          <w:p w14:paraId="59392BE1">
            <w:pPr>
              <w:spacing w:line="240" w:lineRule="auto"/>
              <w:ind w:firstLine="0" w:firstLineChars="0"/>
              <w:rPr>
                <w:rFonts w:eastAsiaTheme="majorHAnsi"/>
                <w:kern w:val="0"/>
                <w:sz w:val="21"/>
                <w:szCs w:val="21"/>
              </w:rPr>
            </w:pPr>
            <w:r>
              <w:rPr>
                <w:rFonts w:eastAsiaTheme="majorHAnsi"/>
                <w:kern w:val="0"/>
                <w:sz w:val="21"/>
                <w:szCs w:val="21"/>
              </w:rPr>
              <w:t>Sustainability</w:t>
            </w:r>
          </w:p>
        </w:tc>
        <w:tc>
          <w:tcPr>
            <w:tcW w:w="5355" w:type="dxa"/>
            <w:tcBorders>
              <w:top w:val="single" w:color="auto" w:sz="4" w:space="0"/>
              <w:bottom w:val="single" w:color="auto" w:sz="4" w:space="0"/>
            </w:tcBorders>
            <w:vAlign w:val="center"/>
          </w:tcPr>
          <w:p w14:paraId="015541AA">
            <w:pPr>
              <w:spacing w:line="240" w:lineRule="auto"/>
              <w:ind w:firstLine="0" w:firstLineChars="0"/>
              <w:rPr>
                <w:rFonts w:eastAsiaTheme="majorHAnsi"/>
                <w:kern w:val="0"/>
                <w:sz w:val="21"/>
                <w:szCs w:val="21"/>
              </w:rPr>
            </w:pPr>
            <w:r>
              <w:rPr>
                <w:rFonts w:eastAsia="Times New Roman"/>
                <w:sz w:val="21"/>
                <w:szCs w:val="21"/>
              </w:rPr>
              <w:t>Green, Low-carbon, Zero-carbon, Carbon reduction, Environmental protection, Clean, Circularity, Energy conservation, Conservation, High efficiency, Intensive resource use, Sustainability</w:t>
            </w:r>
          </w:p>
        </w:tc>
      </w:tr>
      <w:tr w14:paraId="24A77DF6">
        <w:tblPrEx>
          <w:tblCellMar>
            <w:top w:w="0" w:type="dxa"/>
            <w:left w:w="108" w:type="dxa"/>
            <w:bottom w:w="0" w:type="dxa"/>
            <w:right w:w="108" w:type="dxa"/>
          </w:tblCellMar>
        </w:tblPrEx>
        <w:trPr>
          <w:trHeight w:val="276" w:hRule="atLeast"/>
        </w:trPr>
        <w:tc>
          <w:tcPr>
            <w:tcW w:w="1318" w:type="dxa"/>
            <w:tcBorders>
              <w:top w:val="single" w:color="auto" w:sz="4" w:space="0"/>
              <w:bottom w:val="single" w:color="auto" w:sz="4" w:space="0"/>
            </w:tcBorders>
            <w:vAlign w:val="center"/>
          </w:tcPr>
          <w:p w14:paraId="1FB74427">
            <w:pPr>
              <w:spacing w:line="240" w:lineRule="auto"/>
              <w:ind w:firstLine="0" w:firstLineChars="0"/>
              <w:rPr>
                <w:rFonts w:eastAsiaTheme="majorHAnsi"/>
                <w:kern w:val="0"/>
                <w:sz w:val="21"/>
                <w:szCs w:val="21"/>
              </w:rPr>
            </w:pPr>
          </w:p>
        </w:tc>
        <w:tc>
          <w:tcPr>
            <w:tcW w:w="1607" w:type="dxa"/>
            <w:tcBorders>
              <w:top w:val="single" w:color="auto" w:sz="4" w:space="0"/>
              <w:bottom w:val="single" w:color="auto" w:sz="4" w:space="0"/>
            </w:tcBorders>
            <w:vAlign w:val="center"/>
          </w:tcPr>
          <w:p w14:paraId="54BE482F">
            <w:pPr>
              <w:spacing w:line="240" w:lineRule="auto"/>
              <w:ind w:firstLine="0" w:firstLineChars="0"/>
              <w:rPr>
                <w:rFonts w:eastAsiaTheme="majorHAnsi"/>
                <w:kern w:val="0"/>
                <w:sz w:val="21"/>
                <w:szCs w:val="21"/>
              </w:rPr>
            </w:pPr>
            <w:r>
              <w:rPr>
                <w:rFonts w:eastAsiaTheme="majorHAnsi"/>
                <w:kern w:val="0"/>
                <w:sz w:val="21"/>
                <w:szCs w:val="21"/>
              </w:rPr>
              <w:t>Social Desirability</w:t>
            </w:r>
          </w:p>
        </w:tc>
        <w:tc>
          <w:tcPr>
            <w:tcW w:w="5355" w:type="dxa"/>
            <w:tcBorders>
              <w:top w:val="single" w:color="auto" w:sz="4" w:space="0"/>
              <w:bottom w:val="single" w:color="auto" w:sz="4" w:space="0"/>
            </w:tcBorders>
            <w:vAlign w:val="center"/>
          </w:tcPr>
          <w:p w14:paraId="22E41FDF">
            <w:pPr>
              <w:spacing w:line="240" w:lineRule="auto"/>
              <w:ind w:firstLine="0" w:firstLineChars="0"/>
              <w:rPr>
                <w:rFonts w:eastAsiaTheme="majorHAnsi"/>
                <w:kern w:val="0"/>
                <w:sz w:val="21"/>
                <w:szCs w:val="21"/>
              </w:rPr>
            </w:pPr>
            <w:r>
              <w:rPr>
                <w:rFonts w:eastAsia="Times New Roman"/>
                <w:sz w:val="21"/>
                <w:szCs w:val="21"/>
              </w:rPr>
              <w:t>Development, Progress, Growth, Fairness, Justice, Equality, Broad-based benefits, Improving public welfare, Public convenience, Benefiting the people, Harmony, Satisfaction, Mutual benefit</w:t>
            </w:r>
          </w:p>
        </w:tc>
      </w:tr>
      <w:tr w14:paraId="6213E0F7">
        <w:tblPrEx>
          <w:tblCellMar>
            <w:top w:w="0" w:type="dxa"/>
            <w:left w:w="108" w:type="dxa"/>
            <w:bottom w:w="0" w:type="dxa"/>
            <w:right w:w="108" w:type="dxa"/>
          </w:tblCellMar>
        </w:tblPrEx>
        <w:trPr>
          <w:trHeight w:val="276" w:hRule="atLeast"/>
        </w:trPr>
        <w:tc>
          <w:tcPr>
            <w:tcW w:w="1318" w:type="dxa"/>
            <w:tcBorders>
              <w:top w:val="single" w:color="auto" w:sz="4" w:space="0"/>
              <w:bottom w:val="single" w:color="auto" w:sz="4" w:space="0"/>
            </w:tcBorders>
            <w:vAlign w:val="center"/>
          </w:tcPr>
          <w:p w14:paraId="489818F0">
            <w:pPr>
              <w:spacing w:line="240" w:lineRule="auto"/>
              <w:ind w:firstLine="0" w:firstLineChars="0"/>
              <w:rPr>
                <w:rFonts w:eastAsiaTheme="majorHAnsi"/>
                <w:kern w:val="0"/>
                <w:sz w:val="21"/>
                <w:szCs w:val="21"/>
              </w:rPr>
            </w:pPr>
            <w:r>
              <w:rPr>
                <w:rFonts w:eastAsiaTheme="majorHAnsi"/>
                <w:kern w:val="0"/>
                <w:sz w:val="21"/>
                <w:szCs w:val="21"/>
              </w:rPr>
              <w:t>Responsible Innovation Process</w:t>
            </w:r>
          </w:p>
        </w:tc>
        <w:tc>
          <w:tcPr>
            <w:tcW w:w="1607" w:type="dxa"/>
            <w:tcBorders>
              <w:top w:val="single" w:color="auto" w:sz="4" w:space="0"/>
              <w:bottom w:val="single" w:color="auto" w:sz="4" w:space="0"/>
            </w:tcBorders>
            <w:vAlign w:val="center"/>
          </w:tcPr>
          <w:p w14:paraId="0E018F79">
            <w:pPr>
              <w:spacing w:line="240" w:lineRule="auto"/>
              <w:ind w:firstLine="0" w:firstLineChars="0"/>
              <w:rPr>
                <w:rFonts w:eastAsiaTheme="majorHAnsi"/>
                <w:kern w:val="0"/>
                <w:sz w:val="21"/>
                <w:szCs w:val="21"/>
              </w:rPr>
            </w:pPr>
            <w:r>
              <w:rPr>
                <w:rFonts w:eastAsiaTheme="majorHAnsi"/>
                <w:kern w:val="0"/>
                <w:sz w:val="21"/>
                <w:szCs w:val="21"/>
              </w:rPr>
              <w:t>Anticipation</w:t>
            </w:r>
          </w:p>
        </w:tc>
        <w:tc>
          <w:tcPr>
            <w:tcW w:w="5355" w:type="dxa"/>
            <w:tcBorders>
              <w:top w:val="single" w:color="auto" w:sz="4" w:space="0"/>
              <w:bottom w:val="single" w:color="auto" w:sz="4" w:space="0"/>
            </w:tcBorders>
            <w:vAlign w:val="center"/>
          </w:tcPr>
          <w:p w14:paraId="6CE9D817">
            <w:pPr>
              <w:spacing w:line="240" w:lineRule="auto"/>
              <w:ind w:firstLine="0" w:firstLineChars="0"/>
              <w:rPr>
                <w:rFonts w:eastAsiaTheme="majorHAnsi"/>
                <w:kern w:val="0"/>
                <w:sz w:val="21"/>
                <w:szCs w:val="21"/>
              </w:rPr>
            </w:pPr>
            <w:r>
              <w:rPr>
                <w:rFonts w:eastAsia="Times New Roman"/>
                <w:sz w:val="21"/>
                <w:szCs w:val="21"/>
              </w:rPr>
              <w:t>Prevention, Monitoring and control, Supervision, Monitoring, Prevention and control, Assessment, Appraisal, Prediction, Anticipatory judgment, Identification, Early warning, Ex ante</w:t>
            </w:r>
          </w:p>
        </w:tc>
      </w:tr>
      <w:tr w14:paraId="6A36F76A">
        <w:tblPrEx>
          <w:tblCellMar>
            <w:top w:w="0" w:type="dxa"/>
            <w:left w:w="108" w:type="dxa"/>
            <w:bottom w:w="0" w:type="dxa"/>
            <w:right w:w="108" w:type="dxa"/>
          </w:tblCellMar>
        </w:tblPrEx>
        <w:trPr>
          <w:trHeight w:val="276" w:hRule="atLeast"/>
        </w:trPr>
        <w:tc>
          <w:tcPr>
            <w:tcW w:w="1318" w:type="dxa"/>
            <w:tcBorders>
              <w:top w:val="single" w:color="auto" w:sz="4" w:space="0"/>
              <w:bottom w:val="single" w:color="auto" w:sz="4" w:space="0"/>
            </w:tcBorders>
            <w:vAlign w:val="center"/>
          </w:tcPr>
          <w:p w14:paraId="2FAA5240">
            <w:pPr>
              <w:spacing w:line="240" w:lineRule="auto"/>
              <w:ind w:firstLine="0" w:firstLineChars="0"/>
              <w:rPr>
                <w:rFonts w:eastAsiaTheme="majorHAnsi"/>
                <w:kern w:val="0"/>
                <w:sz w:val="21"/>
                <w:szCs w:val="21"/>
              </w:rPr>
            </w:pPr>
          </w:p>
        </w:tc>
        <w:tc>
          <w:tcPr>
            <w:tcW w:w="1607" w:type="dxa"/>
            <w:tcBorders>
              <w:top w:val="single" w:color="auto" w:sz="4" w:space="0"/>
              <w:bottom w:val="single" w:color="auto" w:sz="4" w:space="0"/>
            </w:tcBorders>
            <w:vAlign w:val="center"/>
          </w:tcPr>
          <w:p w14:paraId="34223805">
            <w:pPr>
              <w:spacing w:line="240" w:lineRule="auto"/>
              <w:ind w:firstLine="0" w:firstLineChars="0"/>
              <w:rPr>
                <w:rFonts w:eastAsiaTheme="majorHAnsi"/>
                <w:kern w:val="0"/>
                <w:sz w:val="21"/>
                <w:szCs w:val="21"/>
              </w:rPr>
            </w:pPr>
            <w:r>
              <w:rPr>
                <w:rFonts w:eastAsiaTheme="majorHAnsi"/>
                <w:kern w:val="0"/>
                <w:sz w:val="21"/>
                <w:szCs w:val="21"/>
              </w:rPr>
              <w:t>Reflexivity</w:t>
            </w:r>
          </w:p>
        </w:tc>
        <w:tc>
          <w:tcPr>
            <w:tcW w:w="5355" w:type="dxa"/>
            <w:tcBorders>
              <w:top w:val="single" w:color="auto" w:sz="4" w:space="0"/>
              <w:bottom w:val="single" w:color="auto" w:sz="4" w:space="0"/>
            </w:tcBorders>
            <w:vAlign w:val="center"/>
          </w:tcPr>
          <w:p w14:paraId="1FCBD855">
            <w:pPr>
              <w:spacing w:line="240" w:lineRule="auto"/>
              <w:ind w:firstLine="0" w:firstLineChars="0"/>
              <w:rPr>
                <w:rFonts w:eastAsiaTheme="majorHAnsi"/>
                <w:kern w:val="0"/>
                <w:sz w:val="21"/>
                <w:szCs w:val="21"/>
              </w:rPr>
            </w:pPr>
            <w:r>
              <w:rPr>
                <w:rFonts w:eastAsia="Times New Roman"/>
                <w:sz w:val="21"/>
                <w:szCs w:val="21"/>
              </w:rPr>
              <w:t>Reflection, Self-reflection, Experience, Lessons learned, Summarization, Critical review, Examination, Audit, Verification, Inspection, Intervention, Involvement</w:t>
            </w:r>
          </w:p>
        </w:tc>
      </w:tr>
      <w:tr w14:paraId="63CDB73B">
        <w:tblPrEx>
          <w:tblCellMar>
            <w:top w:w="0" w:type="dxa"/>
            <w:left w:w="108" w:type="dxa"/>
            <w:bottom w:w="0" w:type="dxa"/>
            <w:right w:w="108" w:type="dxa"/>
          </w:tblCellMar>
        </w:tblPrEx>
        <w:trPr>
          <w:trHeight w:val="276" w:hRule="atLeast"/>
        </w:trPr>
        <w:tc>
          <w:tcPr>
            <w:tcW w:w="1318" w:type="dxa"/>
            <w:tcBorders>
              <w:top w:val="single" w:color="auto" w:sz="4" w:space="0"/>
              <w:bottom w:val="single" w:color="auto" w:sz="4" w:space="0"/>
            </w:tcBorders>
            <w:vAlign w:val="center"/>
          </w:tcPr>
          <w:p w14:paraId="59BE82BC">
            <w:pPr>
              <w:spacing w:line="240" w:lineRule="auto"/>
              <w:ind w:firstLine="0" w:firstLineChars="0"/>
              <w:rPr>
                <w:rFonts w:eastAsiaTheme="majorHAnsi"/>
                <w:kern w:val="0"/>
                <w:sz w:val="21"/>
                <w:szCs w:val="21"/>
              </w:rPr>
            </w:pPr>
          </w:p>
        </w:tc>
        <w:tc>
          <w:tcPr>
            <w:tcW w:w="1607" w:type="dxa"/>
            <w:tcBorders>
              <w:top w:val="single" w:color="auto" w:sz="4" w:space="0"/>
              <w:bottom w:val="single" w:color="auto" w:sz="4" w:space="0"/>
            </w:tcBorders>
            <w:vAlign w:val="center"/>
          </w:tcPr>
          <w:p w14:paraId="7CAA4F58">
            <w:pPr>
              <w:spacing w:line="240" w:lineRule="auto"/>
              <w:ind w:firstLine="0" w:firstLineChars="0"/>
              <w:rPr>
                <w:rFonts w:eastAsiaTheme="majorHAnsi"/>
                <w:kern w:val="0"/>
                <w:sz w:val="21"/>
                <w:szCs w:val="21"/>
              </w:rPr>
            </w:pPr>
            <w:r>
              <w:rPr>
                <w:rFonts w:eastAsiaTheme="majorHAnsi"/>
                <w:kern w:val="0"/>
                <w:sz w:val="21"/>
                <w:szCs w:val="21"/>
              </w:rPr>
              <w:t>Inclusion</w:t>
            </w:r>
          </w:p>
        </w:tc>
        <w:tc>
          <w:tcPr>
            <w:tcW w:w="5355" w:type="dxa"/>
            <w:tcBorders>
              <w:top w:val="single" w:color="auto" w:sz="4" w:space="0"/>
              <w:bottom w:val="single" w:color="auto" w:sz="4" w:space="0"/>
            </w:tcBorders>
            <w:vAlign w:val="center"/>
          </w:tcPr>
          <w:p w14:paraId="2CB2D623">
            <w:pPr>
              <w:spacing w:line="240" w:lineRule="auto"/>
              <w:ind w:firstLine="0" w:firstLineChars="0"/>
              <w:rPr>
                <w:rFonts w:eastAsiaTheme="majorHAnsi"/>
                <w:kern w:val="0"/>
                <w:sz w:val="21"/>
                <w:szCs w:val="21"/>
              </w:rPr>
            </w:pPr>
            <w:r>
              <w:rPr>
                <w:rFonts w:eastAsia="Times New Roman"/>
                <w:sz w:val="21"/>
                <w:szCs w:val="21"/>
              </w:rPr>
              <w:t>The public, All people, Society, Coordination, Openness, Sharing, Inclusiveness, Collaboration, Symbiosis, Diversity, Multiple actors, Multiple departments</w:t>
            </w:r>
          </w:p>
        </w:tc>
      </w:tr>
      <w:tr w14:paraId="02D3F28B">
        <w:tblPrEx>
          <w:tblCellMar>
            <w:top w:w="0" w:type="dxa"/>
            <w:left w:w="108" w:type="dxa"/>
            <w:bottom w:w="0" w:type="dxa"/>
            <w:right w:w="108" w:type="dxa"/>
          </w:tblCellMar>
        </w:tblPrEx>
        <w:trPr>
          <w:trHeight w:val="276" w:hRule="atLeast"/>
        </w:trPr>
        <w:tc>
          <w:tcPr>
            <w:tcW w:w="1318" w:type="dxa"/>
            <w:tcBorders>
              <w:top w:val="single" w:color="auto" w:sz="4" w:space="0"/>
              <w:bottom w:val="single" w:color="auto" w:sz="4" w:space="0"/>
            </w:tcBorders>
            <w:vAlign w:val="center"/>
          </w:tcPr>
          <w:p w14:paraId="65FB4D50">
            <w:pPr>
              <w:spacing w:line="240" w:lineRule="auto"/>
              <w:ind w:firstLine="0" w:firstLineChars="0"/>
              <w:rPr>
                <w:rFonts w:eastAsiaTheme="majorHAnsi"/>
                <w:kern w:val="0"/>
                <w:sz w:val="21"/>
                <w:szCs w:val="21"/>
              </w:rPr>
            </w:pPr>
          </w:p>
        </w:tc>
        <w:tc>
          <w:tcPr>
            <w:tcW w:w="1607" w:type="dxa"/>
            <w:tcBorders>
              <w:top w:val="single" w:color="auto" w:sz="4" w:space="0"/>
              <w:bottom w:val="single" w:color="auto" w:sz="4" w:space="0"/>
            </w:tcBorders>
            <w:vAlign w:val="center"/>
          </w:tcPr>
          <w:p w14:paraId="74D1F211">
            <w:pPr>
              <w:spacing w:line="240" w:lineRule="auto"/>
              <w:ind w:firstLine="0" w:firstLineChars="0"/>
              <w:rPr>
                <w:rFonts w:eastAsiaTheme="majorHAnsi"/>
                <w:kern w:val="0"/>
                <w:sz w:val="21"/>
                <w:szCs w:val="21"/>
              </w:rPr>
            </w:pPr>
            <w:r>
              <w:rPr>
                <w:rFonts w:eastAsiaTheme="majorHAnsi"/>
                <w:kern w:val="0"/>
                <w:sz w:val="21"/>
                <w:szCs w:val="21"/>
              </w:rPr>
              <w:t>Responsiveness</w:t>
            </w:r>
          </w:p>
        </w:tc>
        <w:tc>
          <w:tcPr>
            <w:tcW w:w="5355" w:type="dxa"/>
            <w:tcBorders>
              <w:top w:val="single" w:color="auto" w:sz="4" w:space="0"/>
              <w:bottom w:val="single" w:color="auto" w:sz="4" w:space="0"/>
            </w:tcBorders>
            <w:vAlign w:val="center"/>
          </w:tcPr>
          <w:p w14:paraId="3540679E">
            <w:pPr>
              <w:spacing w:line="240" w:lineRule="auto"/>
              <w:ind w:firstLine="0" w:firstLineChars="0"/>
              <w:rPr>
                <w:rFonts w:eastAsiaTheme="majorHAnsi"/>
                <w:kern w:val="0"/>
                <w:sz w:val="21"/>
                <w:szCs w:val="21"/>
              </w:rPr>
            </w:pPr>
            <w:r>
              <w:rPr>
                <w:rFonts w:eastAsia="Times New Roman"/>
                <w:sz w:val="21"/>
                <w:szCs w:val="21"/>
              </w:rPr>
              <w:t>Feedback, Adjustment, Regulation, Tracking, Follow-up, Real-time, Optimization, Improvement, Refinement, Upgrading, Iteration, Updating, Agility, Rapidity, Flexibility</w:t>
            </w:r>
          </w:p>
        </w:tc>
      </w:tr>
      <w:tr w14:paraId="71E97345">
        <w:tblPrEx>
          <w:tblCellMar>
            <w:top w:w="0" w:type="dxa"/>
            <w:left w:w="108" w:type="dxa"/>
            <w:bottom w:w="0" w:type="dxa"/>
            <w:right w:w="108" w:type="dxa"/>
          </w:tblCellMar>
        </w:tblPrEx>
        <w:trPr>
          <w:trHeight w:val="276" w:hRule="atLeast"/>
        </w:trPr>
        <w:tc>
          <w:tcPr>
            <w:tcW w:w="1318" w:type="dxa"/>
            <w:tcBorders>
              <w:top w:val="single" w:color="auto" w:sz="4" w:space="0"/>
              <w:bottom w:val="single" w:color="auto" w:sz="4" w:space="0"/>
            </w:tcBorders>
            <w:vAlign w:val="center"/>
          </w:tcPr>
          <w:p w14:paraId="180C5F51">
            <w:pPr>
              <w:spacing w:line="240" w:lineRule="auto"/>
              <w:ind w:firstLine="0" w:firstLineChars="0"/>
              <w:rPr>
                <w:rFonts w:eastAsiaTheme="majorHAnsi"/>
                <w:kern w:val="0"/>
                <w:sz w:val="21"/>
                <w:szCs w:val="21"/>
              </w:rPr>
            </w:pPr>
            <w:r>
              <w:rPr>
                <w:rFonts w:eastAsiaTheme="majorHAnsi"/>
                <w:kern w:val="0"/>
                <w:sz w:val="21"/>
                <w:szCs w:val="21"/>
              </w:rPr>
              <w:t>Responsible Innovation Spirit</w:t>
            </w:r>
          </w:p>
        </w:tc>
        <w:tc>
          <w:tcPr>
            <w:tcW w:w="1607" w:type="dxa"/>
            <w:tcBorders>
              <w:top w:val="single" w:color="auto" w:sz="4" w:space="0"/>
              <w:bottom w:val="single" w:color="auto" w:sz="4" w:space="0"/>
            </w:tcBorders>
            <w:vAlign w:val="center"/>
          </w:tcPr>
          <w:p w14:paraId="2DB16F56">
            <w:pPr>
              <w:spacing w:line="240" w:lineRule="auto"/>
              <w:ind w:firstLine="0" w:firstLineChars="0"/>
              <w:rPr>
                <w:rFonts w:eastAsiaTheme="majorHAnsi"/>
                <w:kern w:val="0"/>
                <w:sz w:val="21"/>
                <w:szCs w:val="21"/>
              </w:rPr>
            </w:pPr>
            <w:r>
              <w:rPr>
                <w:rFonts w:eastAsiaTheme="majorHAnsi"/>
                <w:kern w:val="0"/>
                <w:sz w:val="21"/>
                <w:szCs w:val="21"/>
              </w:rPr>
              <w:t>Innovation Spirit</w:t>
            </w:r>
          </w:p>
        </w:tc>
        <w:tc>
          <w:tcPr>
            <w:tcW w:w="5355" w:type="dxa"/>
            <w:tcBorders>
              <w:top w:val="single" w:color="auto" w:sz="4" w:space="0"/>
              <w:bottom w:val="single" w:color="auto" w:sz="4" w:space="0"/>
            </w:tcBorders>
            <w:vAlign w:val="center"/>
          </w:tcPr>
          <w:p w14:paraId="0B08F69C">
            <w:pPr>
              <w:spacing w:line="240" w:lineRule="auto"/>
              <w:ind w:firstLine="0" w:firstLineChars="0"/>
              <w:rPr>
                <w:rFonts w:eastAsiaTheme="majorHAnsi"/>
                <w:kern w:val="0"/>
                <w:sz w:val="21"/>
                <w:szCs w:val="21"/>
              </w:rPr>
            </w:pPr>
            <w:r>
              <w:rPr>
                <w:rFonts w:eastAsia="Times New Roman"/>
                <w:sz w:val="21"/>
                <w:szCs w:val="21"/>
              </w:rPr>
              <w:t>Creativity, Creation, Novelty, Pioneering, Courage, Courage and insight, Boldness, Striving, Conviction, Fortitude, Firmness, Resoluteness, Fighting spirit, Valiant effort</w:t>
            </w:r>
          </w:p>
        </w:tc>
      </w:tr>
      <w:tr w14:paraId="464AD226">
        <w:tblPrEx>
          <w:tblCellMar>
            <w:top w:w="0" w:type="dxa"/>
            <w:left w:w="108" w:type="dxa"/>
            <w:bottom w:w="0" w:type="dxa"/>
            <w:right w:w="108" w:type="dxa"/>
          </w:tblCellMar>
        </w:tblPrEx>
        <w:trPr>
          <w:trHeight w:val="276" w:hRule="atLeast"/>
        </w:trPr>
        <w:tc>
          <w:tcPr>
            <w:tcW w:w="1318" w:type="dxa"/>
            <w:tcBorders>
              <w:top w:val="single" w:color="auto" w:sz="4" w:space="0"/>
              <w:bottom w:val="single" w:color="auto" w:sz="4" w:space="0"/>
            </w:tcBorders>
            <w:vAlign w:val="center"/>
          </w:tcPr>
          <w:p w14:paraId="23F80B8A">
            <w:pPr>
              <w:spacing w:line="240" w:lineRule="auto"/>
              <w:ind w:firstLine="0" w:firstLineChars="0"/>
              <w:rPr>
                <w:rFonts w:eastAsiaTheme="majorHAnsi"/>
                <w:kern w:val="0"/>
                <w:sz w:val="21"/>
                <w:szCs w:val="21"/>
              </w:rPr>
            </w:pPr>
          </w:p>
        </w:tc>
        <w:tc>
          <w:tcPr>
            <w:tcW w:w="1607" w:type="dxa"/>
            <w:tcBorders>
              <w:top w:val="single" w:color="auto" w:sz="4" w:space="0"/>
              <w:bottom w:val="single" w:color="auto" w:sz="4" w:space="0"/>
            </w:tcBorders>
            <w:vAlign w:val="center"/>
          </w:tcPr>
          <w:p w14:paraId="7DDF6F24">
            <w:pPr>
              <w:spacing w:line="240" w:lineRule="auto"/>
              <w:ind w:firstLine="0" w:firstLineChars="0"/>
              <w:rPr>
                <w:rFonts w:eastAsiaTheme="majorHAnsi"/>
                <w:kern w:val="0"/>
                <w:sz w:val="21"/>
                <w:szCs w:val="21"/>
              </w:rPr>
            </w:pPr>
            <w:r>
              <w:rPr>
                <w:rFonts w:eastAsiaTheme="majorHAnsi"/>
                <w:kern w:val="0"/>
                <w:sz w:val="21"/>
                <w:szCs w:val="21"/>
              </w:rPr>
              <w:t>Craftsmanship Spirit</w:t>
            </w:r>
          </w:p>
        </w:tc>
        <w:tc>
          <w:tcPr>
            <w:tcW w:w="5355" w:type="dxa"/>
            <w:tcBorders>
              <w:top w:val="single" w:color="auto" w:sz="4" w:space="0"/>
              <w:bottom w:val="single" w:color="auto" w:sz="4" w:space="0"/>
            </w:tcBorders>
            <w:vAlign w:val="center"/>
          </w:tcPr>
          <w:p w14:paraId="7FB7B940">
            <w:pPr>
              <w:spacing w:line="240" w:lineRule="auto"/>
              <w:ind w:firstLine="0" w:firstLineChars="0"/>
              <w:rPr>
                <w:rFonts w:eastAsiaTheme="majorHAnsi"/>
                <w:kern w:val="0"/>
                <w:sz w:val="21"/>
                <w:szCs w:val="21"/>
              </w:rPr>
            </w:pPr>
            <w:r>
              <w:rPr>
                <w:rFonts w:eastAsia="Times New Roman"/>
                <w:sz w:val="21"/>
                <w:szCs w:val="21"/>
              </w:rPr>
              <w:t>Diligence, Hard work, Assiduousness, Industriousness, Conscientious effort, Professional dedication, Responsibility, Pragmatism, Truth-seeking, Pursuit of excellence, Practical action, Honesty, A down-to-earth approach, Persistence</w:t>
            </w:r>
          </w:p>
        </w:tc>
      </w:tr>
    </w:tbl>
    <w:p w14:paraId="3F6CC60F">
      <w:pPr>
        <w:spacing w:line="240" w:lineRule="auto"/>
        <w:ind w:firstLine="0" w:firstLineChars="0"/>
        <w:rPr>
          <w:sz w:val="21"/>
          <w:szCs w:val="21"/>
        </w:rPr>
      </w:pPr>
      <w:r>
        <w:rPr>
          <w:rFonts w:hint="eastAsia"/>
          <w:b/>
          <w:bCs/>
          <w:sz w:val="21"/>
          <w:szCs w:val="21"/>
        </w:rPr>
        <w:t xml:space="preserve">Notes: </w:t>
      </w:r>
      <w:r>
        <w:rPr>
          <w:sz w:val="21"/>
          <w:szCs w:val="21"/>
        </w:rPr>
        <w:t xml:space="preserve">This table reports the responsible innovation dictionary adopted in this study. Following Wang et al. (2026), the dictionary is constructed from three dimensions—responsible innovation outcomes, responsible innovation processes, and responsible innovation spirit. The initial dictionary consists of 38 seed words derived from the responsible innovation literature and is subsequently expanded to 116 Chinese keywords using the Word2Vec algorithm implemented in Python's gensim package. English translations are provided for reference.The complete dictionary is used to identify responsible innovation-related expressions in the MD&amp;A sections of firms' annual reports. </w:t>
      </w:r>
    </w:p>
    <w:p w14:paraId="4AF70783">
      <w:pPr>
        <w:ind w:firstLine="480"/>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24735">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75A8B">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50F13">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A135F">
    <w:pPr>
      <w:pStyle w:val="6"/>
      <w:pBdr>
        <w:top w:val="none" w:color="auto" w:sz="0" w:space="0"/>
        <w:left w:val="none" w:color="auto" w:sz="0" w:space="0"/>
        <w:bottom w:val="none" w:color="auto" w:sz="0" w:space="1"/>
        <w:right w:val="none" w:color="auto" w:sz="0" w:space="0"/>
        <w:between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FFEFE">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A82C7">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3F511C"/>
    <w:rsid w:val="002E0486"/>
    <w:rsid w:val="00B61754"/>
    <w:rsid w:val="00F316A9"/>
    <w:rsid w:val="032B5618"/>
    <w:rsid w:val="05A8137A"/>
    <w:rsid w:val="06504138"/>
    <w:rsid w:val="133F511C"/>
    <w:rsid w:val="1DBE55DE"/>
    <w:rsid w:val="243E45C7"/>
    <w:rsid w:val="25BC585C"/>
    <w:rsid w:val="29BF3EB5"/>
    <w:rsid w:val="2B1F7673"/>
    <w:rsid w:val="40D7128C"/>
    <w:rsid w:val="41FC7CF6"/>
    <w:rsid w:val="44E82B20"/>
    <w:rsid w:val="47530F1F"/>
    <w:rsid w:val="58D2082D"/>
    <w:rsid w:val="706418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styleId="2">
    <w:name w:val="heading 3"/>
    <w:basedOn w:val="1"/>
    <w:next w:val="1"/>
    <w:unhideWhenUsed/>
    <w:qFormat/>
    <w:uiPriority w:val="9"/>
    <w:pPr>
      <w:keepNext/>
      <w:keepLines/>
      <w:spacing w:before="50" w:beforeLines="50" w:after="50" w:afterLines="50"/>
      <w:ind w:firstLine="0" w:firstLineChars="0"/>
      <w:jc w:val="left"/>
      <w:outlineLvl w:val="2"/>
    </w:pPr>
    <w:rPr>
      <w:rFonts w:eastAsia="Times New Roman"/>
      <w:b/>
      <w:bCs/>
      <w:szCs w:val="32"/>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3"/>
    <w:qFormat/>
    <w:uiPriority w:val="0"/>
    <w:pPr>
      <w:jc w:val="left"/>
    </w:pPr>
  </w:style>
  <w:style w:type="paragraph" w:styleId="4">
    <w:name w:val="Balloon Text"/>
    <w:basedOn w:val="1"/>
    <w:link w:val="15"/>
    <w:qFormat/>
    <w:uiPriority w:val="0"/>
    <w:pPr>
      <w:spacing w:line="240" w:lineRule="auto"/>
    </w:pPr>
    <w:rPr>
      <w:sz w:val="18"/>
      <w:szCs w:val="18"/>
    </w:rPr>
  </w:style>
  <w:style w:type="paragraph" w:styleId="5">
    <w:name w:val="footer"/>
    <w:basedOn w:val="1"/>
    <w:link w:val="12"/>
    <w:qFormat/>
    <w:uiPriority w:val="0"/>
    <w:pPr>
      <w:tabs>
        <w:tab w:val="center" w:pos="4153"/>
        <w:tab w:val="right" w:pos="8306"/>
      </w:tabs>
      <w:snapToGrid w:val="0"/>
      <w:spacing w:line="240" w:lineRule="auto"/>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7">
    <w:name w:val="annotation subject"/>
    <w:basedOn w:val="3"/>
    <w:next w:val="3"/>
    <w:link w:val="14"/>
    <w:qFormat/>
    <w:uiPriority w:val="0"/>
    <w:rPr>
      <w:b/>
      <w:bCs/>
    </w:rPr>
  </w:style>
  <w:style w:type="character" w:styleId="10">
    <w:name w:val="annotation reference"/>
    <w:basedOn w:val="9"/>
    <w:qFormat/>
    <w:uiPriority w:val="0"/>
    <w:rPr>
      <w:sz w:val="21"/>
      <w:szCs w:val="21"/>
    </w:rPr>
  </w:style>
  <w:style w:type="character" w:customStyle="1" w:styleId="11">
    <w:name w:val="页眉 字符"/>
    <w:basedOn w:val="9"/>
    <w:link w:val="6"/>
    <w:qFormat/>
    <w:uiPriority w:val="0"/>
    <w:rPr>
      <w:kern w:val="2"/>
      <w:sz w:val="18"/>
      <w:szCs w:val="18"/>
    </w:rPr>
  </w:style>
  <w:style w:type="character" w:customStyle="1" w:styleId="12">
    <w:name w:val="页脚 字符"/>
    <w:basedOn w:val="9"/>
    <w:link w:val="5"/>
    <w:qFormat/>
    <w:uiPriority w:val="0"/>
    <w:rPr>
      <w:kern w:val="2"/>
      <w:sz w:val="18"/>
      <w:szCs w:val="18"/>
    </w:rPr>
  </w:style>
  <w:style w:type="character" w:customStyle="1" w:styleId="13">
    <w:name w:val="批注文字 字符"/>
    <w:basedOn w:val="9"/>
    <w:link w:val="3"/>
    <w:qFormat/>
    <w:uiPriority w:val="0"/>
    <w:rPr>
      <w:kern w:val="2"/>
      <w:sz w:val="24"/>
      <w:szCs w:val="24"/>
    </w:rPr>
  </w:style>
  <w:style w:type="character" w:customStyle="1" w:styleId="14">
    <w:name w:val="批注主题 字符"/>
    <w:basedOn w:val="13"/>
    <w:link w:val="7"/>
    <w:uiPriority w:val="0"/>
    <w:rPr>
      <w:b/>
      <w:bCs/>
      <w:kern w:val="2"/>
      <w:sz w:val="24"/>
      <w:szCs w:val="24"/>
    </w:rPr>
  </w:style>
  <w:style w:type="character" w:customStyle="1" w:styleId="15">
    <w:name w:val="批注框文本 字符"/>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587</Words>
  <Characters>4135</Characters>
  <Lines>33</Lines>
  <Paragraphs>9</Paragraphs>
  <TotalTime>0</TotalTime>
  <ScaleCrop>false</ScaleCrop>
  <LinksUpToDate>false</LinksUpToDate>
  <CharactersWithSpaces>4662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2026-09-24T04:36:00Z</dcterms:created>
  <dc:creator>WPS_1760686957</dc:creator>
  <cp:lastModifiedBy>WPS_1760686957</cp:lastModifiedBy>
  <dcterms:modified xsi:type="dcterms:W3CDTF">2026-09-25T01:51:39Z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EFAF5940053E46BBA7D5DA6BBB067F05_11</vt:lpwstr>
  </property>
  <property fmtid="{D5CDD505-2E9C-101B-9397-08002B2CF9AE}" pid="4" name="KSOTemplateDocerSaveRecord">
    <vt:lpwstr>eyJoZGlkIjoiM2FiZDIzMjBhYjY3YjcwYmIxYWI1NjM4YzVmYjEyMDMiLCJ1c2VySWQiOiIxNzU1NDU4NzA4In0=</vt:lpwstr>
  </property>
</Properties>
</file>