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CB9EF" w14:textId="1D9373D2" w:rsidR="006B5CE9" w:rsidRDefault="006B5CE9" w:rsidP="006B5CE9">
      <w:pPr>
        <w:jc w:val="center"/>
        <w:rPr>
          <w:rFonts w:ascii="Times New Roman" w:hAnsi="Times New Roman" w:cs="Times New Roman"/>
          <w:b/>
          <w:color w:val="0070C0"/>
          <w:sz w:val="32"/>
          <w:szCs w:val="36"/>
        </w:rPr>
      </w:pPr>
      <w:r w:rsidRPr="006B5CE9">
        <w:rPr>
          <w:rFonts w:ascii="Times New Roman" w:hAnsi="Times New Roman" w:cs="Times New Roman"/>
          <w:b/>
          <w:color w:val="0070C0"/>
          <w:sz w:val="32"/>
          <w:szCs w:val="36"/>
        </w:rPr>
        <w:t>Supplementary Materials</w:t>
      </w:r>
      <w:r w:rsidR="004E26E0">
        <w:rPr>
          <w:rFonts w:ascii="Times New Roman" w:hAnsi="Times New Roman" w:cs="Times New Roman" w:hint="eastAsia"/>
          <w:b/>
          <w:color w:val="0070C0"/>
          <w:sz w:val="32"/>
          <w:szCs w:val="36"/>
        </w:rPr>
        <w:t xml:space="preserve"> I</w:t>
      </w:r>
    </w:p>
    <w:p w14:paraId="0853DA50" w14:textId="77777777" w:rsidR="00077AE1" w:rsidRDefault="00077AE1" w:rsidP="00077AE1">
      <w:pPr>
        <w:jc w:val="center"/>
        <w:rPr>
          <w:rFonts w:ascii="Times New Roman" w:hAnsi="Times New Roman" w:cs="Times New Roman"/>
          <w:b/>
        </w:rPr>
      </w:pPr>
      <w:r w:rsidRPr="00077AE1">
        <w:rPr>
          <w:rFonts w:ascii="Times New Roman" w:hAnsi="Times New Roman" w:cs="Times New Roman"/>
          <w:b/>
        </w:rPr>
        <w:t>Literature Search, Screening, and Coding Appendix</w:t>
      </w:r>
    </w:p>
    <w:p w14:paraId="6D0D3BE4" w14:textId="69D1A7E8" w:rsidR="00077AE1" w:rsidRPr="00077AE1" w:rsidRDefault="00387BA8" w:rsidP="00387BA8">
      <w:pPr>
        <w:ind w:firstLineChars="200" w:firstLine="420"/>
        <w:rPr>
          <w:rFonts w:ascii="Times New Roman" w:hAnsi="Times New Roman" w:cs="Times New Roman"/>
        </w:rPr>
      </w:pPr>
      <w:r w:rsidRPr="00387BA8">
        <w:rPr>
          <w:rFonts w:ascii="Times New Roman" w:hAnsi="Times New Roman" w:cs="Times New Roman" w:hint="eastAsia"/>
        </w:rPr>
        <w:t>This material documents the literature identification, screening, coding, and framework integration procedures employed in the scoping review. Its accompanying supplementary data files include search results exported from W</w:t>
      </w:r>
      <w:r>
        <w:rPr>
          <w:rFonts w:ascii="Times New Roman" w:hAnsi="Times New Roman" w:cs="Times New Roman" w:hint="eastAsia"/>
        </w:rPr>
        <w:t>eb of Science</w:t>
      </w:r>
      <w:r w:rsidRPr="00387BA8">
        <w:rPr>
          <w:rFonts w:ascii="Times New Roman" w:hAnsi="Times New Roman" w:cs="Times New Roman" w:hint="eastAsia"/>
        </w:rPr>
        <w:t xml:space="preserve"> and Scopus (</w:t>
      </w:r>
      <w:r w:rsidRPr="00387BA8">
        <w:rPr>
          <w:rFonts w:ascii="Times New Roman" w:hAnsi="Times New Roman" w:cs="Times New Roman" w:hint="eastAsia"/>
          <w:i/>
          <w:iCs/>
          <w:color w:val="0070C0"/>
        </w:rPr>
        <w:t>W</w:t>
      </w:r>
      <w:r w:rsidR="0097156C">
        <w:rPr>
          <w:rFonts w:ascii="Times New Roman" w:hAnsi="Times New Roman" w:cs="Times New Roman" w:hint="eastAsia"/>
          <w:i/>
          <w:iCs/>
          <w:color w:val="0070C0"/>
        </w:rPr>
        <w:t>O</w:t>
      </w:r>
      <w:r w:rsidRPr="00387BA8">
        <w:rPr>
          <w:rFonts w:ascii="Times New Roman" w:hAnsi="Times New Roman" w:cs="Times New Roman" w:hint="eastAsia"/>
          <w:i/>
          <w:iCs/>
          <w:color w:val="0070C0"/>
        </w:rPr>
        <w:t>S.txt</w:t>
      </w:r>
      <w:r w:rsidRPr="00387BA8">
        <w:rPr>
          <w:rFonts w:ascii="Times New Roman" w:hAnsi="Times New Roman" w:cs="Times New Roman" w:hint="eastAsia"/>
        </w:rPr>
        <w:t xml:space="preserve">, </w:t>
      </w:r>
      <w:r w:rsidR="0097156C">
        <w:rPr>
          <w:rFonts w:ascii="Times New Roman" w:hAnsi="Times New Roman" w:cs="Times New Roman" w:hint="eastAsia"/>
          <w:i/>
          <w:iCs/>
          <w:color w:val="0070C0"/>
        </w:rPr>
        <w:t>s</w:t>
      </w:r>
      <w:r w:rsidRPr="00387BA8">
        <w:rPr>
          <w:rFonts w:ascii="Times New Roman" w:hAnsi="Times New Roman" w:cs="Times New Roman" w:hint="eastAsia"/>
          <w:i/>
          <w:iCs/>
          <w:color w:val="0070C0"/>
        </w:rPr>
        <w:t>copus.txt</w:t>
      </w:r>
      <w:r w:rsidRPr="00387BA8">
        <w:rPr>
          <w:rFonts w:ascii="Times New Roman" w:hAnsi="Times New Roman" w:cs="Times New Roman" w:hint="eastAsia"/>
        </w:rPr>
        <w:t>), a retained</w:t>
      </w:r>
      <w:r>
        <w:rPr>
          <w:rFonts w:ascii="Times New Roman" w:hAnsi="Times New Roman" w:cs="Times New Roman" w:hint="eastAsia"/>
        </w:rPr>
        <w:t xml:space="preserve"> 8</w:t>
      </w:r>
      <w:r w:rsidR="00011621">
        <w:rPr>
          <w:rFonts w:ascii="Times New Roman" w:hAnsi="Times New Roman" w:cs="Times New Roman" w:hint="eastAsia"/>
        </w:rPr>
        <w:t>0</w:t>
      </w:r>
      <w:r w:rsidRPr="00387BA8">
        <w:rPr>
          <w:rFonts w:ascii="Times New Roman" w:hAnsi="Times New Roman" w:cs="Times New Roman" w:hint="eastAsia"/>
        </w:rPr>
        <w:t xml:space="preserve"> seed literature list, a final coding table for 8</w:t>
      </w:r>
      <w:r w:rsidR="00011621">
        <w:rPr>
          <w:rFonts w:ascii="Times New Roman" w:hAnsi="Times New Roman" w:cs="Times New Roman" w:hint="eastAsia"/>
        </w:rPr>
        <w:t>0</w:t>
      </w:r>
      <w:r w:rsidRPr="00387BA8">
        <w:rPr>
          <w:rFonts w:ascii="Times New Roman" w:hAnsi="Times New Roman" w:cs="Times New Roman" w:hint="eastAsia"/>
        </w:rPr>
        <w:t xml:space="preserve"> seed literature items, a supporting evidence table for 4</w:t>
      </w:r>
      <w:r w:rsidR="00011621">
        <w:rPr>
          <w:rFonts w:ascii="Times New Roman" w:hAnsi="Times New Roman" w:cs="Times New Roman" w:hint="eastAsia"/>
        </w:rPr>
        <w:t>1</w:t>
      </w:r>
      <w:r w:rsidRPr="00387BA8">
        <w:rPr>
          <w:rFonts w:ascii="Times New Roman" w:hAnsi="Times New Roman" w:cs="Times New Roman" w:hint="eastAsia"/>
        </w:rPr>
        <w:t xml:space="preserve"> citation tracking studies, and a list of 453 de-duplicated literature items (</w:t>
      </w:r>
      <w:r w:rsidRPr="00387BA8">
        <w:rPr>
          <w:rFonts w:ascii="Times New Roman" w:hAnsi="Times New Roman" w:cs="Times New Roman" w:hint="eastAsia"/>
          <w:i/>
          <w:iCs/>
          <w:color w:val="0070C0"/>
        </w:rPr>
        <w:t xml:space="preserve">Supplementary </w:t>
      </w:r>
      <w:r w:rsidR="00360B64">
        <w:rPr>
          <w:rFonts w:ascii="Times New Roman" w:hAnsi="Times New Roman" w:cs="Times New Roman" w:hint="eastAsia"/>
          <w:i/>
          <w:iCs/>
          <w:color w:val="0070C0"/>
        </w:rPr>
        <w:t>data</w:t>
      </w:r>
      <w:r w:rsidRPr="00387BA8">
        <w:rPr>
          <w:rFonts w:ascii="Times New Roman" w:hAnsi="Times New Roman" w:cs="Times New Roman" w:hint="eastAsia"/>
          <w:i/>
          <w:iCs/>
          <w:color w:val="0070C0"/>
        </w:rPr>
        <w:t>.xl</w:t>
      </w:r>
      <w:r w:rsidR="00B37EA9">
        <w:rPr>
          <w:rFonts w:ascii="Times New Roman" w:hAnsi="Times New Roman" w:cs="Times New Roman" w:hint="eastAsia"/>
          <w:i/>
          <w:iCs/>
          <w:color w:val="0070C0"/>
        </w:rPr>
        <w:t>sx</w:t>
      </w:r>
      <w:r w:rsidRPr="00387BA8">
        <w:rPr>
          <w:rFonts w:ascii="Times New Roman" w:hAnsi="Times New Roman" w:cs="Times New Roman" w:hint="eastAsia"/>
        </w:rPr>
        <w:t>)</w:t>
      </w:r>
      <w:r w:rsidR="00360B64">
        <w:rPr>
          <w:rFonts w:ascii="Times New Roman" w:hAnsi="Times New Roman" w:cs="Times New Roman" w:hint="eastAsia"/>
        </w:rPr>
        <w:t>.</w:t>
      </w:r>
    </w:p>
    <w:p w14:paraId="5C72D01D" w14:textId="77777777" w:rsidR="00B51BD6" w:rsidRPr="00B51BD6" w:rsidRDefault="00B51BD6" w:rsidP="00387BA8">
      <w:pPr>
        <w:rPr>
          <w:rFonts w:ascii="Times New Roman" w:hAnsi="Times New Roman" w:cs="Times New Roman"/>
          <w:b/>
          <w:bCs/>
          <w:sz w:val="24"/>
          <w:szCs w:val="28"/>
        </w:rPr>
      </w:pPr>
      <w:r w:rsidRPr="00B51BD6">
        <w:rPr>
          <w:rFonts w:ascii="Times New Roman" w:hAnsi="Times New Roman" w:cs="Times New Roman"/>
          <w:b/>
          <w:bCs/>
          <w:sz w:val="24"/>
          <w:szCs w:val="28"/>
        </w:rPr>
        <w:t>S1. Review design and evidence structure</w:t>
      </w:r>
    </w:p>
    <w:p w14:paraId="458005E5" w14:textId="7DA38246" w:rsidR="006B5CE9" w:rsidRDefault="00B51BD6" w:rsidP="006B5CE9">
      <w:pPr>
        <w:ind w:firstLineChars="200" w:firstLine="440"/>
        <w:rPr>
          <w:rFonts w:ascii="Times New Roman" w:hAnsi="Times New Roman"/>
          <w:sz w:val="22"/>
        </w:rPr>
      </w:pPr>
      <w:r>
        <w:rPr>
          <w:rFonts w:ascii="Times New Roman" w:eastAsia="Times New Roman" w:hAnsi="Times New Roman"/>
          <w:sz w:val="22"/>
        </w:rPr>
        <w:t>The review adopts a scoping review and framework-synthesis design. The purpose was to identify and organize empirical evidence relevant to collaborative climate governance and household livelihood resilience in China, and to synthesize recurring themes into an analytical framework.</w:t>
      </w:r>
      <w:r w:rsidRPr="00B51BD6">
        <w:rPr>
          <w:rFonts w:ascii="Times New Roman" w:eastAsia="Times New Roman" w:hAnsi="Times New Roman"/>
          <w:sz w:val="22"/>
        </w:rPr>
        <w:t xml:space="preserve"> </w:t>
      </w:r>
      <w:r>
        <w:rPr>
          <w:rFonts w:ascii="Times New Roman" w:eastAsia="Times New Roman" w:hAnsi="Times New Roman"/>
          <w:sz w:val="22"/>
        </w:rPr>
        <w:t>The final evidence base was organized into two layers. The first layer comprised 8</w:t>
      </w:r>
      <w:r w:rsidR="003308FC">
        <w:rPr>
          <w:rFonts w:ascii="Times New Roman" w:hAnsi="Times New Roman" w:hint="eastAsia"/>
          <w:sz w:val="22"/>
        </w:rPr>
        <w:t>0</w:t>
      </w:r>
      <w:r>
        <w:rPr>
          <w:rFonts w:ascii="Times New Roman" w:eastAsia="Times New Roman" w:hAnsi="Times New Roman"/>
          <w:sz w:val="22"/>
        </w:rPr>
        <w:t xml:space="preserve"> retained seed studies that formed the main basis for full-text coding and thematic synthesis. The second layer comprised 4</w:t>
      </w:r>
      <w:r w:rsidR="00011621">
        <w:rPr>
          <w:rFonts w:ascii="Times New Roman" w:hAnsi="Times New Roman" w:hint="eastAsia"/>
          <w:sz w:val="22"/>
        </w:rPr>
        <w:t>1</w:t>
      </w:r>
      <w:r>
        <w:rPr>
          <w:rFonts w:ascii="Times New Roman" w:eastAsia="Times New Roman" w:hAnsi="Times New Roman"/>
          <w:sz w:val="22"/>
        </w:rPr>
        <w:t xml:space="preserve"> citation-traced supporting studies, which were used selectively to refine conceptual boundaries, strengthen underrepresented governance dimensions, and supplement mechanism interpretation.</w:t>
      </w:r>
    </w:p>
    <w:p w14:paraId="2435CE05" w14:textId="61910DF8" w:rsidR="00242F79" w:rsidRPr="00387BA8" w:rsidRDefault="00242F79" w:rsidP="00387BA8">
      <w:pPr>
        <w:ind w:firstLineChars="200" w:firstLine="420"/>
        <w:rPr>
          <w:rFonts w:ascii="Times New Roman" w:hAnsi="Times New Roman" w:cs="Times New Roman"/>
        </w:rPr>
      </w:pPr>
      <w:r w:rsidRPr="00D87502">
        <w:rPr>
          <w:rFonts w:ascii="Times New Roman" w:hAnsi="Times New Roman" w:cs="Times New Roman" w:hint="eastAsia"/>
        </w:rPr>
        <w:t>The overall evidence-identification and screening process, including the Web of Science</w:t>
      </w:r>
      <w:r>
        <w:rPr>
          <w:rFonts w:ascii="Times New Roman" w:hAnsi="Times New Roman" w:cs="Times New Roman" w:hint="eastAsia"/>
        </w:rPr>
        <w:t xml:space="preserve"> &amp; Scopus</w:t>
      </w:r>
      <w:r w:rsidRPr="00D87502">
        <w:rPr>
          <w:rFonts w:ascii="Times New Roman" w:hAnsi="Times New Roman" w:cs="Times New Roman" w:hint="eastAsia"/>
        </w:rPr>
        <w:t xml:space="preserve"> seed search, eligibility screening, and citation-tracing expansion, is summarized in Figure S1.</w:t>
      </w:r>
      <w:r w:rsidR="00360B64" w:rsidRPr="00360B64">
        <w:t xml:space="preserve"> </w:t>
      </w:r>
    </w:p>
    <w:p w14:paraId="16B9E6EB" w14:textId="59D50A7A" w:rsidR="00B1718D" w:rsidRDefault="00011621" w:rsidP="00B1718D">
      <w:pPr>
        <w:ind w:firstLineChars="200" w:firstLine="420"/>
        <w:jc w:val="center"/>
        <w:rPr>
          <w:rFonts w:ascii="Times New Roman" w:hAnsi="Times New Roman" w:cs="Times New Roman"/>
        </w:rPr>
      </w:pPr>
      <w:r w:rsidRPr="00011621">
        <w:rPr>
          <w:rFonts w:ascii="Times New Roman" w:hAnsi="Times New Roman" w:cs="Times New Roman"/>
          <w:noProof/>
        </w:rPr>
        <w:drawing>
          <wp:inline distT="0" distB="0" distL="0" distR="0" wp14:anchorId="5CFFDD09" wp14:editId="5ECF7FA1">
            <wp:extent cx="3639627" cy="3011685"/>
            <wp:effectExtent l="0" t="0" r="0" b="0"/>
            <wp:docPr id="4" name="图片 3">
              <a:extLst xmlns:a="http://schemas.openxmlformats.org/drawingml/2006/main">
                <a:ext uri="{FF2B5EF4-FFF2-40B4-BE49-F238E27FC236}">
                  <a16:creationId xmlns:a16="http://schemas.microsoft.com/office/drawing/2014/main" id="{D5759FC5-B4AE-A38A-EEB2-1A97E7B8BC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D5759FC5-B4AE-A38A-EEB2-1A97E7B8BC01}"/>
                        </a:ext>
                      </a:extLst>
                    </pic:cNvPr>
                    <pic:cNvPicPr>
                      <a:picLocks noChangeAspect="1"/>
                    </pic:cNvPicPr>
                  </pic:nvPicPr>
                  <pic:blipFill>
                    <a:blip r:embed="rId7"/>
                    <a:stretch>
                      <a:fillRect/>
                    </a:stretch>
                  </pic:blipFill>
                  <pic:spPr>
                    <a:xfrm>
                      <a:off x="0" y="0"/>
                      <a:ext cx="3639627" cy="3011685"/>
                    </a:xfrm>
                    <a:prstGeom prst="rect">
                      <a:avLst/>
                    </a:prstGeom>
                  </pic:spPr>
                </pic:pic>
              </a:graphicData>
            </a:graphic>
          </wp:inline>
        </w:drawing>
      </w:r>
    </w:p>
    <w:p w14:paraId="458A1ECF" w14:textId="469CCF46" w:rsidR="00B1718D" w:rsidRDefault="00B1718D" w:rsidP="00B1718D">
      <w:pPr>
        <w:ind w:firstLineChars="200" w:firstLine="420"/>
        <w:jc w:val="center"/>
        <w:rPr>
          <w:rFonts w:ascii="Times New Roman" w:hAnsi="Times New Roman" w:cs="Times New Roman"/>
        </w:rPr>
      </w:pPr>
      <w:r w:rsidRPr="006B5CE9">
        <w:rPr>
          <w:rFonts w:ascii="Times New Roman" w:hAnsi="Times New Roman" w:cs="Times New Roman"/>
        </w:rPr>
        <w:t>Figure S1</w:t>
      </w:r>
      <w:r>
        <w:rPr>
          <w:rFonts w:ascii="Times New Roman" w:hAnsi="Times New Roman" w:cs="Times New Roman" w:hint="eastAsia"/>
        </w:rPr>
        <w:t xml:space="preserve"> </w:t>
      </w:r>
      <w:r w:rsidRPr="00D87502">
        <w:rPr>
          <w:rFonts w:ascii="Times New Roman" w:hAnsi="Times New Roman" w:cs="Times New Roman" w:hint="eastAsia"/>
        </w:rPr>
        <w:t xml:space="preserve">Workflow of evidence identification and screening for the </w:t>
      </w:r>
      <w:r>
        <w:rPr>
          <w:rFonts w:ascii="Times New Roman" w:hAnsi="Times New Roman" w:cs="Times New Roman" w:hint="eastAsia"/>
        </w:rPr>
        <w:t>scop</w:t>
      </w:r>
      <w:r w:rsidR="00360B64">
        <w:rPr>
          <w:rFonts w:ascii="Times New Roman" w:hAnsi="Times New Roman" w:cs="Times New Roman" w:hint="eastAsia"/>
        </w:rPr>
        <w:t>ing</w:t>
      </w:r>
      <w:r>
        <w:rPr>
          <w:rFonts w:ascii="Times New Roman" w:hAnsi="Times New Roman" w:cs="Times New Roman" w:hint="eastAsia"/>
        </w:rPr>
        <w:t xml:space="preserve"> review</w:t>
      </w:r>
    </w:p>
    <w:p w14:paraId="3E39E95D" w14:textId="77777777" w:rsidR="006B5CE9" w:rsidRDefault="006B5CE9" w:rsidP="006B5CE9">
      <w:pPr>
        <w:rPr>
          <w:rFonts w:ascii="Times New Roman" w:hAnsi="Times New Roman" w:cs="Times New Roman"/>
          <w:b/>
          <w:bCs/>
        </w:rPr>
      </w:pPr>
    </w:p>
    <w:p w14:paraId="16611CFF" w14:textId="3ED6575A" w:rsidR="006B5CE9" w:rsidRDefault="006B5CE9" w:rsidP="006B5CE9">
      <w:pPr>
        <w:rPr>
          <w:rFonts w:ascii="Times New Roman" w:hAnsi="Times New Roman" w:cs="Times New Roman"/>
          <w:b/>
          <w:bCs/>
          <w:sz w:val="24"/>
          <w:szCs w:val="28"/>
        </w:rPr>
      </w:pPr>
      <w:r w:rsidRPr="006B5CE9">
        <w:rPr>
          <w:rFonts w:ascii="Times New Roman" w:hAnsi="Times New Roman" w:cs="Times New Roman"/>
          <w:b/>
          <w:bCs/>
          <w:sz w:val="24"/>
          <w:szCs w:val="28"/>
        </w:rPr>
        <w:t>S2. Search strategy (Web of Science</w:t>
      </w:r>
      <w:r w:rsidR="00A40270">
        <w:rPr>
          <w:rFonts w:ascii="Times New Roman" w:hAnsi="Times New Roman" w:cs="Times New Roman" w:hint="eastAsia"/>
          <w:b/>
          <w:bCs/>
          <w:sz w:val="24"/>
          <w:szCs w:val="28"/>
        </w:rPr>
        <w:t xml:space="preserve"> &amp; Scopus</w:t>
      </w:r>
      <w:r w:rsidRPr="006B5CE9">
        <w:rPr>
          <w:rFonts w:ascii="Times New Roman" w:hAnsi="Times New Roman" w:cs="Times New Roman"/>
          <w:b/>
          <w:bCs/>
          <w:sz w:val="24"/>
          <w:szCs w:val="28"/>
        </w:rPr>
        <w:t>)</w:t>
      </w:r>
    </w:p>
    <w:p w14:paraId="000E1523" w14:textId="08C88734" w:rsidR="00A40270" w:rsidRPr="006B5CE9" w:rsidRDefault="00A40270" w:rsidP="00A40270">
      <w:pPr>
        <w:ind w:firstLineChars="200" w:firstLine="420"/>
        <w:rPr>
          <w:rFonts w:ascii="Times New Roman" w:hAnsi="Times New Roman" w:cs="Times New Roman"/>
        </w:rPr>
      </w:pPr>
      <w:r w:rsidRPr="006B5CE9">
        <w:rPr>
          <w:rFonts w:ascii="Times New Roman" w:hAnsi="Times New Roman" w:cs="Times New Roman"/>
          <w:b/>
          <w:bCs/>
        </w:rPr>
        <w:t>Database</w:t>
      </w:r>
      <w:r w:rsidR="00360B64">
        <w:rPr>
          <w:rFonts w:ascii="Times New Roman" w:hAnsi="Times New Roman" w:cs="Times New Roman" w:hint="eastAsia"/>
          <w:b/>
          <w:bCs/>
        </w:rPr>
        <w:t>s</w:t>
      </w:r>
      <w:r w:rsidRPr="006B5CE9">
        <w:rPr>
          <w:rFonts w:ascii="Times New Roman" w:hAnsi="Times New Roman" w:cs="Times New Roman"/>
        </w:rPr>
        <w:t>: Web of Science (</w:t>
      </w:r>
      <w:proofErr w:type="spellStart"/>
      <w:r w:rsidRPr="006B5CE9">
        <w:rPr>
          <w:rFonts w:ascii="Times New Roman" w:hAnsi="Times New Roman" w:cs="Times New Roman"/>
        </w:rPr>
        <w:t>WoS</w:t>
      </w:r>
      <w:proofErr w:type="spellEnd"/>
      <w:r w:rsidRPr="006B5CE9">
        <w:rPr>
          <w:rFonts w:ascii="Times New Roman" w:hAnsi="Times New Roman" w:cs="Times New Roman"/>
        </w:rPr>
        <w:t>)</w:t>
      </w:r>
      <w:r>
        <w:rPr>
          <w:rFonts w:ascii="Times New Roman" w:hAnsi="Times New Roman" w:cs="Times New Roman" w:hint="eastAsia"/>
        </w:rPr>
        <w:t xml:space="preserve"> &amp; Scopus</w:t>
      </w:r>
      <w:r w:rsidRPr="006B5CE9">
        <w:rPr>
          <w:rFonts w:ascii="Times New Roman" w:hAnsi="Times New Roman" w:cs="Times New Roman"/>
        </w:rPr>
        <w:t xml:space="preserve">, </w:t>
      </w:r>
      <w:r w:rsidRPr="006B5CE9">
        <w:rPr>
          <w:rFonts w:ascii="Times New Roman" w:hAnsi="Times New Roman" w:cs="Times New Roman"/>
          <w:b/>
          <w:bCs/>
        </w:rPr>
        <w:t>Topic search</w:t>
      </w:r>
      <w:r w:rsidRPr="006B5CE9">
        <w:rPr>
          <w:rFonts w:ascii="Times New Roman" w:hAnsi="Times New Roman" w:cs="Times New Roman"/>
        </w:rPr>
        <w:t xml:space="preserve"> (TS). </w:t>
      </w:r>
      <w:r w:rsidRPr="006B5CE9">
        <w:rPr>
          <w:rFonts w:ascii="Times New Roman" w:hAnsi="Times New Roman" w:cs="Times New Roman"/>
          <w:b/>
          <w:bCs/>
        </w:rPr>
        <w:t>Language:</w:t>
      </w:r>
      <w:r w:rsidRPr="006B5CE9">
        <w:rPr>
          <w:rFonts w:ascii="Times New Roman" w:hAnsi="Times New Roman" w:cs="Times New Roman"/>
        </w:rPr>
        <w:t xml:space="preserve"> English. </w:t>
      </w:r>
      <w:r w:rsidRPr="006B5CE9">
        <w:rPr>
          <w:rFonts w:ascii="Times New Roman" w:hAnsi="Times New Roman" w:cs="Times New Roman"/>
          <w:b/>
          <w:bCs/>
        </w:rPr>
        <w:t>Publication type</w:t>
      </w:r>
      <w:r w:rsidRPr="006B5CE9">
        <w:rPr>
          <w:rFonts w:ascii="Times New Roman" w:hAnsi="Times New Roman" w:cs="Times New Roman"/>
        </w:rPr>
        <w:t xml:space="preserve">: journal articles. </w:t>
      </w:r>
      <w:r w:rsidRPr="006B5CE9">
        <w:rPr>
          <w:rFonts w:ascii="Times New Roman" w:hAnsi="Times New Roman" w:cs="Times New Roman"/>
          <w:b/>
          <w:bCs/>
        </w:rPr>
        <w:t>Time span</w:t>
      </w:r>
      <w:r w:rsidRPr="006B5CE9">
        <w:rPr>
          <w:rFonts w:ascii="Times New Roman" w:hAnsi="Times New Roman" w:cs="Times New Roman"/>
        </w:rPr>
        <w:t xml:space="preserve">: January 2000 to </w:t>
      </w:r>
      <w:r>
        <w:rPr>
          <w:rFonts w:ascii="Times New Roman" w:hAnsi="Times New Roman" w:cs="Times New Roman" w:hint="eastAsia"/>
        </w:rPr>
        <w:t>April</w:t>
      </w:r>
      <w:r w:rsidRPr="006B5CE9">
        <w:rPr>
          <w:rFonts w:ascii="Times New Roman" w:hAnsi="Times New Roman" w:cs="Times New Roman"/>
        </w:rPr>
        <w:t xml:space="preserve"> 202</w:t>
      </w:r>
      <w:r>
        <w:rPr>
          <w:rFonts w:ascii="Times New Roman" w:hAnsi="Times New Roman" w:cs="Times New Roman" w:hint="eastAsia"/>
        </w:rPr>
        <w:t>6</w:t>
      </w:r>
      <w:r w:rsidRPr="006B5CE9">
        <w:rPr>
          <w:rFonts w:ascii="Times New Roman" w:hAnsi="Times New Roman" w:cs="Times New Roman"/>
        </w:rPr>
        <w:t>.</w:t>
      </w:r>
    </w:p>
    <w:p w14:paraId="374D8421" w14:textId="77777777" w:rsidR="00A40270" w:rsidRPr="006B5CE9" w:rsidRDefault="00A40270" w:rsidP="00A40270">
      <w:pPr>
        <w:ind w:firstLineChars="200" w:firstLine="420"/>
        <w:rPr>
          <w:rFonts w:ascii="Times New Roman" w:hAnsi="Times New Roman" w:cs="Times New Roman"/>
        </w:rPr>
      </w:pPr>
      <w:r w:rsidRPr="006B5CE9">
        <w:rPr>
          <w:rFonts w:ascii="Times New Roman" w:hAnsi="Times New Roman" w:cs="Times New Roman"/>
        </w:rPr>
        <w:t>Purpose of search: to identify China-focused</w:t>
      </w:r>
      <w:r>
        <w:rPr>
          <w:rFonts w:ascii="Times New Roman" w:hAnsi="Times New Roman" w:cs="Times New Roman" w:hint="eastAsia"/>
        </w:rPr>
        <w:t xml:space="preserve"> </w:t>
      </w:r>
      <w:r w:rsidRPr="006B5CE9">
        <w:rPr>
          <w:rFonts w:ascii="Times New Roman" w:hAnsi="Times New Roman" w:cs="Times New Roman"/>
        </w:rPr>
        <w:t>studies on household/farmer livelihoods, climate change adaptation/resilience, and governance/collaborative response.</w:t>
      </w:r>
    </w:p>
    <w:p w14:paraId="0535E7E6" w14:textId="77777777" w:rsidR="00A40270" w:rsidRPr="00A40270" w:rsidRDefault="00A40270" w:rsidP="006B5CE9">
      <w:pPr>
        <w:rPr>
          <w:rFonts w:ascii="Times New Roman" w:hAnsi="Times New Roman" w:cs="Times New Roman"/>
          <w:b/>
          <w:bCs/>
        </w:rPr>
      </w:pPr>
    </w:p>
    <w:p w14:paraId="5FE270ED" w14:textId="45AE6A96" w:rsidR="006B5CE9" w:rsidRPr="006B5CE9" w:rsidRDefault="00A40270" w:rsidP="006B5CE9">
      <w:pPr>
        <w:rPr>
          <w:rFonts w:ascii="Times New Roman" w:hAnsi="Times New Roman" w:cs="Times New Roman"/>
          <w:b/>
          <w:bCs/>
        </w:rPr>
      </w:pPr>
      <w:r>
        <w:rPr>
          <w:rFonts w:ascii="Times New Roman" w:hAnsi="Times New Roman" w:cs="Times New Roman" w:hint="eastAsia"/>
          <w:b/>
          <w:bCs/>
        </w:rPr>
        <w:t>S2.1 Web of Science</w:t>
      </w:r>
    </w:p>
    <w:p w14:paraId="12A69BDD" w14:textId="77777777" w:rsidR="006B5CE9" w:rsidRPr="006B5CE9" w:rsidRDefault="006B5CE9" w:rsidP="006B5CE9">
      <w:pPr>
        <w:ind w:firstLineChars="200" w:firstLine="420"/>
        <w:rPr>
          <w:rFonts w:ascii="Times New Roman" w:hAnsi="Times New Roman" w:cs="Times New Roman"/>
        </w:rPr>
      </w:pPr>
      <w:r w:rsidRPr="006B5CE9">
        <w:rPr>
          <w:rFonts w:ascii="Times New Roman" w:hAnsi="Times New Roman" w:cs="Times New Roman"/>
        </w:rPr>
        <w:t xml:space="preserve">Illustrative </w:t>
      </w:r>
      <w:proofErr w:type="spellStart"/>
      <w:r w:rsidRPr="006B5CE9">
        <w:rPr>
          <w:rFonts w:ascii="Times New Roman" w:hAnsi="Times New Roman" w:cs="Times New Roman"/>
        </w:rPr>
        <w:t>WoS</w:t>
      </w:r>
      <w:proofErr w:type="spellEnd"/>
      <w:r w:rsidRPr="006B5CE9">
        <w:rPr>
          <w:rFonts w:ascii="Times New Roman" w:hAnsi="Times New Roman" w:cs="Times New Roman"/>
        </w:rPr>
        <w:t xml:space="preserve"> Topic search string used for seed identification:</w:t>
      </w:r>
    </w:p>
    <w:p w14:paraId="790DD9A9" w14:textId="7CEF462E" w:rsidR="006B5CE9" w:rsidRDefault="006B5CE9" w:rsidP="00A40270">
      <w:pPr>
        <w:ind w:firstLineChars="100" w:firstLine="210"/>
        <w:rPr>
          <w:rFonts w:ascii="Times New Roman" w:hAnsi="Times New Roman" w:cs="Times New Roman"/>
          <w:i/>
          <w:iCs/>
        </w:rPr>
      </w:pPr>
      <w:r w:rsidRPr="006B5CE9">
        <w:rPr>
          <w:rFonts w:ascii="Times New Roman" w:hAnsi="Times New Roman" w:cs="Times New Roman" w:hint="eastAsia"/>
          <w:i/>
          <w:iCs/>
        </w:rPr>
        <w:t>(</w:t>
      </w:r>
      <w:r w:rsidR="00A40270" w:rsidRPr="00A40270">
        <w:rPr>
          <w:rFonts w:ascii="Times New Roman" w:hAnsi="Times New Roman" w:cs="Times New Roman" w:hint="eastAsia"/>
          <w:i/>
          <w:iCs/>
        </w:rPr>
        <w:t xml:space="preserve">("climate change" OR "global warming" OR "climate risk*" OR "climate </w:t>
      </w:r>
      <w:proofErr w:type="spellStart"/>
      <w:r w:rsidR="00A40270" w:rsidRPr="00A40270">
        <w:rPr>
          <w:rFonts w:ascii="Times New Roman" w:hAnsi="Times New Roman" w:cs="Times New Roman" w:hint="eastAsia"/>
          <w:i/>
          <w:iCs/>
        </w:rPr>
        <w:t>variab</w:t>
      </w:r>
      <w:proofErr w:type="spellEnd"/>
      <w:r w:rsidR="00A40270" w:rsidRPr="00A40270">
        <w:rPr>
          <w:rFonts w:ascii="Times New Roman" w:hAnsi="Times New Roman" w:cs="Times New Roman" w:hint="eastAsia"/>
          <w:i/>
          <w:iCs/>
        </w:rPr>
        <w:t xml:space="preserve">*" OR "climatic change")AND(adapt* OR resilience OR "adaptive capacity" OR "climate adaptation" OR "risk response")AND(governance OR "climate governance" OR "risk governance" OR institution* OR policy OR government* OR community OR </w:t>
      </w:r>
      <w:proofErr w:type="spellStart"/>
      <w:r w:rsidR="00A40270" w:rsidRPr="00A40270">
        <w:rPr>
          <w:rFonts w:ascii="Times New Roman" w:hAnsi="Times New Roman" w:cs="Times New Roman" w:hint="eastAsia"/>
          <w:i/>
          <w:iCs/>
        </w:rPr>
        <w:t>collaborat</w:t>
      </w:r>
      <w:proofErr w:type="spellEnd"/>
      <w:r w:rsidR="00A40270" w:rsidRPr="00A40270">
        <w:rPr>
          <w:rFonts w:ascii="Times New Roman" w:hAnsi="Times New Roman" w:cs="Times New Roman" w:hint="eastAsia"/>
          <w:i/>
          <w:iCs/>
        </w:rPr>
        <w:t xml:space="preserve">* OR </w:t>
      </w:r>
      <w:proofErr w:type="spellStart"/>
      <w:r w:rsidR="00A40270" w:rsidRPr="00A40270">
        <w:rPr>
          <w:rFonts w:ascii="Times New Roman" w:hAnsi="Times New Roman" w:cs="Times New Roman" w:hint="eastAsia"/>
          <w:i/>
          <w:iCs/>
        </w:rPr>
        <w:t>cooperat</w:t>
      </w:r>
      <w:proofErr w:type="spellEnd"/>
      <w:r w:rsidR="00A40270" w:rsidRPr="00A40270">
        <w:rPr>
          <w:rFonts w:ascii="Times New Roman" w:hAnsi="Times New Roman" w:cs="Times New Roman" w:hint="eastAsia"/>
          <w:i/>
          <w:iCs/>
        </w:rPr>
        <w:t xml:space="preserve">* OR "collaborative governance" OR participatory OR "collective action" OR </w:t>
      </w:r>
      <w:proofErr w:type="spellStart"/>
      <w:r w:rsidR="00A40270" w:rsidRPr="00A40270">
        <w:rPr>
          <w:rFonts w:ascii="Times New Roman" w:hAnsi="Times New Roman" w:cs="Times New Roman" w:hint="eastAsia"/>
          <w:i/>
          <w:iCs/>
        </w:rPr>
        <w:t>coproduc</w:t>
      </w:r>
      <w:proofErr w:type="spellEnd"/>
      <w:r w:rsidR="00A40270" w:rsidRPr="00A40270">
        <w:rPr>
          <w:rFonts w:ascii="Times New Roman" w:hAnsi="Times New Roman" w:cs="Times New Roman" w:hint="eastAsia"/>
          <w:i/>
          <w:iCs/>
        </w:rPr>
        <w:t xml:space="preserve">* OR "co-production" OR polycentric OR multilevel OR "multi-level" OR "cross-scale" OR "network governance")AND(household* OR farmer* OR "farm household*" OR rural OR smallholder*)AND(livelihood* OR </w:t>
      </w:r>
      <w:proofErr w:type="spellStart"/>
      <w:r w:rsidR="00A40270" w:rsidRPr="00A40270">
        <w:rPr>
          <w:rFonts w:ascii="Times New Roman" w:hAnsi="Times New Roman" w:cs="Times New Roman" w:hint="eastAsia"/>
          <w:i/>
          <w:iCs/>
        </w:rPr>
        <w:t>resilien</w:t>
      </w:r>
      <w:proofErr w:type="spellEnd"/>
      <w:r w:rsidR="00A40270" w:rsidRPr="00A40270">
        <w:rPr>
          <w:rFonts w:ascii="Times New Roman" w:hAnsi="Times New Roman" w:cs="Times New Roman" w:hint="eastAsia"/>
          <w:i/>
          <w:iCs/>
        </w:rPr>
        <w:t>*)AND(China OR Chinese)</w:t>
      </w:r>
      <w:r w:rsidRPr="006B5CE9">
        <w:rPr>
          <w:rFonts w:ascii="Times New Roman" w:hAnsi="Times New Roman" w:cs="Times New Roman" w:hint="eastAsia"/>
          <w:i/>
          <w:iCs/>
        </w:rPr>
        <w:t>)</w:t>
      </w:r>
    </w:p>
    <w:p w14:paraId="1425B602" w14:textId="1CC14CCD" w:rsidR="00A40270" w:rsidRPr="006B5CE9" w:rsidRDefault="00A40270" w:rsidP="00A40270">
      <w:pPr>
        <w:rPr>
          <w:rFonts w:ascii="Times New Roman" w:hAnsi="Times New Roman" w:cs="Times New Roman"/>
          <w:b/>
          <w:bCs/>
        </w:rPr>
      </w:pPr>
      <w:r>
        <w:rPr>
          <w:rFonts w:ascii="Times New Roman" w:hAnsi="Times New Roman" w:cs="Times New Roman" w:hint="eastAsia"/>
          <w:b/>
          <w:bCs/>
        </w:rPr>
        <w:t>S2.2 Scopus</w:t>
      </w:r>
    </w:p>
    <w:p w14:paraId="18A73599" w14:textId="6449DC38" w:rsidR="00A40270" w:rsidRDefault="00A40270" w:rsidP="00A40270">
      <w:pPr>
        <w:ind w:firstLineChars="100" w:firstLine="210"/>
        <w:rPr>
          <w:rFonts w:ascii="Times New Roman" w:hAnsi="Times New Roman" w:cs="Times New Roman"/>
          <w:i/>
          <w:iCs/>
        </w:rPr>
      </w:pPr>
      <w:r w:rsidRPr="006B5CE9">
        <w:rPr>
          <w:rFonts w:ascii="Times New Roman" w:hAnsi="Times New Roman" w:cs="Times New Roman" w:hint="eastAsia"/>
          <w:i/>
          <w:iCs/>
        </w:rPr>
        <w:t>(</w:t>
      </w:r>
      <w:r w:rsidRPr="00A40270">
        <w:rPr>
          <w:rFonts w:ascii="Times New Roman" w:hAnsi="Times New Roman" w:cs="Times New Roman" w:hint="eastAsia"/>
          <w:i/>
          <w:iCs/>
        </w:rPr>
        <w:t xml:space="preserve">TITLE-ABS-KEY(("climate change" OR "global warming" OR "climate risk*" OR "climate </w:t>
      </w:r>
      <w:proofErr w:type="spellStart"/>
      <w:r w:rsidRPr="00A40270">
        <w:rPr>
          <w:rFonts w:ascii="Times New Roman" w:hAnsi="Times New Roman" w:cs="Times New Roman" w:hint="eastAsia"/>
          <w:i/>
          <w:iCs/>
        </w:rPr>
        <w:t>variab</w:t>
      </w:r>
      <w:proofErr w:type="spellEnd"/>
      <w:r w:rsidRPr="00A40270">
        <w:rPr>
          <w:rFonts w:ascii="Times New Roman" w:hAnsi="Times New Roman" w:cs="Times New Roman" w:hint="eastAsia"/>
          <w:i/>
          <w:iCs/>
        </w:rPr>
        <w:t xml:space="preserve">*" OR "climatic change")AND(adapt* OR resilience OR "adaptive capacity" OR "climate adaptation" OR "risk response")AND (governance OR "climate governance" OR "risk governance" OR institution* OR policy OR government* OR community OR </w:t>
      </w:r>
      <w:proofErr w:type="spellStart"/>
      <w:r w:rsidRPr="00A40270">
        <w:rPr>
          <w:rFonts w:ascii="Times New Roman" w:hAnsi="Times New Roman" w:cs="Times New Roman" w:hint="eastAsia"/>
          <w:i/>
          <w:iCs/>
        </w:rPr>
        <w:t>collaborat</w:t>
      </w:r>
      <w:proofErr w:type="spellEnd"/>
      <w:r w:rsidRPr="00A40270">
        <w:rPr>
          <w:rFonts w:ascii="Times New Roman" w:hAnsi="Times New Roman" w:cs="Times New Roman" w:hint="eastAsia"/>
          <w:i/>
          <w:iCs/>
        </w:rPr>
        <w:t xml:space="preserve">* OR </w:t>
      </w:r>
      <w:proofErr w:type="spellStart"/>
      <w:r w:rsidRPr="00A40270">
        <w:rPr>
          <w:rFonts w:ascii="Times New Roman" w:hAnsi="Times New Roman" w:cs="Times New Roman" w:hint="eastAsia"/>
          <w:i/>
          <w:iCs/>
        </w:rPr>
        <w:t>cooperat</w:t>
      </w:r>
      <w:proofErr w:type="spellEnd"/>
      <w:r w:rsidRPr="00A40270">
        <w:rPr>
          <w:rFonts w:ascii="Times New Roman" w:hAnsi="Times New Roman" w:cs="Times New Roman" w:hint="eastAsia"/>
          <w:i/>
          <w:iCs/>
        </w:rPr>
        <w:t xml:space="preserve">* OR "collaborative governance" OR participatory OR "collective action" OR </w:t>
      </w:r>
      <w:proofErr w:type="spellStart"/>
      <w:r w:rsidRPr="00A40270">
        <w:rPr>
          <w:rFonts w:ascii="Times New Roman" w:hAnsi="Times New Roman" w:cs="Times New Roman" w:hint="eastAsia"/>
          <w:i/>
          <w:iCs/>
        </w:rPr>
        <w:t>coproduc</w:t>
      </w:r>
      <w:proofErr w:type="spellEnd"/>
      <w:r w:rsidRPr="00A40270">
        <w:rPr>
          <w:rFonts w:ascii="Times New Roman" w:hAnsi="Times New Roman" w:cs="Times New Roman" w:hint="eastAsia"/>
          <w:i/>
          <w:iCs/>
        </w:rPr>
        <w:t xml:space="preserve">* OR "co-production" OR polycentric OR multilevel OR "multi-level" OR "cross-scale" OR "network governance")AND(household* OR farmer* OR "farm household*" OR rural OR smallholder*) AND(livelihood* OR </w:t>
      </w:r>
      <w:proofErr w:type="spellStart"/>
      <w:r w:rsidRPr="00A40270">
        <w:rPr>
          <w:rFonts w:ascii="Times New Roman" w:hAnsi="Times New Roman" w:cs="Times New Roman" w:hint="eastAsia"/>
          <w:i/>
          <w:iCs/>
        </w:rPr>
        <w:t>resilien</w:t>
      </w:r>
      <w:proofErr w:type="spellEnd"/>
      <w:r w:rsidRPr="00A40270">
        <w:rPr>
          <w:rFonts w:ascii="Times New Roman" w:hAnsi="Times New Roman" w:cs="Times New Roman" w:hint="eastAsia"/>
          <w:i/>
          <w:iCs/>
        </w:rPr>
        <w:t>*)AND(China OR Chinese))AND PUBYEAR &gt; 1999</w:t>
      </w:r>
      <w:r>
        <w:rPr>
          <w:rFonts w:ascii="Times New Roman" w:hAnsi="Times New Roman" w:cs="Times New Roman" w:hint="eastAsia"/>
          <w:i/>
          <w:iCs/>
        </w:rPr>
        <w:t xml:space="preserve"> </w:t>
      </w:r>
      <w:r w:rsidRPr="00A40270">
        <w:rPr>
          <w:rFonts w:ascii="Times New Roman" w:hAnsi="Times New Roman" w:cs="Times New Roman" w:hint="eastAsia"/>
          <w:i/>
          <w:iCs/>
        </w:rPr>
        <w:t>AND PUBYEAR &lt; 2027</w:t>
      </w:r>
      <w:r>
        <w:rPr>
          <w:rFonts w:ascii="Times New Roman" w:hAnsi="Times New Roman" w:cs="Times New Roman" w:hint="eastAsia"/>
          <w:i/>
          <w:iCs/>
        </w:rPr>
        <w:t xml:space="preserve"> </w:t>
      </w:r>
      <w:r w:rsidRPr="00A40270">
        <w:rPr>
          <w:rFonts w:ascii="Times New Roman" w:hAnsi="Times New Roman" w:cs="Times New Roman" w:hint="eastAsia"/>
          <w:i/>
          <w:iCs/>
        </w:rPr>
        <w:t>AND LANGUAGE(</w:t>
      </w:r>
      <w:proofErr w:type="spellStart"/>
      <w:r w:rsidRPr="00A40270">
        <w:rPr>
          <w:rFonts w:ascii="Times New Roman" w:hAnsi="Times New Roman" w:cs="Times New Roman" w:hint="eastAsia"/>
          <w:i/>
          <w:iCs/>
        </w:rPr>
        <w:t>english</w:t>
      </w:r>
      <w:proofErr w:type="spellEnd"/>
      <w:r w:rsidRPr="00A40270">
        <w:rPr>
          <w:rFonts w:ascii="Times New Roman" w:hAnsi="Times New Roman" w:cs="Times New Roman" w:hint="eastAsia"/>
          <w:i/>
          <w:iCs/>
        </w:rPr>
        <w:t>)</w:t>
      </w:r>
      <w:r>
        <w:rPr>
          <w:rFonts w:ascii="Times New Roman" w:hAnsi="Times New Roman" w:cs="Times New Roman" w:hint="eastAsia"/>
          <w:i/>
          <w:iCs/>
        </w:rPr>
        <w:t xml:space="preserve"> </w:t>
      </w:r>
      <w:r w:rsidRPr="00A40270">
        <w:rPr>
          <w:rFonts w:ascii="Times New Roman" w:hAnsi="Times New Roman" w:cs="Times New Roman" w:hint="eastAsia"/>
          <w:i/>
          <w:iCs/>
        </w:rPr>
        <w:t>AND DOCTYPE(</w:t>
      </w:r>
      <w:proofErr w:type="spellStart"/>
      <w:r w:rsidRPr="00A40270">
        <w:rPr>
          <w:rFonts w:ascii="Times New Roman" w:hAnsi="Times New Roman" w:cs="Times New Roman" w:hint="eastAsia"/>
          <w:i/>
          <w:iCs/>
        </w:rPr>
        <w:t>ar</w:t>
      </w:r>
      <w:proofErr w:type="spellEnd"/>
      <w:r w:rsidRPr="00A40270">
        <w:rPr>
          <w:rFonts w:ascii="Times New Roman" w:hAnsi="Times New Roman" w:cs="Times New Roman" w:hint="eastAsia"/>
          <w:i/>
          <w:iCs/>
        </w:rPr>
        <w:t>)</w:t>
      </w:r>
      <w:r w:rsidRPr="006B5CE9">
        <w:rPr>
          <w:rFonts w:ascii="Times New Roman" w:hAnsi="Times New Roman" w:cs="Times New Roman" w:hint="eastAsia"/>
          <w:i/>
          <w:iCs/>
        </w:rPr>
        <w:t>)</w:t>
      </w:r>
    </w:p>
    <w:p w14:paraId="72B98C23" w14:textId="77777777" w:rsidR="006B5CE9" w:rsidRPr="006B5CE9" w:rsidRDefault="006B5CE9" w:rsidP="00A40270">
      <w:pPr>
        <w:rPr>
          <w:rFonts w:ascii="Times New Roman" w:hAnsi="Times New Roman" w:cs="Times New Roman"/>
          <w:i/>
          <w:iCs/>
        </w:rPr>
      </w:pPr>
    </w:p>
    <w:p w14:paraId="0B5D35F5" w14:textId="77777777" w:rsidR="006B5CE9" w:rsidRPr="006B5CE9" w:rsidRDefault="006B5CE9" w:rsidP="006B5CE9">
      <w:pPr>
        <w:rPr>
          <w:rFonts w:ascii="Times New Roman" w:hAnsi="Times New Roman" w:cs="Times New Roman"/>
          <w:b/>
          <w:bCs/>
        </w:rPr>
      </w:pPr>
      <w:r w:rsidRPr="006B5CE9">
        <w:rPr>
          <w:rFonts w:ascii="Times New Roman" w:hAnsi="Times New Roman" w:cs="Times New Roman"/>
          <w:b/>
          <w:bCs/>
          <w:sz w:val="24"/>
          <w:szCs w:val="28"/>
        </w:rPr>
        <w:t>S3. Eligibility and exclusion criteria (seed screening and citation tracing)</w:t>
      </w:r>
    </w:p>
    <w:p w14:paraId="35145604" w14:textId="7166FAA4" w:rsidR="006B5CE9" w:rsidRDefault="00242F79" w:rsidP="00242F79">
      <w:pPr>
        <w:ind w:firstLineChars="200" w:firstLine="420"/>
        <w:rPr>
          <w:rFonts w:ascii="Times New Roman" w:hAnsi="Times New Roman" w:cs="Times New Roman"/>
        </w:rPr>
      </w:pPr>
      <w:r w:rsidRPr="00242F79">
        <w:rPr>
          <w:rFonts w:ascii="Times New Roman" w:hAnsi="Times New Roman" w:cs="Times New Roman" w:hint="eastAsia"/>
        </w:rPr>
        <w:t>The review prioritized empirical studies that directly informed the synthesis of household livelihood resilience under climate change and the roles of government, community, institutions, policy support, collective action, or government-community-household interactions in China. Citation-traced records were screened using the same relevance logic.</w:t>
      </w:r>
    </w:p>
    <w:p w14:paraId="49621F59" w14:textId="26C855D0" w:rsidR="0097156C" w:rsidRPr="0097156C" w:rsidRDefault="0097156C" w:rsidP="0097156C">
      <w:pPr>
        <w:jc w:val="center"/>
        <w:rPr>
          <w:rFonts w:ascii="Times New Roman" w:hAnsi="Times New Roman" w:cs="Times New Roman"/>
          <w:b/>
          <w:bCs/>
        </w:rPr>
      </w:pPr>
      <w:r>
        <w:rPr>
          <w:rFonts w:ascii="Times New Roman" w:eastAsia="Times New Roman" w:hAnsi="Times New Roman" w:cs="Times New Roman"/>
          <w:b/>
          <w:bCs/>
          <w:sz w:val="20"/>
        </w:rPr>
        <w:t>Table S1. Eligibility and exclusion criteria for database screening and citation tracing</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08"/>
      </w:tblGrid>
      <w:tr w:rsidR="00242F79" w14:paraId="543E539E" w14:textId="77777777" w:rsidTr="0097156C">
        <w:trPr>
          <w:tblHeader/>
          <w:jc w:val="center"/>
        </w:trPr>
        <w:tc>
          <w:tcPr>
            <w:tcW w:w="4188" w:type="dxa"/>
            <w:tcBorders>
              <w:top w:val="single" w:sz="12" w:space="0" w:color="auto"/>
              <w:bottom w:val="single" w:sz="4" w:space="0" w:color="auto"/>
            </w:tcBorders>
            <w:shd w:val="clear" w:color="auto" w:fill="auto"/>
            <w:vAlign w:val="center"/>
          </w:tcPr>
          <w:p w14:paraId="0E1DCABC" w14:textId="77777777" w:rsidR="00242F79" w:rsidRDefault="00242F79" w:rsidP="0058417F">
            <w:pPr>
              <w:rPr>
                <w:rFonts w:hint="eastAsia"/>
              </w:rPr>
            </w:pPr>
            <w:r>
              <w:rPr>
                <w:rFonts w:ascii="Times New Roman" w:eastAsia="Times New Roman" w:hAnsi="Times New Roman"/>
                <w:b/>
                <w:sz w:val="20"/>
              </w:rPr>
              <w:t>Inclusion criteria</w:t>
            </w:r>
          </w:p>
        </w:tc>
        <w:tc>
          <w:tcPr>
            <w:tcW w:w="4108" w:type="dxa"/>
            <w:tcBorders>
              <w:top w:val="single" w:sz="12" w:space="0" w:color="auto"/>
              <w:bottom w:val="single" w:sz="4" w:space="0" w:color="auto"/>
            </w:tcBorders>
            <w:shd w:val="clear" w:color="auto" w:fill="auto"/>
            <w:vAlign w:val="center"/>
          </w:tcPr>
          <w:p w14:paraId="27F745D2" w14:textId="77777777" w:rsidR="00242F79" w:rsidRDefault="00242F79" w:rsidP="0058417F">
            <w:pPr>
              <w:rPr>
                <w:rFonts w:hint="eastAsia"/>
              </w:rPr>
            </w:pPr>
            <w:r>
              <w:rPr>
                <w:rFonts w:ascii="Times New Roman" w:eastAsia="Times New Roman" w:hAnsi="Times New Roman"/>
                <w:b/>
                <w:sz w:val="20"/>
              </w:rPr>
              <w:t>Exclusion criteria</w:t>
            </w:r>
          </w:p>
        </w:tc>
      </w:tr>
      <w:tr w:rsidR="00242F79" w14:paraId="4E55196C" w14:textId="77777777" w:rsidTr="0097156C">
        <w:trPr>
          <w:jc w:val="center"/>
        </w:trPr>
        <w:tc>
          <w:tcPr>
            <w:tcW w:w="4188" w:type="dxa"/>
            <w:tcBorders>
              <w:top w:val="single" w:sz="4" w:space="0" w:color="auto"/>
            </w:tcBorders>
            <w:shd w:val="clear" w:color="auto" w:fill="auto"/>
          </w:tcPr>
          <w:p w14:paraId="761AB56D" w14:textId="77777777" w:rsidR="00242F79" w:rsidRPr="00242F79" w:rsidRDefault="00242F79" w:rsidP="00242F79">
            <w:pPr>
              <w:adjustRightInd w:val="0"/>
              <w:snapToGrid w:val="0"/>
              <w:rPr>
                <w:rFonts w:hint="eastAsia"/>
                <w:sz w:val="16"/>
                <w:szCs w:val="20"/>
              </w:rPr>
            </w:pPr>
            <w:r w:rsidRPr="00242F79">
              <w:rPr>
                <w:rFonts w:ascii="Times New Roman" w:eastAsia="Times New Roman" w:hAnsi="Times New Roman"/>
                <w:sz w:val="16"/>
                <w:szCs w:val="20"/>
              </w:rPr>
              <w:t>China-focused empirical studies, including household/farmer surveys, interviews, case-based empirical analysis, panel data, regression-based evidence, or mixed empirical designs.</w:t>
            </w:r>
          </w:p>
        </w:tc>
        <w:tc>
          <w:tcPr>
            <w:tcW w:w="4108" w:type="dxa"/>
            <w:tcBorders>
              <w:top w:val="single" w:sz="4" w:space="0" w:color="auto"/>
            </w:tcBorders>
            <w:shd w:val="clear" w:color="auto" w:fill="auto"/>
          </w:tcPr>
          <w:p w14:paraId="79AF1F6A" w14:textId="77777777" w:rsidR="00242F79" w:rsidRPr="00242F79" w:rsidRDefault="00242F79" w:rsidP="00242F79">
            <w:pPr>
              <w:adjustRightInd w:val="0"/>
              <w:snapToGrid w:val="0"/>
              <w:rPr>
                <w:rFonts w:hint="eastAsia"/>
                <w:sz w:val="16"/>
                <w:szCs w:val="20"/>
              </w:rPr>
            </w:pPr>
            <w:r w:rsidRPr="00242F79">
              <w:rPr>
                <w:rFonts w:ascii="Times New Roman" w:eastAsia="Times New Roman" w:hAnsi="Times New Roman"/>
                <w:sz w:val="16"/>
                <w:szCs w:val="20"/>
              </w:rPr>
              <w:t>Studies without a clear China empirical context.</w:t>
            </w:r>
          </w:p>
        </w:tc>
      </w:tr>
      <w:tr w:rsidR="00242F79" w14:paraId="51B230CB" w14:textId="77777777" w:rsidTr="0097156C">
        <w:trPr>
          <w:jc w:val="center"/>
        </w:trPr>
        <w:tc>
          <w:tcPr>
            <w:tcW w:w="4188" w:type="dxa"/>
            <w:shd w:val="clear" w:color="auto" w:fill="auto"/>
          </w:tcPr>
          <w:p w14:paraId="31BD1E13" w14:textId="77777777" w:rsidR="00242F79" w:rsidRPr="00242F79" w:rsidRDefault="00242F79" w:rsidP="00242F79">
            <w:pPr>
              <w:adjustRightInd w:val="0"/>
              <w:snapToGrid w:val="0"/>
              <w:rPr>
                <w:rFonts w:hint="eastAsia"/>
                <w:sz w:val="16"/>
                <w:szCs w:val="20"/>
              </w:rPr>
            </w:pPr>
            <w:r w:rsidRPr="00242F79">
              <w:rPr>
                <w:rFonts w:ascii="Times New Roman" w:eastAsia="Times New Roman" w:hAnsi="Times New Roman"/>
                <w:sz w:val="16"/>
                <w:szCs w:val="20"/>
              </w:rPr>
              <w:t>Studies related to climate change adaptation, climate risk response, vulnerability, adaptive capacity, or livelihood resilience.</w:t>
            </w:r>
          </w:p>
        </w:tc>
        <w:tc>
          <w:tcPr>
            <w:tcW w:w="4108" w:type="dxa"/>
            <w:shd w:val="clear" w:color="auto" w:fill="auto"/>
          </w:tcPr>
          <w:p w14:paraId="3F379093" w14:textId="77777777" w:rsidR="00242F79" w:rsidRPr="00242F79" w:rsidRDefault="00242F79" w:rsidP="00242F79">
            <w:pPr>
              <w:adjustRightInd w:val="0"/>
              <w:snapToGrid w:val="0"/>
              <w:rPr>
                <w:rFonts w:hint="eastAsia"/>
                <w:sz w:val="16"/>
                <w:szCs w:val="20"/>
              </w:rPr>
            </w:pPr>
            <w:r w:rsidRPr="00242F79">
              <w:rPr>
                <w:rFonts w:ascii="Times New Roman" w:eastAsia="Times New Roman" w:hAnsi="Times New Roman"/>
                <w:sz w:val="16"/>
                <w:szCs w:val="20"/>
              </w:rPr>
              <w:t>Studies not clearly related to climate adaptation, climate risk, vulnerability, adaptive capacity, or resilience.</w:t>
            </w:r>
          </w:p>
        </w:tc>
      </w:tr>
      <w:tr w:rsidR="00242F79" w14:paraId="0F70C099" w14:textId="77777777" w:rsidTr="0097156C">
        <w:trPr>
          <w:jc w:val="center"/>
        </w:trPr>
        <w:tc>
          <w:tcPr>
            <w:tcW w:w="4188" w:type="dxa"/>
            <w:shd w:val="clear" w:color="auto" w:fill="auto"/>
          </w:tcPr>
          <w:p w14:paraId="3C06A9F9" w14:textId="77777777" w:rsidR="00242F79" w:rsidRPr="00242F79" w:rsidRDefault="00242F79" w:rsidP="00242F79">
            <w:pPr>
              <w:adjustRightInd w:val="0"/>
              <w:snapToGrid w:val="0"/>
              <w:rPr>
                <w:rFonts w:hint="eastAsia"/>
                <w:sz w:val="16"/>
                <w:szCs w:val="20"/>
              </w:rPr>
            </w:pPr>
            <w:r w:rsidRPr="00242F79">
              <w:rPr>
                <w:rFonts w:ascii="Times New Roman" w:eastAsia="Times New Roman" w:hAnsi="Times New Roman"/>
                <w:sz w:val="16"/>
                <w:szCs w:val="20"/>
              </w:rPr>
              <w:t>Studies directly relevant to household, farmer, rural, or smallholder livelihoods.</w:t>
            </w:r>
          </w:p>
        </w:tc>
        <w:tc>
          <w:tcPr>
            <w:tcW w:w="4108" w:type="dxa"/>
            <w:shd w:val="clear" w:color="auto" w:fill="auto"/>
          </w:tcPr>
          <w:p w14:paraId="66B38135" w14:textId="77777777" w:rsidR="00242F79" w:rsidRPr="00242F79" w:rsidRDefault="00242F79" w:rsidP="00242F79">
            <w:pPr>
              <w:adjustRightInd w:val="0"/>
              <w:snapToGrid w:val="0"/>
              <w:rPr>
                <w:rFonts w:hint="eastAsia"/>
                <w:sz w:val="16"/>
                <w:szCs w:val="20"/>
              </w:rPr>
            </w:pPr>
            <w:r w:rsidRPr="00242F79">
              <w:rPr>
                <w:rFonts w:ascii="Times New Roman" w:eastAsia="Times New Roman" w:hAnsi="Times New Roman"/>
                <w:sz w:val="16"/>
                <w:szCs w:val="20"/>
              </w:rPr>
              <w:t>Studies not directly related to household, farmer, rural, or smallholder livelihoods.</w:t>
            </w:r>
          </w:p>
        </w:tc>
      </w:tr>
      <w:tr w:rsidR="00242F79" w14:paraId="08F5B661" w14:textId="77777777" w:rsidTr="0097156C">
        <w:trPr>
          <w:jc w:val="center"/>
        </w:trPr>
        <w:tc>
          <w:tcPr>
            <w:tcW w:w="4188" w:type="dxa"/>
            <w:shd w:val="clear" w:color="auto" w:fill="auto"/>
          </w:tcPr>
          <w:p w14:paraId="73996819" w14:textId="77777777" w:rsidR="00242F79" w:rsidRPr="00242F79" w:rsidRDefault="00242F79" w:rsidP="00242F79">
            <w:pPr>
              <w:adjustRightInd w:val="0"/>
              <w:snapToGrid w:val="0"/>
              <w:rPr>
                <w:rFonts w:hint="eastAsia"/>
                <w:sz w:val="16"/>
                <w:szCs w:val="20"/>
              </w:rPr>
            </w:pPr>
            <w:r w:rsidRPr="00242F79">
              <w:rPr>
                <w:rFonts w:ascii="Times New Roman" w:eastAsia="Times New Roman" w:hAnsi="Times New Roman"/>
                <w:sz w:val="16"/>
                <w:szCs w:val="20"/>
              </w:rPr>
              <w:t>Studies with substantive relevance to governance, institutions, policy support, community coordination, collective action, public intervention, or G-C-H interactions.</w:t>
            </w:r>
          </w:p>
        </w:tc>
        <w:tc>
          <w:tcPr>
            <w:tcW w:w="4108" w:type="dxa"/>
            <w:shd w:val="clear" w:color="auto" w:fill="auto"/>
          </w:tcPr>
          <w:p w14:paraId="5F3B81F6" w14:textId="77777777" w:rsidR="00242F79" w:rsidRPr="00242F79" w:rsidRDefault="00242F79" w:rsidP="00242F79">
            <w:pPr>
              <w:adjustRightInd w:val="0"/>
              <w:snapToGrid w:val="0"/>
              <w:rPr>
                <w:rFonts w:hint="eastAsia"/>
                <w:sz w:val="16"/>
                <w:szCs w:val="20"/>
              </w:rPr>
            </w:pPr>
            <w:r w:rsidRPr="00242F79">
              <w:rPr>
                <w:rFonts w:ascii="Times New Roman" w:eastAsia="Times New Roman" w:hAnsi="Times New Roman"/>
                <w:sz w:val="16"/>
                <w:szCs w:val="20"/>
              </w:rPr>
              <w:t>Purely conceptual or commentary pieces without empirical evidence relevant to the synthesis.</w:t>
            </w:r>
          </w:p>
        </w:tc>
      </w:tr>
      <w:tr w:rsidR="00242F79" w14:paraId="62606518" w14:textId="77777777" w:rsidTr="0097156C">
        <w:trPr>
          <w:jc w:val="center"/>
        </w:trPr>
        <w:tc>
          <w:tcPr>
            <w:tcW w:w="4188" w:type="dxa"/>
            <w:tcBorders>
              <w:bottom w:val="single" w:sz="12" w:space="0" w:color="auto"/>
            </w:tcBorders>
            <w:shd w:val="clear" w:color="auto" w:fill="auto"/>
          </w:tcPr>
          <w:p w14:paraId="55624BF4" w14:textId="77777777" w:rsidR="00242F79" w:rsidRPr="00242F79" w:rsidRDefault="00242F79" w:rsidP="00242F79">
            <w:pPr>
              <w:adjustRightInd w:val="0"/>
              <w:snapToGrid w:val="0"/>
              <w:rPr>
                <w:rFonts w:hint="eastAsia"/>
                <w:sz w:val="16"/>
                <w:szCs w:val="20"/>
              </w:rPr>
            </w:pPr>
            <w:r w:rsidRPr="00242F79">
              <w:rPr>
                <w:rFonts w:ascii="Times New Roman" w:eastAsia="Times New Roman" w:hAnsi="Times New Roman"/>
                <w:sz w:val="16"/>
                <w:szCs w:val="20"/>
              </w:rPr>
              <w:t>English-language peer-reviewed journal articles within the defined time window.</w:t>
            </w:r>
          </w:p>
        </w:tc>
        <w:tc>
          <w:tcPr>
            <w:tcW w:w="4108" w:type="dxa"/>
            <w:tcBorders>
              <w:bottom w:val="single" w:sz="12" w:space="0" w:color="auto"/>
            </w:tcBorders>
            <w:shd w:val="clear" w:color="auto" w:fill="auto"/>
          </w:tcPr>
          <w:p w14:paraId="3708A9A1" w14:textId="77777777" w:rsidR="00242F79" w:rsidRPr="00242F79" w:rsidRDefault="00242F79" w:rsidP="00242F79">
            <w:pPr>
              <w:adjustRightInd w:val="0"/>
              <w:snapToGrid w:val="0"/>
              <w:rPr>
                <w:rFonts w:hint="eastAsia"/>
                <w:sz w:val="16"/>
                <w:szCs w:val="20"/>
              </w:rPr>
            </w:pPr>
            <w:r w:rsidRPr="00242F79">
              <w:rPr>
                <w:rFonts w:ascii="Times New Roman" w:eastAsia="Times New Roman" w:hAnsi="Times New Roman"/>
                <w:sz w:val="16"/>
                <w:szCs w:val="20"/>
              </w:rPr>
              <w:t>Records outside the targeted publication type, language scope, or time window.</w:t>
            </w:r>
          </w:p>
        </w:tc>
      </w:tr>
    </w:tbl>
    <w:p w14:paraId="51B077E2" w14:textId="77777777" w:rsidR="005B512A" w:rsidRDefault="005B512A" w:rsidP="006B5CE9">
      <w:pPr>
        <w:rPr>
          <w:rFonts w:ascii="Times New Roman" w:hAnsi="Times New Roman" w:cs="Times New Roman"/>
          <w:b/>
          <w:bCs/>
          <w:sz w:val="24"/>
          <w:szCs w:val="28"/>
        </w:rPr>
      </w:pPr>
    </w:p>
    <w:p w14:paraId="3ECB485E" w14:textId="323C630B" w:rsidR="006B5CE9" w:rsidRPr="006B5CE9" w:rsidRDefault="006B5CE9" w:rsidP="006B5CE9">
      <w:pPr>
        <w:rPr>
          <w:rFonts w:ascii="Times New Roman" w:hAnsi="Times New Roman" w:cs="Times New Roman"/>
          <w:b/>
          <w:bCs/>
          <w:sz w:val="24"/>
          <w:szCs w:val="28"/>
        </w:rPr>
      </w:pPr>
      <w:r w:rsidRPr="006B5CE9">
        <w:rPr>
          <w:rFonts w:ascii="Times New Roman" w:hAnsi="Times New Roman" w:cs="Times New Roman"/>
          <w:b/>
          <w:bCs/>
          <w:sz w:val="24"/>
          <w:szCs w:val="28"/>
        </w:rPr>
        <w:t xml:space="preserve">S4. </w:t>
      </w:r>
      <w:r w:rsidR="005B512A" w:rsidRPr="005B512A">
        <w:rPr>
          <w:rFonts w:ascii="Times New Roman" w:hAnsi="Times New Roman" w:cs="Times New Roman" w:hint="eastAsia"/>
          <w:b/>
          <w:bCs/>
          <w:sz w:val="24"/>
          <w:szCs w:val="28"/>
        </w:rPr>
        <w:t>Coding and framework synthesis</w:t>
      </w:r>
    </w:p>
    <w:p w14:paraId="2832CB2A" w14:textId="4895EB24" w:rsidR="006B5CE9" w:rsidRDefault="005B512A" w:rsidP="005B512A">
      <w:pPr>
        <w:ind w:firstLineChars="200" w:firstLine="420"/>
        <w:rPr>
          <w:rFonts w:ascii="Times New Roman" w:hAnsi="Times New Roman" w:cs="Times New Roman"/>
        </w:rPr>
      </w:pPr>
      <w:r w:rsidRPr="005B512A">
        <w:rPr>
          <w:rFonts w:ascii="Times New Roman" w:hAnsi="Times New Roman" w:cs="Times New Roman" w:hint="eastAsia"/>
        </w:rPr>
        <w:t>After screening, the 8</w:t>
      </w:r>
      <w:r w:rsidR="003308FC">
        <w:rPr>
          <w:rFonts w:ascii="Times New Roman" w:hAnsi="Times New Roman" w:cs="Times New Roman" w:hint="eastAsia"/>
        </w:rPr>
        <w:t>0</w:t>
      </w:r>
      <w:r w:rsidRPr="005B512A">
        <w:rPr>
          <w:rFonts w:ascii="Times New Roman" w:hAnsi="Times New Roman" w:cs="Times New Roman" w:hint="eastAsia"/>
        </w:rPr>
        <w:t xml:space="preserve"> retained seed studies were coded. Initial coding focused on five elements: actors, forms of support or intervention, interactional processes, resilience-related outcomes, and reported constraints or negative effects. These descriptive codes were progressively grouped into higher-order themes that informed the analytical framework.</w:t>
      </w:r>
    </w:p>
    <w:p w14:paraId="5103D27E" w14:textId="6BB1AEE2" w:rsidR="00160AD7" w:rsidRPr="0097156C" w:rsidRDefault="0097156C" w:rsidP="0097156C">
      <w:pPr>
        <w:jc w:val="center"/>
        <w:rPr>
          <w:rFonts w:ascii="Times New Roman" w:hAnsi="Times New Roman" w:cs="Times New Roman"/>
          <w:b/>
          <w:bCs/>
        </w:rPr>
      </w:pPr>
      <w:r>
        <w:rPr>
          <w:rFonts w:ascii="Times New Roman" w:eastAsia="Times New Roman" w:hAnsi="Times New Roman" w:cs="Times New Roman"/>
          <w:b/>
          <w:bCs/>
          <w:sz w:val="20"/>
        </w:rPr>
        <w:t>Table S2. Initial coding elements and definitions</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5758"/>
      </w:tblGrid>
      <w:tr w:rsidR="005B512A" w14:paraId="7D357F37" w14:textId="77777777" w:rsidTr="0097156C">
        <w:trPr>
          <w:tblHeader/>
          <w:jc w:val="center"/>
        </w:trPr>
        <w:tc>
          <w:tcPr>
            <w:tcW w:w="2538" w:type="dxa"/>
            <w:tcBorders>
              <w:top w:val="single" w:sz="12" w:space="0" w:color="auto"/>
              <w:bottom w:val="single" w:sz="4" w:space="0" w:color="auto"/>
            </w:tcBorders>
            <w:shd w:val="clear" w:color="auto" w:fill="auto"/>
            <w:vAlign w:val="center"/>
          </w:tcPr>
          <w:p w14:paraId="70AC40D3" w14:textId="77777777" w:rsidR="005B512A" w:rsidRDefault="005B512A" w:rsidP="005B512A">
            <w:pPr>
              <w:adjustRightInd w:val="0"/>
              <w:snapToGrid w:val="0"/>
              <w:rPr>
                <w:rFonts w:hint="eastAsia"/>
              </w:rPr>
            </w:pPr>
            <w:r>
              <w:rPr>
                <w:rFonts w:ascii="Times New Roman" w:eastAsia="Times New Roman" w:hAnsi="Times New Roman"/>
                <w:b/>
                <w:sz w:val="20"/>
              </w:rPr>
              <w:lastRenderedPageBreak/>
              <w:t>Coding element</w:t>
            </w:r>
          </w:p>
        </w:tc>
        <w:tc>
          <w:tcPr>
            <w:tcW w:w="5758" w:type="dxa"/>
            <w:tcBorders>
              <w:top w:val="single" w:sz="12" w:space="0" w:color="auto"/>
              <w:bottom w:val="single" w:sz="4" w:space="0" w:color="auto"/>
            </w:tcBorders>
            <w:shd w:val="clear" w:color="auto" w:fill="auto"/>
            <w:vAlign w:val="center"/>
          </w:tcPr>
          <w:p w14:paraId="1B3FE4B4" w14:textId="77777777" w:rsidR="005B512A" w:rsidRDefault="005B512A" w:rsidP="005B512A">
            <w:pPr>
              <w:adjustRightInd w:val="0"/>
              <w:snapToGrid w:val="0"/>
              <w:rPr>
                <w:rFonts w:hint="eastAsia"/>
              </w:rPr>
            </w:pPr>
            <w:r>
              <w:rPr>
                <w:rFonts w:ascii="Times New Roman" w:eastAsia="Times New Roman" w:hAnsi="Times New Roman"/>
                <w:b/>
                <w:sz w:val="20"/>
              </w:rPr>
              <w:t>Definition in the coding process</w:t>
            </w:r>
          </w:p>
        </w:tc>
      </w:tr>
      <w:tr w:rsidR="005B512A" w14:paraId="6B514B79" w14:textId="77777777" w:rsidTr="0097156C">
        <w:trPr>
          <w:jc w:val="center"/>
        </w:trPr>
        <w:tc>
          <w:tcPr>
            <w:tcW w:w="2538" w:type="dxa"/>
            <w:tcBorders>
              <w:top w:val="single" w:sz="4" w:space="0" w:color="auto"/>
            </w:tcBorders>
            <w:shd w:val="clear" w:color="auto" w:fill="auto"/>
            <w:vAlign w:val="center"/>
          </w:tcPr>
          <w:p w14:paraId="085E592B"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Actors</w:t>
            </w:r>
          </w:p>
        </w:tc>
        <w:tc>
          <w:tcPr>
            <w:tcW w:w="5758" w:type="dxa"/>
            <w:tcBorders>
              <w:top w:val="single" w:sz="4" w:space="0" w:color="auto"/>
            </w:tcBorders>
            <w:shd w:val="clear" w:color="auto" w:fill="auto"/>
            <w:vAlign w:val="center"/>
          </w:tcPr>
          <w:p w14:paraId="268F8796"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Whether the study explicitly addressed households, communities, government actors, institutions, market/private actors, or multi-scale systems.</w:t>
            </w:r>
          </w:p>
        </w:tc>
      </w:tr>
      <w:tr w:rsidR="005B512A" w14:paraId="26515A66" w14:textId="77777777" w:rsidTr="0097156C">
        <w:trPr>
          <w:jc w:val="center"/>
        </w:trPr>
        <w:tc>
          <w:tcPr>
            <w:tcW w:w="2538" w:type="dxa"/>
            <w:shd w:val="clear" w:color="auto" w:fill="auto"/>
            <w:vAlign w:val="center"/>
          </w:tcPr>
          <w:p w14:paraId="28C953D3"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Support or intervention</w:t>
            </w:r>
          </w:p>
        </w:tc>
        <w:tc>
          <w:tcPr>
            <w:tcW w:w="5758" w:type="dxa"/>
            <w:shd w:val="clear" w:color="auto" w:fill="auto"/>
            <w:vAlign w:val="center"/>
          </w:tcPr>
          <w:p w14:paraId="4EA18AA9"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Public, community, institutional, market, technical, financial, informational, infrastructural, or organizational support relevant to livelihood resilience.</w:t>
            </w:r>
          </w:p>
        </w:tc>
      </w:tr>
      <w:tr w:rsidR="005B512A" w14:paraId="258955FC" w14:textId="77777777" w:rsidTr="0097156C">
        <w:trPr>
          <w:jc w:val="center"/>
        </w:trPr>
        <w:tc>
          <w:tcPr>
            <w:tcW w:w="2538" w:type="dxa"/>
            <w:shd w:val="clear" w:color="auto" w:fill="auto"/>
            <w:vAlign w:val="center"/>
          </w:tcPr>
          <w:p w14:paraId="1A05CF34"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Interactional processes</w:t>
            </w:r>
          </w:p>
        </w:tc>
        <w:tc>
          <w:tcPr>
            <w:tcW w:w="5758" w:type="dxa"/>
            <w:shd w:val="clear" w:color="auto" w:fill="auto"/>
            <w:vAlign w:val="center"/>
          </w:tcPr>
          <w:p w14:paraId="6BEAB0B1"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Processes linking actors across scales, including mediation, coordination, collective action, implementation, participation, or feedback.</w:t>
            </w:r>
          </w:p>
        </w:tc>
      </w:tr>
      <w:tr w:rsidR="005B512A" w14:paraId="05AAC603" w14:textId="77777777" w:rsidTr="0097156C">
        <w:trPr>
          <w:jc w:val="center"/>
        </w:trPr>
        <w:tc>
          <w:tcPr>
            <w:tcW w:w="2538" w:type="dxa"/>
            <w:shd w:val="clear" w:color="auto" w:fill="auto"/>
            <w:vAlign w:val="center"/>
          </w:tcPr>
          <w:p w14:paraId="20B47CBD"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Resilience-related outcomes</w:t>
            </w:r>
          </w:p>
        </w:tc>
        <w:tc>
          <w:tcPr>
            <w:tcW w:w="5758" w:type="dxa"/>
            <w:shd w:val="clear" w:color="auto" w:fill="auto"/>
            <w:vAlign w:val="center"/>
          </w:tcPr>
          <w:p w14:paraId="4722307B"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Outcomes related to buffering, adaptation, livelihood adjustment, capacity building, risk reduction, learning, or recovery.</w:t>
            </w:r>
          </w:p>
        </w:tc>
      </w:tr>
      <w:tr w:rsidR="005B512A" w14:paraId="02C5EAB8" w14:textId="77777777" w:rsidTr="0097156C">
        <w:trPr>
          <w:jc w:val="center"/>
        </w:trPr>
        <w:tc>
          <w:tcPr>
            <w:tcW w:w="2538" w:type="dxa"/>
            <w:tcBorders>
              <w:bottom w:val="single" w:sz="12" w:space="0" w:color="auto"/>
            </w:tcBorders>
            <w:shd w:val="clear" w:color="auto" w:fill="auto"/>
            <w:vAlign w:val="center"/>
          </w:tcPr>
          <w:p w14:paraId="037B2714"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Constraints or negative effects</w:t>
            </w:r>
          </w:p>
        </w:tc>
        <w:tc>
          <w:tcPr>
            <w:tcW w:w="5758" w:type="dxa"/>
            <w:tcBorders>
              <w:bottom w:val="single" w:sz="12" w:space="0" w:color="auto"/>
            </w:tcBorders>
            <w:shd w:val="clear" w:color="auto" w:fill="auto"/>
            <w:vAlign w:val="center"/>
          </w:tcPr>
          <w:p w14:paraId="2696D068"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Reported limitations, tensions, exclusions, dependence, elite capture, maladaptation, weak uptake, or implementation mismatch.</w:t>
            </w:r>
          </w:p>
        </w:tc>
      </w:tr>
    </w:tbl>
    <w:p w14:paraId="79F3FF9A" w14:textId="77777777" w:rsidR="005B512A" w:rsidRDefault="005B512A" w:rsidP="005B512A">
      <w:pPr>
        <w:ind w:firstLineChars="200" w:firstLine="420"/>
        <w:rPr>
          <w:rFonts w:ascii="Times New Roman" w:hAnsi="Times New Roman" w:cs="Times New Roman"/>
        </w:rPr>
      </w:pPr>
      <w:r w:rsidRPr="005B512A">
        <w:rPr>
          <w:rFonts w:ascii="Times New Roman" w:hAnsi="Times New Roman" w:cs="Times New Roman"/>
        </w:rPr>
        <w:t>During thematic synthesis, these coding elements were mapped to the main framework modules: government support, community mediation, household response, enabling mechanisms, constraining mechanisms, feedback processes, and resilience dimensions. The coding rule was conservative: a theme was coded as present only when the full text provided direct support. When the full text did not provide sufficient direct evidence, the relevant theme was retained as Not explicit</w:t>
      </w:r>
      <w:r>
        <w:rPr>
          <w:rFonts w:ascii="Times New Roman" w:hAnsi="Times New Roman" w:cs="Times New Roman" w:hint="eastAsia"/>
        </w:rPr>
        <w:t>.</w:t>
      </w:r>
    </w:p>
    <w:p w14:paraId="452729D6" w14:textId="63B4DD23" w:rsidR="0097156C" w:rsidRPr="0097156C" w:rsidRDefault="0097156C" w:rsidP="0097156C">
      <w:pPr>
        <w:jc w:val="center"/>
        <w:rPr>
          <w:rFonts w:ascii="Times New Roman" w:hAnsi="Times New Roman" w:cs="Times New Roman"/>
          <w:b/>
          <w:bCs/>
        </w:rPr>
      </w:pPr>
      <w:r>
        <w:rPr>
          <w:rFonts w:ascii="Times New Roman" w:eastAsia="Times New Roman" w:hAnsi="Times New Roman" w:cs="Times New Roman"/>
          <w:b/>
          <w:bCs/>
          <w:sz w:val="20"/>
        </w:rPr>
        <w:t>Table S3. Mapping of coding themes to framework modules</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6"/>
        <w:gridCol w:w="5720"/>
      </w:tblGrid>
      <w:tr w:rsidR="005B512A" w14:paraId="7F6CD533" w14:textId="77777777" w:rsidTr="0097156C">
        <w:trPr>
          <w:tblHeader/>
          <w:jc w:val="center"/>
        </w:trPr>
        <w:tc>
          <w:tcPr>
            <w:tcW w:w="3168" w:type="dxa"/>
            <w:tcBorders>
              <w:top w:val="single" w:sz="12" w:space="0" w:color="auto"/>
              <w:bottom w:val="single" w:sz="4" w:space="0" w:color="auto"/>
            </w:tcBorders>
            <w:shd w:val="clear" w:color="auto" w:fill="auto"/>
            <w:vAlign w:val="center"/>
          </w:tcPr>
          <w:p w14:paraId="48932D2A" w14:textId="77777777" w:rsidR="005B512A" w:rsidRDefault="005B512A" w:rsidP="00160AD7">
            <w:pPr>
              <w:rPr>
                <w:rFonts w:hint="eastAsia"/>
              </w:rPr>
            </w:pPr>
            <w:r>
              <w:rPr>
                <w:rFonts w:ascii="Times New Roman" w:eastAsia="Times New Roman" w:hAnsi="Times New Roman"/>
                <w:b/>
                <w:sz w:val="20"/>
              </w:rPr>
              <w:t>Framework module</w:t>
            </w:r>
          </w:p>
        </w:tc>
        <w:tc>
          <w:tcPr>
            <w:tcW w:w="7632" w:type="dxa"/>
            <w:tcBorders>
              <w:top w:val="single" w:sz="12" w:space="0" w:color="auto"/>
              <w:bottom w:val="single" w:sz="4" w:space="0" w:color="auto"/>
            </w:tcBorders>
            <w:shd w:val="clear" w:color="auto" w:fill="auto"/>
            <w:vAlign w:val="center"/>
          </w:tcPr>
          <w:p w14:paraId="51387EFF" w14:textId="77777777" w:rsidR="005B512A" w:rsidRDefault="005B512A" w:rsidP="0058417F">
            <w:pPr>
              <w:rPr>
                <w:rFonts w:hint="eastAsia"/>
              </w:rPr>
            </w:pPr>
            <w:r>
              <w:rPr>
                <w:rFonts w:ascii="Times New Roman" w:eastAsia="Times New Roman" w:hAnsi="Times New Roman"/>
                <w:b/>
                <w:sz w:val="20"/>
              </w:rPr>
              <w:t>Coding meaning</w:t>
            </w:r>
          </w:p>
        </w:tc>
      </w:tr>
      <w:tr w:rsidR="005B512A" w14:paraId="215C4869" w14:textId="77777777" w:rsidTr="0097156C">
        <w:trPr>
          <w:jc w:val="center"/>
        </w:trPr>
        <w:tc>
          <w:tcPr>
            <w:tcW w:w="3168" w:type="dxa"/>
            <w:tcBorders>
              <w:top w:val="single" w:sz="4" w:space="0" w:color="auto"/>
            </w:tcBorders>
            <w:shd w:val="clear" w:color="auto" w:fill="auto"/>
            <w:vAlign w:val="center"/>
          </w:tcPr>
          <w:p w14:paraId="0D3BFA32"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Government support</w:t>
            </w:r>
          </w:p>
        </w:tc>
        <w:tc>
          <w:tcPr>
            <w:tcW w:w="7632" w:type="dxa"/>
            <w:tcBorders>
              <w:top w:val="single" w:sz="4" w:space="0" w:color="auto"/>
            </w:tcBorders>
            <w:shd w:val="clear" w:color="auto" w:fill="auto"/>
          </w:tcPr>
          <w:p w14:paraId="50F9FC99" w14:textId="77777777" w:rsidR="005B512A" w:rsidRPr="005B512A" w:rsidRDefault="005B512A" w:rsidP="005B512A">
            <w:pPr>
              <w:adjustRightInd w:val="0"/>
              <w:snapToGrid w:val="0"/>
              <w:rPr>
                <w:rFonts w:hint="eastAsia"/>
                <w:sz w:val="16"/>
                <w:szCs w:val="20"/>
              </w:rPr>
            </w:pPr>
            <w:r w:rsidRPr="005B512A">
              <w:rPr>
                <w:rFonts w:ascii="Times New Roman" w:eastAsia="Times New Roman" w:hAnsi="Times New Roman"/>
                <w:sz w:val="16"/>
                <w:szCs w:val="20"/>
              </w:rPr>
              <w:t>Public intervention, state-led support, policy provision, infrastructure, subsidies, insurance, training, technical extension, or information services.</w:t>
            </w:r>
          </w:p>
        </w:tc>
      </w:tr>
      <w:tr w:rsidR="005B512A" w14:paraId="0B592F0E" w14:textId="77777777" w:rsidTr="0097156C">
        <w:trPr>
          <w:jc w:val="center"/>
        </w:trPr>
        <w:tc>
          <w:tcPr>
            <w:tcW w:w="3168" w:type="dxa"/>
            <w:shd w:val="clear" w:color="auto" w:fill="auto"/>
            <w:vAlign w:val="center"/>
          </w:tcPr>
          <w:p w14:paraId="6C529AEA"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Community mediation</w:t>
            </w:r>
          </w:p>
        </w:tc>
        <w:tc>
          <w:tcPr>
            <w:tcW w:w="7632" w:type="dxa"/>
            <w:shd w:val="clear" w:color="auto" w:fill="auto"/>
          </w:tcPr>
          <w:p w14:paraId="380DFABE" w14:textId="77777777" w:rsidR="005B512A" w:rsidRPr="005B512A" w:rsidRDefault="005B512A" w:rsidP="005B512A">
            <w:pPr>
              <w:adjustRightInd w:val="0"/>
              <w:snapToGrid w:val="0"/>
              <w:rPr>
                <w:rFonts w:hint="eastAsia"/>
                <w:sz w:val="16"/>
                <w:szCs w:val="20"/>
              </w:rPr>
            </w:pPr>
            <w:r w:rsidRPr="005B512A">
              <w:rPr>
                <w:rFonts w:ascii="Times New Roman" w:eastAsia="Times New Roman" w:hAnsi="Times New Roman"/>
                <w:sz w:val="16"/>
                <w:szCs w:val="20"/>
              </w:rPr>
              <w:t>Village organizations, cooperatives, local institutions, collective action, resource coordination, information transmission, conflict mediation, or local implementation.</w:t>
            </w:r>
          </w:p>
        </w:tc>
      </w:tr>
      <w:tr w:rsidR="005B512A" w14:paraId="32693792" w14:textId="77777777" w:rsidTr="0097156C">
        <w:trPr>
          <w:jc w:val="center"/>
        </w:trPr>
        <w:tc>
          <w:tcPr>
            <w:tcW w:w="3168" w:type="dxa"/>
            <w:shd w:val="clear" w:color="auto" w:fill="auto"/>
            <w:vAlign w:val="center"/>
          </w:tcPr>
          <w:p w14:paraId="776EF25E"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Household response</w:t>
            </w:r>
          </w:p>
        </w:tc>
        <w:tc>
          <w:tcPr>
            <w:tcW w:w="7632" w:type="dxa"/>
            <w:shd w:val="clear" w:color="auto" w:fill="auto"/>
          </w:tcPr>
          <w:p w14:paraId="7654E885" w14:textId="77777777" w:rsidR="005B512A" w:rsidRPr="005B512A" w:rsidRDefault="005B512A" w:rsidP="005B512A">
            <w:pPr>
              <w:adjustRightInd w:val="0"/>
              <w:snapToGrid w:val="0"/>
              <w:rPr>
                <w:rFonts w:hint="eastAsia"/>
                <w:sz w:val="16"/>
                <w:szCs w:val="20"/>
              </w:rPr>
            </w:pPr>
            <w:r w:rsidRPr="005B512A">
              <w:rPr>
                <w:rFonts w:ascii="Times New Roman" w:eastAsia="Times New Roman" w:hAnsi="Times New Roman"/>
                <w:sz w:val="16"/>
                <w:szCs w:val="20"/>
              </w:rPr>
              <w:t>Household or farmer adaptation, livelihood adjustment, risk perception, technology uptake, diversification, coping, or strategic change.</w:t>
            </w:r>
          </w:p>
        </w:tc>
      </w:tr>
      <w:tr w:rsidR="005B512A" w14:paraId="4CE500ED" w14:textId="77777777" w:rsidTr="0097156C">
        <w:trPr>
          <w:jc w:val="center"/>
        </w:trPr>
        <w:tc>
          <w:tcPr>
            <w:tcW w:w="3168" w:type="dxa"/>
            <w:shd w:val="clear" w:color="auto" w:fill="auto"/>
            <w:vAlign w:val="center"/>
          </w:tcPr>
          <w:p w14:paraId="09859C42"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Enabling mechanisms</w:t>
            </w:r>
          </w:p>
        </w:tc>
        <w:tc>
          <w:tcPr>
            <w:tcW w:w="7632" w:type="dxa"/>
            <w:shd w:val="clear" w:color="auto" w:fill="auto"/>
          </w:tcPr>
          <w:p w14:paraId="65C836A3" w14:textId="77777777" w:rsidR="005B512A" w:rsidRPr="005B512A" w:rsidRDefault="005B512A" w:rsidP="005B512A">
            <w:pPr>
              <w:adjustRightInd w:val="0"/>
              <w:snapToGrid w:val="0"/>
              <w:rPr>
                <w:rFonts w:hint="eastAsia"/>
                <w:sz w:val="16"/>
                <w:szCs w:val="20"/>
              </w:rPr>
            </w:pPr>
            <w:r w:rsidRPr="005B512A">
              <w:rPr>
                <w:rFonts w:ascii="Times New Roman" w:eastAsia="Times New Roman" w:hAnsi="Times New Roman"/>
                <w:sz w:val="16"/>
                <w:szCs w:val="20"/>
              </w:rPr>
              <w:t>Processes that strengthen resilience, such as resource access, knowledge diffusion, capacity building, social support, or institutional coordination.</w:t>
            </w:r>
          </w:p>
        </w:tc>
      </w:tr>
      <w:tr w:rsidR="005B512A" w14:paraId="6707304D" w14:textId="77777777" w:rsidTr="0097156C">
        <w:trPr>
          <w:jc w:val="center"/>
        </w:trPr>
        <w:tc>
          <w:tcPr>
            <w:tcW w:w="3168" w:type="dxa"/>
            <w:shd w:val="clear" w:color="auto" w:fill="auto"/>
            <w:vAlign w:val="center"/>
          </w:tcPr>
          <w:p w14:paraId="08616BA7"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Constraining mechanisms</w:t>
            </w:r>
          </w:p>
        </w:tc>
        <w:tc>
          <w:tcPr>
            <w:tcW w:w="7632" w:type="dxa"/>
            <w:shd w:val="clear" w:color="auto" w:fill="auto"/>
          </w:tcPr>
          <w:p w14:paraId="1C6B9A32" w14:textId="77777777" w:rsidR="005B512A" w:rsidRPr="005B512A" w:rsidRDefault="005B512A" w:rsidP="005B512A">
            <w:pPr>
              <w:adjustRightInd w:val="0"/>
              <w:snapToGrid w:val="0"/>
              <w:rPr>
                <w:rFonts w:hint="eastAsia"/>
                <w:sz w:val="16"/>
                <w:szCs w:val="20"/>
              </w:rPr>
            </w:pPr>
            <w:r w:rsidRPr="005B512A">
              <w:rPr>
                <w:rFonts w:ascii="Times New Roman" w:eastAsia="Times New Roman" w:hAnsi="Times New Roman"/>
                <w:sz w:val="16"/>
                <w:szCs w:val="20"/>
              </w:rPr>
              <w:t>Processes that weaken or unevenly distribute resilience, such as dependence, exclusion, elite capture, mismatch, weak uptake, or maladaptation.</w:t>
            </w:r>
          </w:p>
        </w:tc>
      </w:tr>
      <w:tr w:rsidR="005B512A" w14:paraId="2AB60013" w14:textId="77777777" w:rsidTr="0097156C">
        <w:trPr>
          <w:jc w:val="center"/>
        </w:trPr>
        <w:tc>
          <w:tcPr>
            <w:tcW w:w="3168" w:type="dxa"/>
            <w:shd w:val="clear" w:color="auto" w:fill="auto"/>
            <w:vAlign w:val="center"/>
          </w:tcPr>
          <w:p w14:paraId="19D4E666"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Feedback processes</w:t>
            </w:r>
          </w:p>
        </w:tc>
        <w:tc>
          <w:tcPr>
            <w:tcW w:w="7632" w:type="dxa"/>
            <w:shd w:val="clear" w:color="auto" w:fill="auto"/>
          </w:tcPr>
          <w:p w14:paraId="1797842A" w14:textId="77777777" w:rsidR="005B512A" w:rsidRPr="005B512A" w:rsidRDefault="005B512A" w:rsidP="005B512A">
            <w:pPr>
              <w:adjustRightInd w:val="0"/>
              <w:snapToGrid w:val="0"/>
              <w:rPr>
                <w:rFonts w:hint="eastAsia"/>
                <w:sz w:val="16"/>
                <w:szCs w:val="20"/>
              </w:rPr>
            </w:pPr>
            <w:r w:rsidRPr="005B512A">
              <w:rPr>
                <w:rFonts w:ascii="Times New Roman" w:eastAsia="Times New Roman" w:hAnsi="Times New Roman"/>
                <w:sz w:val="16"/>
                <w:szCs w:val="20"/>
              </w:rPr>
              <w:t>Upward feedback, learning loops, policy adjustment, experience sharing, or iterative adaptation across actors and scales.</w:t>
            </w:r>
          </w:p>
        </w:tc>
      </w:tr>
      <w:tr w:rsidR="005B512A" w14:paraId="7D619D5C" w14:textId="77777777" w:rsidTr="0097156C">
        <w:trPr>
          <w:jc w:val="center"/>
        </w:trPr>
        <w:tc>
          <w:tcPr>
            <w:tcW w:w="3168" w:type="dxa"/>
            <w:tcBorders>
              <w:bottom w:val="single" w:sz="12" w:space="0" w:color="auto"/>
            </w:tcBorders>
            <w:shd w:val="clear" w:color="auto" w:fill="auto"/>
            <w:vAlign w:val="center"/>
          </w:tcPr>
          <w:p w14:paraId="232D90F3" w14:textId="77777777" w:rsidR="005B512A" w:rsidRPr="005B512A" w:rsidRDefault="005B512A" w:rsidP="00160AD7">
            <w:pPr>
              <w:adjustRightInd w:val="0"/>
              <w:snapToGrid w:val="0"/>
              <w:rPr>
                <w:rFonts w:hint="eastAsia"/>
                <w:sz w:val="16"/>
                <w:szCs w:val="20"/>
              </w:rPr>
            </w:pPr>
            <w:r w:rsidRPr="005B512A">
              <w:rPr>
                <w:rFonts w:ascii="Times New Roman" w:eastAsia="Times New Roman" w:hAnsi="Times New Roman"/>
                <w:sz w:val="16"/>
                <w:szCs w:val="20"/>
              </w:rPr>
              <w:t>Resilience dimensions</w:t>
            </w:r>
          </w:p>
        </w:tc>
        <w:tc>
          <w:tcPr>
            <w:tcW w:w="7632" w:type="dxa"/>
            <w:tcBorders>
              <w:bottom w:val="single" w:sz="12" w:space="0" w:color="auto"/>
            </w:tcBorders>
            <w:shd w:val="clear" w:color="auto" w:fill="auto"/>
          </w:tcPr>
          <w:p w14:paraId="261E8F06" w14:textId="77777777" w:rsidR="005B512A" w:rsidRPr="005B512A" w:rsidRDefault="005B512A" w:rsidP="005B512A">
            <w:pPr>
              <w:adjustRightInd w:val="0"/>
              <w:snapToGrid w:val="0"/>
              <w:rPr>
                <w:rFonts w:hint="eastAsia"/>
                <w:sz w:val="16"/>
                <w:szCs w:val="20"/>
              </w:rPr>
            </w:pPr>
            <w:r w:rsidRPr="005B512A">
              <w:rPr>
                <w:rFonts w:ascii="Times New Roman" w:eastAsia="Times New Roman" w:hAnsi="Times New Roman"/>
                <w:sz w:val="16"/>
                <w:szCs w:val="20"/>
              </w:rPr>
              <w:t>Dimensions used in the framework, including buffer capacity, risk perception, strategy adjustment, self-organization, and learning capacity.</w:t>
            </w:r>
          </w:p>
        </w:tc>
      </w:tr>
    </w:tbl>
    <w:p w14:paraId="2B57E8E6" w14:textId="77777777" w:rsidR="005B512A" w:rsidRDefault="005B512A">
      <w:pPr>
        <w:rPr>
          <w:rFonts w:ascii="Times New Roman" w:hAnsi="Times New Roman" w:cs="Times New Roman"/>
        </w:rPr>
      </w:pPr>
    </w:p>
    <w:p w14:paraId="1290ADA0" w14:textId="5972058F" w:rsidR="005B512A" w:rsidRPr="006B5CE9" w:rsidRDefault="005B512A" w:rsidP="005B512A">
      <w:pPr>
        <w:rPr>
          <w:rFonts w:ascii="Times New Roman" w:hAnsi="Times New Roman" w:cs="Times New Roman"/>
          <w:b/>
          <w:bCs/>
          <w:sz w:val="24"/>
          <w:szCs w:val="28"/>
        </w:rPr>
      </w:pPr>
      <w:r w:rsidRPr="006B5CE9">
        <w:rPr>
          <w:rFonts w:ascii="Times New Roman" w:hAnsi="Times New Roman" w:cs="Times New Roman"/>
          <w:b/>
          <w:bCs/>
          <w:sz w:val="24"/>
          <w:szCs w:val="28"/>
        </w:rPr>
        <w:t>S</w:t>
      </w:r>
      <w:r>
        <w:rPr>
          <w:rFonts w:ascii="Times New Roman" w:hAnsi="Times New Roman" w:cs="Times New Roman" w:hint="eastAsia"/>
          <w:b/>
          <w:bCs/>
          <w:sz w:val="24"/>
          <w:szCs w:val="28"/>
        </w:rPr>
        <w:t>5</w:t>
      </w:r>
      <w:r w:rsidRPr="006B5CE9">
        <w:rPr>
          <w:rFonts w:ascii="Times New Roman" w:hAnsi="Times New Roman" w:cs="Times New Roman"/>
          <w:b/>
          <w:bCs/>
          <w:sz w:val="24"/>
          <w:szCs w:val="28"/>
        </w:rPr>
        <w:t xml:space="preserve">. </w:t>
      </w:r>
      <w:r w:rsidRPr="005B512A">
        <w:rPr>
          <w:rFonts w:ascii="Times New Roman" w:hAnsi="Times New Roman" w:cs="Times New Roman" w:hint="eastAsia"/>
          <w:b/>
          <w:bCs/>
          <w:sz w:val="24"/>
          <w:szCs w:val="28"/>
        </w:rPr>
        <w:t>Treatment of citation-traced supporting studies</w:t>
      </w:r>
    </w:p>
    <w:p w14:paraId="063DF946" w14:textId="5E8C2627" w:rsidR="005B512A" w:rsidRDefault="00387BA8" w:rsidP="00387BA8">
      <w:pPr>
        <w:ind w:firstLineChars="200" w:firstLine="420"/>
        <w:rPr>
          <w:rFonts w:ascii="Times New Roman" w:hAnsi="Times New Roman" w:cs="Times New Roman"/>
        </w:rPr>
      </w:pPr>
      <w:r w:rsidRPr="00387BA8">
        <w:rPr>
          <w:rFonts w:ascii="Times New Roman" w:hAnsi="Times New Roman" w:cs="Times New Roman" w:hint="eastAsia"/>
        </w:rPr>
        <w:t>The 4</w:t>
      </w:r>
      <w:r w:rsidR="003308FC">
        <w:rPr>
          <w:rFonts w:ascii="Times New Roman" w:hAnsi="Times New Roman" w:cs="Times New Roman" w:hint="eastAsia"/>
        </w:rPr>
        <w:t>1</w:t>
      </w:r>
      <w:r w:rsidRPr="00387BA8">
        <w:rPr>
          <w:rFonts w:ascii="Times New Roman" w:hAnsi="Times New Roman" w:cs="Times New Roman" w:hint="eastAsia"/>
        </w:rPr>
        <w:t xml:space="preserve"> citation-traced studies were treated as supporting evidence for conceptual refinement and mechanism interpretation. Each traced study was reviewed to identify why it was included, which framework module it informed, what primary contribution it made, and whether it provided direct, indirect, or contextual support for the framework.</w:t>
      </w:r>
      <w:r>
        <w:rPr>
          <w:rFonts w:ascii="Times New Roman" w:hAnsi="Times New Roman" w:cs="Times New Roman" w:hint="eastAsia"/>
        </w:rPr>
        <w:t xml:space="preserve"> </w:t>
      </w:r>
      <w:r w:rsidRPr="00387BA8">
        <w:rPr>
          <w:rFonts w:ascii="Times New Roman" w:hAnsi="Times New Roman" w:cs="Times New Roman" w:hint="eastAsia"/>
        </w:rPr>
        <w:t>This separation preserves the methodological distinction between the main coded evidence base and the supporting evidence used for interpretive refinement. It also helps clarify that the analytical framework was grounded primarily in the 8</w:t>
      </w:r>
      <w:r w:rsidR="003308FC">
        <w:rPr>
          <w:rFonts w:ascii="Times New Roman" w:hAnsi="Times New Roman" w:cs="Times New Roman" w:hint="eastAsia"/>
        </w:rPr>
        <w:t>0</w:t>
      </w:r>
      <w:r w:rsidRPr="00387BA8">
        <w:rPr>
          <w:rFonts w:ascii="Times New Roman" w:hAnsi="Times New Roman" w:cs="Times New Roman" w:hint="eastAsia"/>
        </w:rPr>
        <w:t xml:space="preserve"> retained seed studies, while the citation-traced studies strengthened underrepresented dimensions and reduced omissions from keyword-based searching.</w:t>
      </w:r>
    </w:p>
    <w:p w14:paraId="0CC100BB" w14:textId="3284FDC2" w:rsidR="0062112F" w:rsidRPr="0062112F" w:rsidRDefault="0062112F" w:rsidP="0062112F">
      <w:pPr>
        <w:jc w:val="center"/>
        <w:rPr>
          <w:rFonts w:ascii="Times New Roman" w:hAnsi="Times New Roman" w:cs="Times New Roman"/>
          <w:b/>
          <w:bCs/>
        </w:rPr>
      </w:pPr>
      <w:r>
        <w:rPr>
          <w:rFonts w:ascii="Times New Roman" w:eastAsia="Times New Roman" w:hAnsi="Times New Roman" w:cs="Times New Roman"/>
          <w:b/>
          <w:bCs/>
          <w:sz w:val="20"/>
        </w:rPr>
        <w:t>Table S4. Fields used to document citation-traced supporting studies</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5"/>
        <w:gridCol w:w="5381"/>
      </w:tblGrid>
      <w:tr w:rsidR="00387BA8" w14:paraId="6504A5A8" w14:textId="77777777" w:rsidTr="00B37EA9">
        <w:trPr>
          <w:tblHeader/>
          <w:jc w:val="center"/>
        </w:trPr>
        <w:tc>
          <w:tcPr>
            <w:tcW w:w="2925" w:type="dxa"/>
            <w:tcBorders>
              <w:top w:val="single" w:sz="12" w:space="0" w:color="auto"/>
              <w:bottom w:val="single" w:sz="4" w:space="0" w:color="auto"/>
            </w:tcBorders>
            <w:shd w:val="clear" w:color="auto" w:fill="auto"/>
            <w:vAlign w:val="center"/>
          </w:tcPr>
          <w:p w14:paraId="058D021C" w14:textId="77777777" w:rsidR="00387BA8" w:rsidRDefault="00387BA8" w:rsidP="00387BA8">
            <w:pPr>
              <w:adjustRightInd w:val="0"/>
              <w:snapToGrid w:val="0"/>
              <w:rPr>
                <w:rFonts w:hint="eastAsia"/>
              </w:rPr>
            </w:pPr>
            <w:r>
              <w:rPr>
                <w:rFonts w:ascii="Times New Roman" w:eastAsia="Times New Roman" w:hAnsi="Times New Roman"/>
                <w:b/>
                <w:sz w:val="20"/>
              </w:rPr>
              <w:t>Field in traced-study table</w:t>
            </w:r>
          </w:p>
        </w:tc>
        <w:tc>
          <w:tcPr>
            <w:tcW w:w="5381" w:type="dxa"/>
            <w:tcBorders>
              <w:top w:val="single" w:sz="12" w:space="0" w:color="auto"/>
              <w:bottom w:val="single" w:sz="4" w:space="0" w:color="auto"/>
            </w:tcBorders>
            <w:shd w:val="clear" w:color="auto" w:fill="auto"/>
            <w:vAlign w:val="center"/>
          </w:tcPr>
          <w:p w14:paraId="0D9695FC" w14:textId="77777777" w:rsidR="00387BA8" w:rsidRDefault="00387BA8" w:rsidP="00387BA8">
            <w:pPr>
              <w:adjustRightInd w:val="0"/>
              <w:snapToGrid w:val="0"/>
              <w:rPr>
                <w:rFonts w:hint="eastAsia"/>
              </w:rPr>
            </w:pPr>
            <w:r>
              <w:rPr>
                <w:rFonts w:ascii="Times New Roman" w:eastAsia="Times New Roman" w:hAnsi="Times New Roman"/>
                <w:b/>
                <w:sz w:val="20"/>
              </w:rPr>
              <w:t>Purpose</w:t>
            </w:r>
          </w:p>
        </w:tc>
      </w:tr>
      <w:tr w:rsidR="00387BA8" w14:paraId="533BE8B2" w14:textId="77777777" w:rsidTr="00B37EA9">
        <w:trPr>
          <w:jc w:val="center"/>
        </w:trPr>
        <w:tc>
          <w:tcPr>
            <w:tcW w:w="2925" w:type="dxa"/>
            <w:tcBorders>
              <w:top w:val="single" w:sz="4" w:space="0" w:color="auto"/>
            </w:tcBorders>
            <w:shd w:val="clear" w:color="auto" w:fill="auto"/>
          </w:tcPr>
          <w:p w14:paraId="7E541850" w14:textId="77777777" w:rsidR="00387BA8" w:rsidRPr="00387BA8" w:rsidRDefault="00387BA8" w:rsidP="00387BA8">
            <w:pPr>
              <w:adjustRightInd w:val="0"/>
              <w:snapToGrid w:val="0"/>
              <w:rPr>
                <w:rFonts w:hint="eastAsia"/>
                <w:sz w:val="16"/>
                <w:szCs w:val="20"/>
              </w:rPr>
            </w:pPr>
            <w:proofErr w:type="spellStart"/>
            <w:r w:rsidRPr="00387BA8">
              <w:rPr>
                <w:rFonts w:ascii="Times New Roman" w:eastAsia="Times New Roman" w:hAnsi="Times New Roman"/>
                <w:sz w:val="16"/>
                <w:szCs w:val="20"/>
              </w:rPr>
              <w:t>ReasonForTracing</w:t>
            </w:r>
            <w:proofErr w:type="spellEnd"/>
          </w:p>
        </w:tc>
        <w:tc>
          <w:tcPr>
            <w:tcW w:w="5381" w:type="dxa"/>
            <w:tcBorders>
              <w:top w:val="single" w:sz="4" w:space="0" w:color="auto"/>
            </w:tcBorders>
            <w:shd w:val="clear" w:color="auto" w:fill="auto"/>
          </w:tcPr>
          <w:p w14:paraId="7B359FAF" w14:textId="77777777" w:rsidR="00387BA8" w:rsidRPr="00387BA8" w:rsidRDefault="00387BA8" w:rsidP="00387BA8">
            <w:pPr>
              <w:adjustRightInd w:val="0"/>
              <w:snapToGrid w:val="0"/>
              <w:rPr>
                <w:rFonts w:hint="eastAsia"/>
                <w:sz w:val="16"/>
                <w:szCs w:val="20"/>
              </w:rPr>
            </w:pPr>
            <w:r w:rsidRPr="00387BA8">
              <w:rPr>
                <w:rFonts w:ascii="Times New Roman" w:eastAsia="Times New Roman" w:hAnsi="Times New Roman"/>
                <w:sz w:val="16"/>
                <w:szCs w:val="20"/>
              </w:rPr>
              <w:t>Explains why the study was included through citation tracing, such as concept refinement or mechanism supplementation.</w:t>
            </w:r>
          </w:p>
        </w:tc>
      </w:tr>
      <w:tr w:rsidR="00387BA8" w14:paraId="7A3C1708" w14:textId="77777777" w:rsidTr="00B37EA9">
        <w:trPr>
          <w:jc w:val="center"/>
        </w:trPr>
        <w:tc>
          <w:tcPr>
            <w:tcW w:w="2925" w:type="dxa"/>
            <w:shd w:val="clear" w:color="auto" w:fill="auto"/>
          </w:tcPr>
          <w:p w14:paraId="3C5AD2B3" w14:textId="77777777" w:rsidR="00387BA8" w:rsidRPr="00387BA8" w:rsidRDefault="00387BA8" w:rsidP="00387BA8">
            <w:pPr>
              <w:adjustRightInd w:val="0"/>
              <w:snapToGrid w:val="0"/>
              <w:rPr>
                <w:rFonts w:hint="eastAsia"/>
                <w:sz w:val="16"/>
                <w:szCs w:val="20"/>
              </w:rPr>
            </w:pPr>
            <w:proofErr w:type="spellStart"/>
            <w:r w:rsidRPr="00387BA8">
              <w:rPr>
                <w:rFonts w:ascii="Times New Roman" w:eastAsia="Times New Roman" w:hAnsi="Times New Roman"/>
                <w:sz w:val="16"/>
                <w:szCs w:val="20"/>
              </w:rPr>
              <w:t>PrimaryContribution</w:t>
            </w:r>
            <w:proofErr w:type="spellEnd"/>
          </w:p>
        </w:tc>
        <w:tc>
          <w:tcPr>
            <w:tcW w:w="5381" w:type="dxa"/>
            <w:shd w:val="clear" w:color="auto" w:fill="auto"/>
          </w:tcPr>
          <w:p w14:paraId="0351F54C" w14:textId="77777777" w:rsidR="00387BA8" w:rsidRPr="00387BA8" w:rsidRDefault="00387BA8" w:rsidP="00387BA8">
            <w:pPr>
              <w:adjustRightInd w:val="0"/>
              <w:snapToGrid w:val="0"/>
              <w:rPr>
                <w:rFonts w:hint="eastAsia"/>
                <w:sz w:val="16"/>
                <w:szCs w:val="20"/>
              </w:rPr>
            </w:pPr>
            <w:r w:rsidRPr="00387BA8">
              <w:rPr>
                <w:rFonts w:ascii="Times New Roman" w:eastAsia="Times New Roman" w:hAnsi="Times New Roman"/>
                <w:sz w:val="16"/>
                <w:szCs w:val="20"/>
              </w:rPr>
              <w:t>Summarizes the main contribution of the study to the synthesis.</w:t>
            </w:r>
          </w:p>
        </w:tc>
      </w:tr>
      <w:tr w:rsidR="00387BA8" w14:paraId="6395D96F" w14:textId="77777777" w:rsidTr="00B37EA9">
        <w:trPr>
          <w:jc w:val="center"/>
        </w:trPr>
        <w:tc>
          <w:tcPr>
            <w:tcW w:w="2925" w:type="dxa"/>
            <w:shd w:val="clear" w:color="auto" w:fill="auto"/>
          </w:tcPr>
          <w:p w14:paraId="6E4C9779" w14:textId="77777777" w:rsidR="00387BA8" w:rsidRPr="00387BA8" w:rsidRDefault="00387BA8" w:rsidP="00387BA8">
            <w:pPr>
              <w:adjustRightInd w:val="0"/>
              <w:snapToGrid w:val="0"/>
              <w:rPr>
                <w:rFonts w:hint="eastAsia"/>
                <w:sz w:val="16"/>
                <w:szCs w:val="20"/>
              </w:rPr>
            </w:pPr>
            <w:proofErr w:type="spellStart"/>
            <w:r w:rsidRPr="00387BA8">
              <w:rPr>
                <w:rFonts w:ascii="Times New Roman" w:eastAsia="Times New Roman" w:hAnsi="Times New Roman"/>
                <w:sz w:val="16"/>
                <w:szCs w:val="20"/>
              </w:rPr>
              <w:t>FrameworkRole</w:t>
            </w:r>
            <w:proofErr w:type="spellEnd"/>
          </w:p>
        </w:tc>
        <w:tc>
          <w:tcPr>
            <w:tcW w:w="5381" w:type="dxa"/>
            <w:shd w:val="clear" w:color="auto" w:fill="auto"/>
          </w:tcPr>
          <w:p w14:paraId="0B5C00C2" w14:textId="77777777" w:rsidR="00387BA8" w:rsidRPr="00387BA8" w:rsidRDefault="00387BA8" w:rsidP="00387BA8">
            <w:pPr>
              <w:adjustRightInd w:val="0"/>
              <w:snapToGrid w:val="0"/>
              <w:rPr>
                <w:rFonts w:hint="eastAsia"/>
                <w:sz w:val="16"/>
                <w:szCs w:val="20"/>
              </w:rPr>
            </w:pPr>
            <w:r w:rsidRPr="00387BA8">
              <w:rPr>
                <w:rFonts w:ascii="Times New Roman" w:eastAsia="Times New Roman" w:hAnsi="Times New Roman"/>
                <w:sz w:val="16"/>
                <w:szCs w:val="20"/>
              </w:rPr>
              <w:t>Indicates whether the study supports conceptual refinement, mechanism interpretation, or underrepresented theme support.</w:t>
            </w:r>
          </w:p>
        </w:tc>
      </w:tr>
      <w:tr w:rsidR="00387BA8" w14:paraId="3C5E2E16" w14:textId="77777777" w:rsidTr="00B37EA9">
        <w:trPr>
          <w:jc w:val="center"/>
        </w:trPr>
        <w:tc>
          <w:tcPr>
            <w:tcW w:w="2925" w:type="dxa"/>
            <w:shd w:val="clear" w:color="auto" w:fill="auto"/>
          </w:tcPr>
          <w:p w14:paraId="06C351B1" w14:textId="77777777" w:rsidR="00387BA8" w:rsidRPr="00387BA8" w:rsidRDefault="00387BA8" w:rsidP="00387BA8">
            <w:pPr>
              <w:adjustRightInd w:val="0"/>
              <w:snapToGrid w:val="0"/>
              <w:rPr>
                <w:rFonts w:hint="eastAsia"/>
                <w:sz w:val="16"/>
                <w:szCs w:val="20"/>
              </w:rPr>
            </w:pPr>
            <w:proofErr w:type="spellStart"/>
            <w:r w:rsidRPr="00387BA8">
              <w:rPr>
                <w:rFonts w:ascii="Times New Roman" w:eastAsia="Times New Roman" w:hAnsi="Times New Roman"/>
                <w:sz w:val="16"/>
                <w:szCs w:val="20"/>
              </w:rPr>
              <w:t>RelevantModule</w:t>
            </w:r>
            <w:proofErr w:type="spellEnd"/>
          </w:p>
        </w:tc>
        <w:tc>
          <w:tcPr>
            <w:tcW w:w="5381" w:type="dxa"/>
            <w:shd w:val="clear" w:color="auto" w:fill="auto"/>
          </w:tcPr>
          <w:p w14:paraId="0E21A907" w14:textId="77777777" w:rsidR="00387BA8" w:rsidRPr="00387BA8" w:rsidRDefault="00387BA8" w:rsidP="00387BA8">
            <w:pPr>
              <w:adjustRightInd w:val="0"/>
              <w:snapToGrid w:val="0"/>
              <w:rPr>
                <w:rFonts w:hint="eastAsia"/>
                <w:sz w:val="16"/>
                <w:szCs w:val="20"/>
              </w:rPr>
            </w:pPr>
            <w:r w:rsidRPr="00387BA8">
              <w:rPr>
                <w:rFonts w:ascii="Times New Roman" w:eastAsia="Times New Roman" w:hAnsi="Times New Roman"/>
                <w:sz w:val="16"/>
                <w:szCs w:val="20"/>
              </w:rPr>
              <w:t>Identifies which framework module the study informs.</w:t>
            </w:r>
          </w:p>
        </w:tc>
      </w:tr>
      <w:tr w:rsidR="00387BA8" w14:paraId="5F20C53B" w14:textId="77777777" w:rsidTr="00B37EA9">
        <w:trPr>
          <w:jc w:val="center"/>
        </w:trPr>
        <w:tc>
          <w:tcPr>
            <w:tcW w:w="2925" w:type="dxa"/>
            <w:tcBorders>
              <w:bottom w:val="single" w:sz="12" w:space="0" w:color="auto"/>
            </w:tcBorders>
            <w:shd w:val="clear" w:color="auto" w:fill="auto"/>
          </w:tcPr>
          <w:p w14:paraId="041AD2D8" w14:textId="77777777" w:rsidR="00387BA8" w:rsidRPr="00387BA8" w:rsidRDefault="00387BA8" w:rsidP="00387BA8">
            <w:pPr>
              <w:adjustRightInd w:val="0"/>
              <w:snapToGrid w:val="0"/>
              <w:rPr>
                <w:rFonts w:hint="eastAsia"/>
                <w:sz w:val="16"/>
                <w:szCs w:val="20"/>
              </w:rPr>
            </w:pPr>
            <w:proofErr w:type="spellStart"/>
            <w:r w:rsidRPr="00387BA8">
              <w:rPr>
                <w:rFonts w:ascii="Times New Roman" w:eastAsia="Times New Roman" w:hAnsi="Times New Roman"/>
                <w:sz w:val="16"/>
                <w:szCs w:val="20"/>
              </w:rPr>
              <w:t>KeyEvidenceNote</w:t>
            </w:r>
            <w:proofErr w:type="spellEnd"/>
          </w:p>
        </w:tc>
        <w:tc>
          <w:tcPr>
            <w:tcW w:w="5381" w:type="dxa"/>
            <w:tcBorders>
              <w:bottom w:val="single" w:sz="12" w:space="0" w:color="auto"/>
            </w:tcBorders>
            <w:shd w:val="clear" w:color="auto" w:fill="auto"/>
          </w:tcPr>
          <w:p w14:paraId="14175B93" w14:textId="77777777" w:rsidR="00387BA8" w:rsidRPr="00387BA8" w:rsidRDefault="00387BA8" w:rsidP="00387BA8">
            <w:pPr>
              <w:adjustRightInd w:val="0"/>
              <w:snapToGrid w:val="0"/>
              <w:rPr>
                <w:rFonts w:hint="eastAsia"/>
                <w:sz w:val="16"/>
                <w:szCs w:val="20"/>
              </w:rPr>
            </w:pPr>
            <w:r w:rsidRPr="00387BA8">
              <w:rPr>
                <w:rFonts w:ascii="Times New Roman" w:eastAsia="Times New Roman" w:hAnsi="Times New Roman"/>
                <w:sz w:val="16"/>
                <w:szCs w:val="20"/>
              </w:rPr>
              <w:t>Provides a concise note on the evidence contributed by the study.</w:t>
            </w:r>
          </w:p>
        </w:tc>
      </w:tr>
    </w:tbl>
    <w:p w14:paraId="3FE66A69" w14:textId="77777777" w:rsidR="00387BA8" w:rsidRPr="00387BA8" w:rsidRDefault="00387BA8" w:rsidP="00387BA8">
      <w:pPr>
        <w:ind w:firstLineChars="200" w:firstLine="420"/>
        <w:rPr>
          <w:rFonts w:ascii="Times New Roman" w:hAnsi="Times New Roman" w:cs="Times New Roman"/>
        </w:rPr>
      </w:pPr>
    </w:p>
    <w:p w14:paraId="589EAC5A" w14:textId="7EB969A1" w:rsidR="004E26E0" w:rsidRDefault="004E26E0">
      <w:pPr>
        <w:widowControl/>
        <w:jc w:val="left"/>
        <w:rPr>
          <w:rFonts w:ascii="Times New Roman" w:hAnsi="Times New Roman" w:cs="Times New Roman"/>
        </w:rPr>
      </w:pPr>
      <w:r>
        <w:rPr>
          <w:rFonts w:ascii="Times New Roman" w:hAnsi="Times New Roman" w:cs="Times New Roman"/>
        </w:rPr>
        <w:br w:type="page"/>
      </w:r>
    </w:p>
    <w:p w14:paraId="616BAB05" w14:textId="7480E558" w:rsidR="0097156C" w:rsidRDefault="0097156C" w:rsidP="0097156C">
      <w:pPr>
        <w:jc w:val="center"/>
        <w:rPr>
          <w:rFonts w:ascii="Times New Roman" w:hAnsi="Times New Roman" w:cs="Times New Roman"/>
          <w:b/>
          <w:color w:val="0070C0"/>
          <w:sz w:val="32"/>
          <w:szCs w:val="36"/>
        </w:rPr>
      </w:pPr>
      <w:r w:rsidRPr="006B5CE9">
        <w:rPr>
          <w:rFonts w:ascii="Times New Roman" w:hAnsi="Times New Roman" w:cs="Times New Roman"/>
          <w:b/>
          <w:color w:val="0070C0"/>
          <w:sz w:val="32"/>
          <w:szCs w:val="36"/>
        </w:rPr>
        <w:lastRenderedPageBreak/>
        <w:t>Supplementary Materials</w:t>
      </w:r>
      <w:r>
        <w:rPr>
          <w:rFonts w:ascii="Times New Roman" w:hAnsi="Times New Roman" w:cs="Times New Roman" w:hint="eastAsia"/>
          <w:b/>
          <w:color w:val="0070C0"/>
          <w:sz w:val="32"/>
          <w:szCs w:val="36"/>
        </w:rPr>
        <w:t xml:space="preserve"> II</w:t>
      </w:r>
    </w:p>
    <w:p w14:paraId="0EA3ABE8" w14:textId="4D044478" w:rsidR="0097156C" w:rsidRPr="0097156C" w:rsidRDefault="0097156C" w:rsidP="004E26E0">
      <w:pPr>
        <w:jc w:val="center"/>
        <w:rPr>
          <w:rFonts w:ascii="Times New Roman" w:hAnsi="Times New Roman" w:cs="Times New Roman"/>
          <w:b/>
          <w:color w:val="0070C0"/>
          <w:sz w:val="32"/>
          <w:szCs w:val="36"/>
        </w:rPr>
      </w:pPr>
      <w:r w:rsidRPr="0097156C">
        <w:rPr>
          <w:rFonts w:ascii="Times New Roman" w:hAnsi="Times New Roman" w:cs="Times New Roman" w:hint="eastAsia"/>
          <w:b/>
          <w:bCs/>
          <w:sz w:val="24"/>
          <w:szCs w:val="28"/>
        </w:rPr>
        <w:t>Extended evidence and analytical detail supporting the government</w:t>
      </w:r>
      <w:r w:rsidRPr="0097156C">
        <w:rPr>
          <w:rFonts w:ascii="Times New Roman" w:hAnsi="Times New Roman" w:cs="Times New Roman" w:hint="eastAsia"/>
          <w:b/>
          <w:bCs/>
          <w:sz w:val="24"/>
          <w:szCs w:val="28"/>
        </w:rPr>
        <w:t>–</w:t>
      </w:r>
      <w:r w:rsidRPr="0097156C">
        <w:rPr>
          <w:rFonts w:ascii="Times New Roman" w:hAnsi="Times New Roman" w:cs="Times New Roman" w:hint="eastAsia"/>
          <w:b/>
          <w:bCs/>
          <w:sz w:val="24"/>
          <w:szCs w:val="28"/>
        </w:rPr>
        <w:t>community</w:t>
      </w:r>
      <w:r w:rsidRPr="0097156C">
        <w:rPr>
          <w:rFonts w:ascii="Times New Roman" w:hAnsi="Times New Roman" w:cs="Times New Roman" w:hint="eastAsia"/>
          <w:b/>
          <w:bCs/>
          <w:sz w:val="24"/>
          <w:szCs w:val="28"/>
        </w:rPr>
        <w:t>–</w:t>
      </w:r>
      <w:r w:rsidRPr="0097156C">
        <w:rPr>
          <w:rFonts w:ascii="Times New Roman" w:hAnsi="Times New Roman" w:cs="Times New Roman" w:hint="eastAsia"/>
          <w:b/>
          <w:bCs/>
          <w:sz w:val="24"/>
          <w:szCs w:val="28"/>
        </w:rPr>
        <w:t>household synthesis</w:t>
      </w:r>
    </w:p>
    <w:p w14:paraId="7507EED8" w14:textId="77777777" w:rsidR="0097156C" w:rsidRDefault="0097156C" w:rsidP="0097156C">
      <w:pPr>
        <w:keepNext/>
        <w:spacing w:before="200" w:after="80"/>
        <w:rPr>
          <w:rFonts w:hint="eastAsia"/>
        </w:rPr>
      </w:pPr>
      <w:r>
        <w:rPr>
          <w:rFonts w:ascii="Times New Roman" w:hAnsi="Times New Roman"/>
          <w:b/>
          <w:sz w:val="24"/>
        </w:rPr>
        <w:t>S1. Theoretical positioning and analytical dimensions</w:t>
      </w:r>
    </w:p>
    <w:p w14:paraId="4C62CD2E" w14:textId="77777777" w:rsidR="0097156C" w:rsidRDefault="0097156C" w:rsidP="0097156C">
      <w:pPr>
        <w:spacing w:after="80" w:line="269" w:lineRule="auto"/>
        <w:ind w:firstLine="317"/>
        <w:rPr>
          <w:rFonts w:hint="eastAsia"/>
        </w:rPr>
      </w:pPr>
      <w:r>
        <w:rPr>
          <w:rFonts w:ascii="Times New Roman" w:hAnsi="Times New Roman"/>
          <w:sz w:val="22"/>
        </w:rPr>
        <w:t>The sustainable livelihood framework locates livelihood security in access to natural, human, physical, financial, and social capital (</w:t>
      </w:r>
      <w:r w:rsidRPr="0097156C">
        <w:rPr>
          <w:rFonts w:ascii="Times New Roman" w:hAnsi="Times New Roman"/>
          <w:color w:val="0070C0"/>
          <w:sz w:val="22"/>
        </w:rPr>
        <w:t>Chambers and Conway, 1992; DFID, 1999</w:t>
      </w:r>
      <w:r>
        <w:rPr>
          <w:rFonts w:ascii="Times New Roman" w:hAnsi="Times New Roman"/>
          <w:sz w:val="22"/>
        </w:rPr>
        <w:t>). Livelihood resilience research adds the capacities to absorb disturbance, organize collective action, and learn from change (</w:t>
      </w:r>
      <w:proofErr w:type="spellStart"/>
      <w:r w:rsidRPr="0097156C">
        <w:rPr>
          <w:rFonts w:ascii="Times New Roman" w:hAnsi="Times New Roman"/>
          <w:color w:val="0070C0"/>
          <w:sz w:val="22"/>
        </w:rPr>
        <w:t>Ifejika</w:t>
      </w:r>
      <w:proofErr w:type="spellEnd"/>
      <w:r w:rsidRPr="0097156C">
        <w:rPr>
          <w:rFonts w:ascii="Times New Roman" w:hAnsi="Times New Roman"/>
          <w:color w:val="0070C0"/>
          <w:sz w:val="22"/>
        </w:rPr>
        <w:t xml:space="preserve"> Speranza et al., 2014</w:t>
      </w:r>
      <w:r>
        <w:rPr>
          <w:rFonts w:ascii="Times New Roman" w:hAnsi="Times New Roman"/>
          <w:sz w:val="22"/>
        </w:rPr>
        <w:t>). RIMA operationalizes related capacities through assets, access to basic services, social safety nets, and adaptive capacity (</w:t>
      </w:r>
      <w:proofErr w:type="spellStart"/>
      <w:r w:rsidRPr="0097156C">
        <w:rPr>
          <w:rFonts w:ascii="Times New Roman" w:hAnsi="Times New Roman"/>
          <w:color w:val="0070C0"/>
          <w:sz w:val="22"/>
        </w:rPr>
        <w:t>Alinovi</w:t>
      </w:r>
      <w:proofErr w:type="spellEnd"/>
      <w:r w:rsidRPr="0097156C">
        <w:rPr>
          <w:rFonts w:ascii="Times New Roman" w:hAnsi="Times New Roman"/>
          <w:color w:val="0070C0"/>
          <w:sz w:val="22"/>
        </w:rPr>
        <w:t xml:space="preserve"> et al., 2008; FAO, 2016; FAO, 2022</w:t>
      </w:r>
      <w:r>
        <w:rPr>
          <w:rFonts w:ascii="Times New Roman" w:hAnsi="Times New Roman"/>
          <w:sz w:val="22"/>
        </w:rPr>
        <w:t>). These approaches establish the resource base and household capacities used in the review. The evidence also shows that assets have different resilience effects according to the institutions that regulate access, the actors that mediate support, and the choices available to households. The G–C–H synthesis addresses these relationships through four connected analytical dimensions.</w:t>
      </w:r>
    </w:p>
    <w:p w14:paraId="0566292B" w14:textId="77777777" w:rsidR="0097156C" w:rsidRDefault="0097156C" w:rsidP="0097156C">
      <w:pPr>
        <w:keepNext/>
        <w:spacing w:before="200" w:after="80"/>
        <w:rPr>
          <w:rFonts w:hint="eastAsia"/>
        </w:rPr>
      </w:pPr>
      <w:r>
        <w:rPr>
          <w:rFonts w:ascii="Times New Roman" w:hAnsi="Times New Roman"/>
          <w:b/>
          <w:sz w:val="24"/>
        </w:rPr>
        <w:t>S1.1 Institutions and governance arrangements</w:t>
      </w:r>
    </w:p>
    <w:p w14:paraId="3B4606BA" w14:textId="77777777" w:rsidR="0097156C" w:rsidRDefault="0097156C" w:rsidP="0097156C">
      <w:pPr>
        <w:spacing w:after="80" w:line="269" w:lineRule="auto"/>
        <w:ind w:firstLine="317"/>
        <w:rPr>
          <w:rFonts w:hint="eastAsia"/>
        </w:rPr>
      </w:pPr>
      <w:r>
        <w:rPr>
          <w:rFonts w:ascii="Times New Roman" w:hAnsi="Times New Roman"/>
          <w:sz w:val="22"/>
        </w:rPr>
        <w:t>Institutions determine who can use land, water, finance, information, public services, and collective resources. They also define the procedures through which claims are recognized and conflicts are managed. Local institutions can connect public programs with household adaptation, but they may also restrict access when rules are unclear or when households lack organizational and political resources (</w:t>
      </w:r>
      <w:r w:rsidRPr="0097156C">
        <w:rPr>
          <w:rFonts w:ascii="Times New Roman" w:hAnsi="Times New Roman"/>
          <w:color w:val="0070C0"/>
          <w:sz w:val="22"/>
        </w:rPr>
        <w:t>Agrawal et al., 2010</w:t>
      </w:r>
      <w:r>
        <w:rPr>
          <w:rFonts w:ascii="Times New Roman" w:hAnsi="Times New Roman"/>
          <w:sz w:val="22"/>
        </w:rPr>
        <w:t xml:space="preserve">). Evidence from </w:t>
      </w:r>
      <w:proofErr w:type="spellStart"/>
      <w:r>
        <w:rPr>
          <w:rFonts w:ascii="Times New Roman" w:hAnsi="Times New Roman"/>
          <w:sz w:val="22"/>
        </w:rPr>
        <w:t>agro</w:t>
      </w:r>
      <w:proofErr w:type="spellEnd"/>
      <w:r>
        <w:rPr>
          <w:rFonts w:ascii="Times New Roman" w:hAnsi="Times New Roman"/>
          <w:sz w:val="22"/>
        </w:rPr>
        <w:t>-pastoral areas of northwest China illustrates this dual role. Weather information, extension services, irrigation, and credit channels supported adaptation, yet their effects differed with household resources and institutional access (</w:t>
      </w:r>
      <w:r w:rsidRPr="0097156C">
        <w:rPr>
          <w:rFonts w:ascii="Times New Roman" w:hAnsi="Times New Roman"/>
          <w:color w:val="0070C0"/>
          <w:sz w:val="22"/>
        </w:rPr>
        <w:t>Xie et al., 2022</w:t>
      </w:r>
      <w:r>
        <w:rPr>
          <w:rFonts w:ascii="Times New Roman" w:hAnsi="Times New Roman"/>
          <w:sz w:val="22"/>
        </w:rPr>
        <w:t>). The relevant analytical question is therefore how formal programs, community rules, and household entitlements combine to make support usable. This focus moves beyond the amount of assistance provided and examines the institutional route through which assistance reaches different households.</w:t>
      </w:r>
    </w:p>
    <w:p w14:paraId="087CD894" w14:textId="77777777" w:rsidR="0097156C" w:rsidRDefault="0097156C" w:rsidP="0097156C">
      <w:pPr>
        <w:keepNext/>
        <w:spacing w:before="200" w:after="80"/>
        <w:rPr>
          <w:rFonts w:hint="eastAsia"/>
        </w:rPr>
      </w:pPr>
      <w:r>
        <w:rPr>
          <w:rFonts w:ascii="Times New Roman" w:hAnsi="Times New Roman"/>
          <w:b/>
          <w:sz w:val="24"/>
        </w:rPr>
        <w:t>S1.2 Power, politics, and equity</w:t>
      </w:r>
    </w:p>
    <w:p w14:paraId="388D526C" w14:textId="77777777" w:rsidR="0097156C" w:rsidRDefault="0097156C" w:rsidP="0097156C">
      <w:pPr>
        <w:spacing w:after="80" w:line="269" w:lineRule="auto"/>
        <w:ind w:firstLine="317"/>
        <w:rPr>
          <w:rFonts w:hint="eastAsia"/>
        </w:rPr>
      </w:pPr>
      <w:r>
        <w:rPr>
          <w:rFonts w:ascii="Times New Roman" w:hAnsi="Times New Roman"/>
          <w:sz w:val="22"/>
        </w:rPr>
        <w:t>Adaptation support is distributed through relations of authority, recognition, and bargaining. Households differ in their ability to influence local decisions, enter cooperatives, obtain subsidies, or make their knowledge visible. Power therefore shapes both the allocation of adaptation resources and the definition of legitimate needs (</w:t>
      </w:r>
      <w:r w:rsidRPr="0097156C">
        <w:rPr>
          <w:rFonts w:ascii="Times New Roman" w:hAnsi="Times New Roman"/>
          <w:color w:val="0070C0"/>
          <w:sz w:val="22"/>
        </w:rPr>
        <w:t>Nightingale, 2017</w:t>
      </w:r>
      <w:r>
        <w:rPr>
          <w:rFonts w:ascii="Times New Roman" w:hAnsi="Times New Roman"/>
          <w:sz w:val="22"/>
        </w:rPr>
        <w:t>). Research on access and allocation further shows that formal eligibility does not ensure equal benefit when decision procedures, social position, or control over information differ (</w:t>
      </w:r>
      <w:proofErr w:type="spellStart"/>
      <w:r w:rsidRPr="0097156C">
        <w:rPr>
          <w:rFonts w:ascii="Times New Roman" w:hAnsi="Times New Roman"/>
          <w:color w:val="0070C0"/>
          <w:sz w:val="22"/>
        </w:rPr>
        <w:t>Grecksch</w:t>
      </w:r>
      <w:proofErr w:type="spellEnd"/>
      <w:r w:rsidRPr="0097156C">
        <w:rPr>
          <w:rFonts w:ascii="Times New Roman" w:hAnsi="Times New Roman"/>
          <w:color w:val="0070C0"/>
          <w:sz w:val="22"/>
        </w:rPr>
        <w:t xml:space="preserve"> and </w:t>
      </w:r>
      <w:proofErr w:type="spellStart"/>
      <w:r w:rsidRPr="0097156C">
        <w:rPr>
          <w:rFonts w:ascii="Times New Roman" w:hAnsi="Times New Roman"/>
          <w:color w:val="0070C0"/>
          <w:sz w:val="22"/>
        </w:rPr>
        <w:t>Klöck</w:t>
      </w:r>
      <w:proofErr w:type="spellEnd"/>
      <w:r w:rsidRPr="0097156C">
        <w:rPr>
          <w:rFonts w:ascii="Times New Roman" w:hAnsi="Times New Roman"/>
          <w:color w:val="0070C0"/>
          <w:sz w:val="22"/>
        </w:rPr>
        <w:t>, 2020</w:t>
      </w:r>
      <w:r>
        <w:rPr>
          <w:rFonts w:ascii="Times New Roman" w:hAnsi="Times New Roman"/>
          <w:sz w:val="22"/>
        </w:rPr>
        <w:t xml:space="preserve">). In the G–C–H synthesis, equity concerns arise at each link: governments set program priorities and eligibility rules; community institutions interpret and allocate support; households participate with unequal resources and voice. Resilience gains must consequently </w:t>
      </w:r>
      <w:r>
        <w:rPr>
          <w:rFonts w:ascii="Times New Roman" w:hAnsi="Times New Roman"/>
          <w:sz w:val="22"/>
        </w:rPr>
        <w:lastRenderedPageBreak/>
        <w:t>be assessed together with their distribution, including which groups gain protection, which groups bear new costs, and whose preferences guide implementation.</w:t>
      </w:r>
    </w:p>
    <w:p w14:paraId="209FDCF7" w14:textId="77777777" w:rsidR="0097156C" w:rsidRDefault="0097156C" w:rsidP="0097156C">
      <w:pPr>
        <w:keepNext/>
        <w:spacing w:before="200" w:after="80"/>
        <w:rPr>
          <w:rFonts w:hint="eastAsia"/>
        </w:rPr>
      </w:pPr>
      <w:r>
        <w:rPr>
          <w:rFonts w:ascii="Times New Roman" w:hAnsi="Times New Roman"/>
          <w:b/>
          <w:sz w:val="24"/>
        </w:rPr>
        <w:t>S1.3 Multilevel and polycentric interaction</w:t>
      </w:r>
    </w:p>
    <w:p w14:paraId="2FECC081" w14:textId="77777777" w:rsidR="0097156C" w:rsidRDefault="0097156C" w:rsidP="0097156C">
      <w:pPr>
        <w:spacing w:after="80" w:line="269" w:lineRule="auto"/>
        <w:ind w:firstLine="317"/>
        <w:rPr>
          <w:rFonts w:hint="eastAsia"/>
        </w:rPr>
      </w:pPr>
      <w:r>
        <w:rPr>
          <w:rFonts w:ascii="Times New Roman" w:hAnsi="Times New Roman"/>
          <w:sz w:val="22"/>
        </w:rPr>
        <w:t>Climate-related livelihood risks cross administrative boundaries and policy sectors. Agricultural production, water allocation, disaster management, credit, markets, and social protection are often governed by different organizations. Multilevel governance research emphasizes the links among decisions made at household, community, local-government, and higher administrative levels. Polycentric research adds that several centers of authority can coordinate, experiment, and learn without being arranged in a single hierarchy (</w:t>
      </w:r>
      <w:proofErr w:type="spellStart"/>
      <w:r w:rsidRPr="0097156C">
        <w:rPr>
          <w:rFonts w:ascii="Times New Roman" w:hAnsi="Times New Roman"/>
          <w:color w:val="0070C0"/>
          <w:sz w:val="22"/>
        </w:rPr>
        <w:t>Dorsch</w:t>
      </w:r>
      <w:proofErr w:type="spellEnd"/>
      <w:r w:rsidRPr="0097156C">
        <w:rPr>
          <w:rFonts w:ascii="Times New Roman" w:hAnsi="Times New Roman"/>
          <w:color w:val="0070C0"/>
          <w:sz w:val="22"/>
        </w:rPr>
        <w:t xml:space="preserve"> and </w:t>
      </w:r>
      <w:proofErr w:type="spellStart"/>
      <w:r w:rsidRPr="0097156C">
        <w:rPr>
          <w:rFonts w:ascii="Times New Roman" w:hAnsi="Times New Roman"/>
          <w:color w:val="0070C0"/>
          <w:sz w:val="22"/>
        </w:rPr>
        <w:t>Flachsland</w:t>
      </w:r>
      <w:proofErr w:type="spellEnd"/>
      <w:r w:rsidRPr="0097156C">
        <w:rPr>
          <w:rFonts w:ascii="Times New Roman" w:hAnsi="Times New Roman"/>
          <w:color w:val="0070C0"/>
          <w:sz w:val="22"/>
        </w:rPr>
        <w:t>, 2017; Ostrom, 2010</w:t>
      </w:r>
      <w:r>
        <w:rPr>
          <w:rFonts w:ascii="Times New Roman" w:hAnsi="Times New Roman"/>
          <w:sz w:val="22"/>
        </w:rPr>
        <w:t>). These arrangements can widen access to knowledge and resources, but they can also fragment responsibility. Power remains important because actors occupy unequal positions within polycentric systems and do not have the same capacity to set agendas or transfer risk (</w:t>
      </w:r>
      <w:r w:rsidRPr="0097156C">
        <w:rPr>
          <w:rFonts w:ascii="Times New Roman" w:hAnsi="Times New Roman"/>
          <w:color w:val="0070C0"/>
          <w:sz w:val="22"/>
        </w:rPr>
        <w:t>Morrison et al., 2019</w:t>
      </w:r>
      <w:r>
        <w:rPr>
          <w:rFonts w:ascii="Times New Roman" w:hAnsi="Times New Roman"/>
          <w:sz w:val="22"/>
        </w:rPr>
        <w:t>). The G–C–H synthesis therefore traces both vertical coordination and horizontal interaction, together with the accountability relations that connect them.</w:t>
      </w:r>
    </w:p>
    <w:p w14:paraId="28A1E75C" w14:textId="77777777" w:rsidR="0097156C" w:rsidRDefault="0097156C" w:rsidP="0097156C">
      <w:pPr>
        <w:keepNext/>
        <w:spacing w:before="200" w:after="80"/>
        <w:rPr>
          <w:rFonts w:hint="eastAsia"/>
        </w:rPr>
      </w:pPr>
      <w:r>
        <w:rPr>
          <w:rFonts w:ascii="Times New Roman" w:hAnsi="Times New Roman"/>
          <w:b/>
          <w:sz w:val="24"/>
        </w:rPr>
        <w:t>S1.4 Dynamic feedback and unintended effects</w:t>
      </w:r>
    </w:p>
    <w:p w14:paraId="66358DBC" w14:textId="77777777" w:rsidR="0097156C" w:rsidRDefault="0097156C" w:rsidP="0097156C">
      <w:pPr>
        <w:spacing w:after="80" w:line="269" w:lineRule="auto"/>
        <w:ind w:firstLine="317"/>
        <w:rPr>
          <w:rFonts w:hint="eastAsia"/>
        </w:rPr>
      </w:pPr>
      <w:r>
        <w:rPr>
          <w:rFonts w:ascii="Times New Roman" w:hAnsi="Times New Roman"/>
          <w:sz w:val="22"/>
        </w:rPr>
        <w:t>Livelihood resilience changes as households respond to interventions and as institutions react to those responses. An intervention may initially increase income, reduce exposure, or improve service access, yet later create dependence, debt, ecological pressure, or exclusion. Maladaptation research shows that such effects often emerge when interventions shift vulnerability across groups, places, or time (</w:t>
      </w:r>
      <w:r w:rsidRPr="0097156C">
        <w:rPr>
          <w:rFonts w:ascii="Times New Roman" w:hAnsi="Times New Roman"/>
          <w:color w:val="0070C0"/>
          <w:sz w:val="22"/>
        </w:rPr>
        <w:t>Eriksen et al., 2021; Schipper, 2020</w:t>
      </w:r>
      <w:r>
        <w:rPr>
          <w:rFonts w:ascii="Times New Roman" w:hAnsi="Times New Roman"/>
          <w:sz w:val="22"/>
        </w:rPr>
        <w:t>). Resettlement research in the Yellow River floodplain similarly indicates that changes in location and public support can reshape livelihood options in ways that require analysis beyond immediate project outputs (</w:t>
      </w:r>
      <w:r w:rsidRPr="000C468E">
        <w:rPr>
          <w:rFonts w:ascii="Times New Roman" w:hAnsi="Times New Roman"/>
          <w:color w:val="0070C0"/>
          <w:sz w:val="22"/>
        </w:rPr>
        <w:t>Cheng and Sun, 2025</w:t>
      </w:r>
      <w:r>
        <w:rPr>
          <w:rFonts w:ascii="Times New Roman" w:hAnsi="Times New Roman"/>
          <w:sz w:val="22"/>
        </w:rPr>
        <w:t xml:space="preserve">). Feedback is therefore part of the resilience process. Household experience reveals whether support fits livelihood practice; community institutions aggregate or filter that experience; and governmental actors may retain, revise, or discontinue implementation arrangements. This recursive process links </w:t>
      </w:r>
      <w:proofErr w:type="gramStart"/>
      <w:r>
        <w:rPr>
          <w:rFonts w:ascii="Times New Roman" w:hAnsi="Times New Roman"/>
          <w:sz w:val="22"/>
        </w:rPr>
        <w:t>present</w:t>
      </w:r>
      <w:proofErr w:type="gramEnd"/>
      <w:r>
        <w:rPr>
          <w:rFonts w:ascii="Times New Roman" w:hAnsi="Times New Roman"/>
          <w:sz w:val="22"/>
        </w:rPr>
        <w:t xml:space="preserve"> outcomes with later governance adjustment.</w:t>
      </w:r>
    </w:p>
    <w:p w14:paraId="2F8B52EB" w14:textId="77777777" w:rsidR="0097156C" w:rsidRDefault="0097156C" w:rsidP="0097156C">
      <w:pPr>
        <w:spacing w:after="80" w:line="269" w:lineRule="auto"/>
        <w:ind w:firstLine="317"/>
        <w:rPr>
          <w:rFonts w:hint="eastAsia"/>
        </w:rPr>
      </w:pPr>
      <w:r>
        <w:rPr>
          <w:rFonts w:ascii="Times New Roman" w:hAnsi="Times New Roman"/>
          <w:sz w:val="22"/>
        </w:rPr>
        <w:t>Taken together, the four dimensions explain why similar assets or policy inputs can produce different resilience outcomes. Institutions organize access; power influences whose needs and knowledge count; multilevel interaction links resources and authority across scales; and feedback changes subsequent decisions. Within the G–C–H framework, these dimensions are examined through the sequence of government support, community mediation, and household response, while allowing influence to move in both directions. They provide the analytical basis for interpreting the governance configurations in Section S2 and the five resilience pathways in Section S3.</w:t>
      </w:r>
    </w:p>
    <w:p w14:paraId="156EE2CE" w14:textId="77777777" w:rsidR="0097156C" w:rsidRDefault="0097156C" w:rsidP="0097156C">
      <w:pPr>
        <w:keepNext/>
        <w:spacing w:before="200" w:after="80"/>
        <w:rPr>
          <w:rFonts w:hint="eastAsia"/>
        </w:rPr>
      </w:pPr>
      <w:r>
        <w:rPr>
          <w:rFonts w:ascii="Times New Roman" w:hAnsi="Times New Roman"/>
          <w:b/>
          <w:sz w:val="24"/>
        </w:rPr>
        <w:lastRenderedPageBreak/>
        <w:t>S2. Governance configurations and cross-scale coordination</w:t>
      </w:r>
    </w:p>
    <w:p w14:paraId="59FFBA9F" w14:textId="77777777" w:rsidR="0097156C" w:rsidRDefault="0097156C" w:rsidP="0097156C">
      <w:pPr>
        <w:spacing w:after="80" w:line="269" w:lineRule="auto"/>
        <w:ind w:firstLine="317"/>
        <w:rPr>
          <w:rFonts w:hint="eastAsia"/>
        </w:rPr>
      </w:pPr>
      <w:r>
        <w:rPr>
          <w:rFonts w:ascii="Times New Roman" w:hAnsi="Times New Roman"/>
          <w:sz w:val="22"/>
        </w:rPr>
        <w:t>The Chinese evidence identifies a governance configuration that connects vertical governmental coordination, horizontal sectoral support, community mediation, and household response. These elements operate through different institutions but meet in local implementation. Public agencies mobilize resources and set program rules. Sectoral organizations provide specialized services. Community institutions coordinate access and interpret requirements. Households then decide whether and how to use the available support. The resilience effect depends on the connections among these elements rather than on any single intervention.</w:t>
      </w:r>
    </w:p>
    <w:p w14:paraId="42A75209" w14:textId="77777777" w:rsidR="0097156C" w:rsidRDefault="0097156C" w:rsidP="0097156C">
      <w:pPr>
        <w:keepNext/>
        <w:spacing w:before="200" w:after="80"/>
        <w:rPr>
          <w:rFonts w:hint="eastAsia"/>
        </w:rPr>
      </w:pPr>
      <w:r>
        <w:rPr>
          <w:rFonts w:ascii="Times New Roman" w:hAnsi="Times New Roman"/>
          <w:b/>
          <w:sz w:val="24"/>
        </w:rPr>
        <w:t>S2.1 Vertical governmental coordination</w:t>
      </w:r>
    </w:p>
    <w:p w14:paraId="2802E8CE" w14:textId="77777777" w:rsidR="0097156C" w:rsidRDefault="0097156C" w:rsidP="0097156C">
      <w:pPr>
        <w:spacing w:after="80" w:line="269" w:lineRule="auto"/>
        <w:ind w:firstLine="317"/>
        <w:rPr>
          <w:rFonts w:hint="eastAsia"/>
        </w:rPr>
      </w:pPr>
      <w:r>
        <w:rPr>
          <w:rFonts w:ascii="Times New Roman" w:hAnsi="Times New Roman"/>
          <w:sz w:val="22"/>
        </w:rPr>
        <w:t>Central policy priorities concerning agriculture, poverty reduction, rural development, and ecological protection are commonly implemented through provincial, county, township, and village-level structures. Targeted Poverty Alleviation combined vocational education, village-based assistance, microfinance, relocation, e-commerce, tourism, photovoltaic development, entrepreneurship, and enterprise participation (</w:t>
      </w:r>
      <w:r w:rsidRPr="000C468E">
        <w:rPr>
          <w:rFonts w:ascii="Times New Roman" w:hAnsi="Times New Roman"/>
          <w:color w:val="0070C0"/>
          <w:sz w:val="22"/>
        </w:rPr>
        <w:t>Cui et al., 2023</w:t>
      </w:r>
      <w:r>
        <w:rPr>
          <w:rFonts w:ascii="Times New Roman" w:hAnsi="Times New Roman"/>
          <w:sz w:val="22"/>
        </w:rPr>
        <w:t>). Its implementation relied on organizational coordination and administrative mobilization across levels of government (</w:t>
      </w:r>
      <w:r w:rsidRPr="000C468E">
        <w:rPr>
          <w:rFonts w:ascii="Times New Roman" w:hAnsi="Times New Roman"/>
          <w:color w:val="0070C0"/>
          <w:sz w:val="22"/>
        </w:rPr>
        <w:t>Liu and Wang, 2024</w:t>
      </w:r>
      <w:r>
        <w:rPr>
          <w:rFonts w:ascii="Times New Roman" w:hAnsi="Times New Roman"/>
          <w:sz w:val="22"/>
        </w:rPr>
        <w:t>). Although these measures were not designed solely as climate adaptation, they changed access to infrastructure, services, finance, and employment. They therefore altered the conditions under which households could absorb climate-related losses and adjust livelihood strategies. Vertical coordination can increase coverage and delivery speed, but its resilience value depends on whether higher-level priorities leave sufficient room for local diagnosis and adjustment.</w:t>
      </w:r>
    </w:p>
    <w:p w14:paraId="12A9EFE5" w14:textId="77777777" w:rsidR="0097156C" w:rsidRDefault="0097156C" w:rsidP="0097156C">
      <w:pPr>
        <w:keepNext/>
        <w:spacing w:before="200" w:after="80"/>
        <w:rPr>
          <w:rFonts w:hint="eastAsia"/>
        </w:rPr>
      </w:pPr>
      <w:r>
        <w:rPr>
          <w:rFonts w:ascii="Times New Roman" w:hAnsi="Times New Roman"/>
          <w:b/>
          <w:sz w:val="24"/>
        </w:rPr>
        <w:t>S2.2 Horizontal sectoral support</w:t>
      </w:r>
    </w:p>
    <w:p w14:paraId="1C64DB7E" w14:textId="77777777" w:rsidR="0097156C" w:rsidRDefault="0097156C" w:rsidP="0097156C">
      <w:pPr>
        <w:spacing w:after="80" w:line="269" w:lineRule="auto"/>
        <w:ind w:firstLine="317"/>
        <w:rPr>
          <w:rFonts w:hint="eastAsia"/>
        </w:rPr>
      </w:pPr>
      <w:r>
        <w:rPr>
          <w:rFonts w:ascii="Times New Roman" w:hAnsi="Times New Roman"/>
          <w:sz w:val="22"/>
        </w:rPr>
        <w:t>Climate-related livelihood risks involve agriculture, water, animal health, meteorological services, finance, markets, and technical learning. On the Tibetan Plateau, government interventions included subsidies, insurance, improved seeds, credit, infrastructure, cooperatives, and skills training (</w:t>
      </w:r>
      <w:r w:rsidRPr="000C468E">
        <w:rPr>
          <w:rFonts w:ascii="Times New Roman" w:hAnsi="Times New Roman"/>
          <w:color w:val="0070C0"/>
          <w:sz w:val="22"/>
        </w:rPr>
        <w:t>He et al., 2022a</w:t>
      </w:r>
      <w:r>
        <w:rPr>
          <w:rFonts w:ascii="Times New Roman" w:hAnsi="Times New Roman"/>
          <w:sz w:val="22"/>
        </w:rPr>
        <w:t>). Each instrument addressed a specific constraint, but households often needed several forms of support at the same time. The adoption of improved crop varieties provides a clear example. Government promotion, cooperative diffusion, and market channels interacted with local implementation capacity, technical support, information quality, and farmers' ability to assess performance (</w:t>
      </w:r>
      <w:r w:rsidRPr="000C468E">
        <w:rPr>
          <w:rFonts w:ascii="Times New Roman" w:hAnsi="Times New Roman"/>
          <w:color w:val="0070C0"/>
          <w:sz w:val="22"/>
        </w:rPr>
        <w:t>Mao et al., 2025</w:t>
      </w:r>
      <w:r>
        <w:rPr>
          <w:rFonts w:ascii="Times New Roman" w:hAnsi="Times New Roman"/>
          <w:sz w:val="22"/>
        </w:rPr>
        <w:t>). Horizontal coordination therefore affects whether specialized services form a usable package or remain fragmented. It also determines whether risks created in one sector, such as debt or water demand, are recognized by agencies working in another.</w:t>
      </w:r>
    </w:p>
    <w:p w14:paraId="64452632" w14:textId="77777777" w:rsidR="0097156C" w:rsidRDefault="0097156C" w:rsidP="0097156C">
      <w:pPr>
        <w:keepNext/>
        <w:spacing w:before="200" w:after="80"/>
        <w:rPr>
          <w:rFonts w:hint="eastAsia"/>
        </w:rPr>
      </w:pPr>
      <w:r>
        <w:rPr>
          <w:rFonts w:ascii="Times New Roman" w:hAnsi="Times New Roman"/>
          <w:b/>
          <w:sz w:val="24"/>
        </w:rPr>
        <w:t>S2.3 Community mediation</w:t>
      </w:r>
    </w:p>
    <w:p w14:paraId="4BD7398F" w14:textId="77777777" w:rsidR="0097156C" w:rsidRDefault="0097156C" w:rsidP="0097156C">
      <w:pPr>
        <w:spacing w:after="80" w:line="269" w:lineRule="auto"/>
        <w:ind w:firstLine="317"/>
        <w:rPr>
          <w:rFonts w:hint="eastAsia"/>
        </w:rPr>
      </w:pPr>
      <w:r>
        <w:rPr>
          <w:rFonts w:ascii="Times New Roman" w:hAnsi="Times New Roman"/>
          <w:sz w:val="22"/>
        </w:rPr>
        <w:t xml:space="preserve">Village committees, cooperatives, water-user associations, customary institutions, and informal networks connect formal support with local practice. They communicate program </w:t>
      </w:r>
      <w:r>
        <w:rPr>
          <w:rFonts w:ascii="Times New Roman" w:hAnsi="Times New Roman"/>
          <w:sz w:val="22"/>
        </w:rPr>
        <w:lastRenderedPageBreak/>
        <w:t>information, coordinate participation, organize shared resources, and negotiate rules. In Inner Mongolia, water-user associations were promoted to improve irrigation management, reduce disputes, and increase farmers' participation in water allocation (</w:t>
      </w:r>
      <w:proofErr w:type="spellStart"/>
      <w:r w:rsidRPr="000C468E">
        <w:rPr>
          <w:rFonts w:ascii="Times New Roman" w:hAnsi="Times New Roman"/>
          <w:color w:val="0070C0"/>
          <w:sz w:val="22"/>
        </w:rPr>
        <w:t>Qiao</w:t>
      </w:r>
      <w:proofErr w:type="spellEnd"/>
      <w:r w:rsidRPr="000C468E">
        <w:rPr>
          <w:rFonts w:ascii="Times New Roman" w:hAnsi="Times New Roman"/>
          <w:color w:val="0070C0"/>
          <w:sz w:val="22"/>
        </w:rPr>
        <w:t xml:space="preserve"> et al., 2009</w:t>
      </w:r>
      <w:r>
        <w:rPr>
          <w:rFonts w:ascii="Times New Roman" w:hAnsi="Times New Roman"/>
          <w:sz w:val="22"/>
        </w:rPr>
        <w:t>). Evidence from pastoral China shows that cooperatives and joint management can reduce overgrazing when participation barriers are limited and decision procedures are fair (</w:t>
      </w:r>
      <w:r w:rsidRPr="000C468E">
        <w:rPr>
          <w:rFonts w:ascii="Times New Roman" w:hAnsi="Times New Roman"/>
          <w:color w:val="0070C0"/>
          <w:sz w:val="22"/>
        </w:rPr>
        <w:t>Wu et al., 2025</w:t>
      </w:r>
      <w:r>
        <w:rPr>
          <w:rFonts w:ascii="Times New Roman" w:hAnsi="Times New Roman"/>
          <w:sz w:val="22"/>
        </w:rPr>
        <w:t>). Social capital also supports household preparedness and community disaster mitigation (</w:t>
      </w:r>
      <w:r w:rsidRPr="000C468E">
        <w:rPr>
          <w:rFonts w:ascii="Times New Roman" w:hAnsi="Times New Roman"/>
          <w:color w:val="0070C0"/>
          <w:sz w:val="22"/>
        </w:rPr>
        <w:t>Ai and Zhang, 2025</w:t>
      </w:r>
      <w:r>
        <w:rPr>
          <w:rFonts w:ascii="Times New Roman" w:hAnsi="Times New Roman"/>
          <w:sz w:val="22"/>
        </w:rPr>
        <w:t>). These cases show that community mediation adds local knowledge, trust, and coordination to public delivery. Its effects nevertheless depend on representation and accountability because the same institutions can filter information or allocate benefits selectively.</w:t>
      </w:r>
    </w:p>
    <w:p w14:paraId="1AC80449" w14:textId="77777777" w:rsidR="0097156C" w:rsidRDefault="0097156C" w:rsidP="0097156C">
      <w:pPr>
        <w:keepNext/>
        <w:spacing w:before="200" w:after="80"/>
        <w:rPr>
          <w:rFonts w:hint="eastAsia"/>
        </w:rPr>
      </w:pPr>
      <w:r>
        <w:rPr>
          <w:rFonts w:ascii="Times New Roman" w:hAnsi="Times New Roman"/>
          <w:b/>
          <w:sz w:val="24"/>
        </w:rPr>
        <w:t>S2.4 Household response and cross-scale adjustment</w:t>
      </w:r>
    </w:p>
    <w:p w14:paraId="06591620" w14:textId="77777777" w:rsidR="0097156C" w:rsidRDefault="0097156C" w:rsidP="0097156C">
      <w:pPr>
        <w:spacing w:after="80" w:line="269" w:lineRule="auto"/>
        <w:ind w:firstLine="317"/>
        <w:rPr>
          <w:rFonts w:hint="eastAsia"/>
        </w:rPr>
      </w:pPr>
      <w:r>
        <w:rPr>
          <w:rFonts w:ascii="Times New Roman" w:hAnsi="Times New Roman"/>
          <w:sz w:val="22"/>
        </w:rPr>
        <w:t>Households convert support into practice through selective uptake, modification, delay, or non-adoption. Government interventions on the Tibetan Plateau influenced climate perceptions, livelihood capital, and adaptation strategies, but effects varied with household access and resources (</w:t>
      </w:r>
      <w:r w:rsidRPr="000C468E">
        <w:rPr>
          <w:rFonts w:ascii="Times New Roman" w:hAnsi="Times New Roman"/>
          <w:color w:val="0070C0"/>
          <w:sz w:val="22"/>
        </w:rPr>
        <w:t>He et al., 2022b</w:t>
      </w:r>
      <w:r>
        <w:rPr>
          <w:rFonts w:ascii="Times New Roman" w:hAnsi="Times New Roman"/>
          <w:sz w:val="22"/>
        </w:rPr>
        <w:t>). Non-adoption may indicate limited affordability, weak technical fit, labor constraints, or disagreement with program rules. State-promoted drip irrigation in the Loess Plateau was abandoned in some villages because it conflicted with livelihood strategies, risk-management practices, and local institutions (</w:t>
      </w:r>
      <w:r w:rsidRPr="000C468E">
        <w:rPr>
          <w:rFonts w:ascii="Times New Roman" w:hAnsi="Times New Roman"/>
          <w:color w:val="0070C0"/>
          <w:sz w:val="22"/>
        </w:rPr>
        <w:t>Burnham and Ma, 2018</w:t>
      </w:r>
      <w:r>
        <w:rPr>
          <w:rFonts w:ascii="Times New Roman" w:hAnsi="Times New Roman"/>
          <w:sz w:val="22"/>
        </w:rPr>
        <w:t>). Household response thus supplies information about implementation quality. When community institutions can aggregate this experience and public agencies can revise delivery, household response becomes part of cross-scale adjustment. When those links are weak, mismatch appears as low uptake without generating policy learning.</w:t>
      </w:r>
    </w:p>
    <w:p w14:paraId="22B2868B" w14:textId="77777777" w:rsidR="0097156C" w:rsidRDefault="0097156C" w:rsidP="0097156C">
      <w:pPr>
        <w:spacing w:after="80" w:line="269" w:lineRule="auto"/>
        <w:ind w:firstLine="317"/>
        <w:rPr>
          <w:rFonts w:hint="eastAsia"/>
        </w:rPr>
      </w:pPr>
      <w:r>
        <w:rPr>
          <w:rFonts w:ascii="Times New Roman" w:hAnsi="Times New Roman"/>
          <w:sz w:val="22"/>
        </w:rPr>
        <w:t>The distribution of support is an additional coordination issue. Community-level allocation can improve local targeting, but political relations may influence access to rural welfare benefits (</w:t>
      </w:r>
      <w:r w:rsidRPr="000C468E">
        <w:rPr>
          <w:rFonts w:ascii="Times New Roman" w:hAnsi="Times New Roman"/>
          <w:color w:val="0070C0"/>
          <w:sz w:val="22"/>
        </w:rPr>
        <w:t>Han and Gao, 2019</w:t>
      </w:r>
      <w:r>
        <w:rPr>
          <w:rFonts w:ascii="Times New Roman" w:hAnsi="Times New Roman"/>
          <w:sz w:val="22"/>
        </w:rPr>
        <w:t>). Cross-scale coordination therefore involves more than moving resources downward. It requires compatible objectives across sectors, transparent local allocation, channels for household feedback, and authority to revise implementation. These conditions determine whether the four elements operate as a connected governance configuration or as separate interventions with uneven household effects.</w:t>
      </w:r>
    </w:p>
    <w:p w14:paraId="35E04FD3" w14:textId="77777777" w:rsidR="0097156C" w:rsidRDefault="0097156C" w:rsidP="0097156C">
      <w:pPr>
        <w:keepNext/>
        <w:spacing w:before="200" w:after="80"/>
        <w:rPr>
          <w:rFonts w:hint="eastAsia"/>
        </w:rPr>
      </w:pPr>
      <w:r>
        <w:rPr>
          <w:rFonts w:ascii="Times New Roman" w:hAnsi="Times New Roman"/>
          <w:b/>
          <w:sz w:val="24"/>
        </w:rPr>
        <w:t>S3. Evidence across the five resilience dimensions</w:t>
      </w:r>
    </w:p>
    <w:p w14:paraId="79631682" w14:textId="77777777" w:rsidR="0097156C" w:rsidRDefault="0097156C" w:rsidP="0097156C">
      <w:pPr>
        <w:spacing w:after="80" w:line="269" w:lineRule="auto"/>
        <w:ind w:firstLine="317"/>
        <w:rPr>
          <w:rFonts w:hint="eastAsia"/>
        </w:rPr>
      </w:pPr>
      <w:r>
        <w:rPr>
          <w:rFonts w:ascii="Times New Roman" w:hAnsi="Times New Roman"/>
          <w:sz w:val="22"/>
        </w:rPr>
        <w:t>The five dimensions describe linked processes through which governance affects household livelihood resilience. Government support changes available information, resources, services, and institutional options. Community mediation shapes their accessibility and local meaning. Household response determines whether these inputs strengthen preparedness, buffering, strategy adjustment, self-organization, and learning. Each dimension contains enabling and constraining mechanisms, and changes in one dimension can affect the others.</w:t>
      </w:r>
    </w:p>
    <w:p w14:paraId="696376A8" w14:textId="77777777" w:rsidR="0097156C" w:rsidRDefault="0097156C" w:rsidP="0097156C">
      <w:pPr>
        <w:keepNext/>
        <w:spacing w:before="200" w:after="80"/>
        <w:rPr>
          <w:rFonts w:hint="eastAsia"/>
        </w:rPr>
      </w:pPr>
      <w:r>
        <w:rPr>
          <w:rFonts w:ascii="Times New Roman" w:hAnsi="Times New Roman"/>
          <w:b/>
          <w:sz w:val="24"/>
        </w:rPr>
        <w:lastRenderedPageBreak/>
        <w:t>S3.1 Risk perception and preparedness</w:t>
      </w:r>
    </w:p>
    <w:p w14:paraId="27CBE792" w14:textId="77777777" w:rsidR="0097156C" w:rsidRDefault="0097156C" w:rsidP="0097156C">
      <w:pPr>
        <w:spacing w:after="80" w:line="269" w:lineRule="auto"/>
        <w:ind w:firstLine="317"/>
        <w:rPr>
          <w:rFonts w:hint="eastAsia"/>
        </w:rPr>
      </w:pPr>
      <w:r>
        <w:rPr>
          <w:rFonts w:ascii="Times New Roman" w:hAnsi="Times New Roman"/>
          <w:sz w:val="22"/>
        </w:rPr>
        <w:t>Risk perception links climate information with anticipatory action. Rural households act on interpreted threats rather than on exposure alone. Research in China shows that perceived climate risk and perceived adaptive capacity influence proactive adaptation (</w:t>
      </w:r>
      <w:r w:rsidRPr="000C468E">
        <w:rPr>
          <w:rFonts w:ascii="Times New Roman" w:hAnsi="Times New Roman"/>
          <w:color w:val="0070C0"/>
          <w:sz w:val="22"/>
        </w:rPr>
        <w:t xml:space="preserve">Zheng and </w:t>
      </w:r>
      <w:proofErr w:type="spellStart"/>
      <w:r w:rsidRPr="000C468E">
        <w:rPr>
          <w:rFonts w:ascii="Times New Roman" w:hAnsi="Times New Roman"/>
          <w:color w:val="0070C0"/>
          <w:sz w:val="22"/>
        </w:rPr>
        <w:t>Dallimer</w:t>
      </w:r>
      <w:proofErr w:type="spellEnd"/>
      <w:r w:rsidRPr="000C468E">
        <w:rPr>
          <w:rFonts w:ascii="Times New Roman" w:hAnsi="Times New Roman"/>
          <w:color w:val="0070C0"/>
          <w:sz w:val="22"/>
        </w:rPr>
        <w:t>, 2016</w:t>
      </w:r>
      <w:r>
        <w:rPr>
          <w:rFonts w:ascii="Times New Roman" w:hAnsi="Times New Roman"/>
          <w:sz w:val="22"/>
        </w:rPr>
        <w:t>). Review evidence also links farmers' perceptions with observed climate data, information access, and adaptive capacity (</w:t>
      </w:r>
      <w:proofErr w:type="spellStart"/>
      <w:r w:rsidRPr="000C468E">
        <w:rPr>
          <w:rFonts w:ascii="Times New Roman" w:hAnsi="Times New Roman"/>
          <w:color w:val="0070C0"/>
          <w:sz w:val="22"/>
        </w:rPr>
        <w:t>Ricart</w:t>
      </w:r>
      <w:proofErr w:type="spellEnd"/>
      <w:r w:rsidRPr="000C468E">
        <w:rPr>
          <w:rFonts w:ascii="Times New Roman" w:hAnsi="Times New Roman"/>
          <w:color w:val="0070C0"/>
          <w:sz w:val="22"/>
        </w:rPr>
        <w:t xml:space="preserve"> et al., 2022</w:t>
      </w:r>
      <w:r>
        <w:rPr>
          <w:rFonts w:ascii="Times New Roman" w:hAnsi="Times New Roman"/>
          <w:sz w:val="22"/>
        </w:rPr>
        <w:t>). Public early-warning and prevention information in the North China Plain supported adjustments in sowing and harvesting dates, irrigation, reseeding, and drought-resistant varieties (</w:t>
      </w:r>
      <w:r w:rsidRPr="000C468E">
        <w:rPr>
          <w:rFonts w:ascii="Times New Roman" w:hAnsi="Times New Roman"/>
          <w:color w:val="0070C0"/>
          <w:sz w:val="22"/>
        </w:rPr>
        <w:t>Wang et al., 2015</w:t>
      </w:r>
      <w:r>
        <w:rPr>
          <w:rFonts w:ascii="Times New Roman" w:hAnsi="Times New Roman"/>
          <w:sz w:val="22"/>
        </w:rPr>
        <w:t>). On the Tibetan Plateau, training, insurance, infrastructure, improved seeds, credit, and cooperative support also influenced climate perceptions and adaptation choices (</w:t>
      </w:r>
      <w:r w:rsidRPr="000C468E">
        <w:rPr>
          <w:rFonts w:ascii="Times New Roman" w:hAnsi="Times New Roman"/>
          <w:color w:val="0070C0"/>
          <w:sz w:val="22"/>
        </w:rPr>
        <w:t>He et al., 2022b</w:t>
      </w:r>
      <w:r>
        <w:rPr>
          <w:rFonts w:ascii="Times New Roman" w:hAnsi="Times New Roman"/>
          <w:sz w:val="22"/>
        </w:rPr>
        <w:t>). These findings connect information provision with practical preparedness rather than treating awareness as an outcome by itself.</w:t>
      </w:r>
    </w:p>
    <w:p w14:paraId="547F8C07" w14:textId="77777777" w:rsidR="0097156C" w:rsidRDefault="0097156C" w:rsidP="0097156C">
      <w:pPr>
        <w:spacing w:after="80" w:line="269" w:lineRule="auto"/>
        <w:ind w:firstLine="317"/>
        <w:rPr>
          <w:rFonts w:hint="eastAsia"/>
        </w:rPr>
      </w:pPr>
      <w:r>
        <w:rPr>
          <w:rFonts w:ascii="Times New Roman" w:hAnsi="Times New Roman"/>
          <w:sz w:val="22"/>
        </w:rPr>
        <w:t>Community networks determine whether formal information is timely, understandable, and trusted. Social capital is associated with both household disaster preparedness and participation in community mitigation, indicating that local communication links individual and collective response (</w:t>
      </w:r>
      <w:r w:rsidRPr="000C468E">
        <w:rPr>
          <w:rFonts w:ascii="Times New Roman" w:hAnsi="Times New Roman"/>
          <w:color w:val="0070C0"/>
          <w:sz w:val="22"/>
        </w:rPr>
        <w:t>Ai and Zhang, 2025</w:t>
      </w:r>
      <w:r>
        <w:rPr>
          <w:rFonts w:ascii="Times New Roman" w:hAnsi="Times New Roman"/>
          <w:sz w:val="22"/>
        </w:rPr>
        <w:t>). Perception nevertheless does not ensure action. Weak extension access, limited information-seeking capacity, socioeconomic constraints, and sociocultural barriers can prevent households from using information (</w:t>
      </w:r>
      <w:proofErr w:type="spellStart"/>
      <w:r w:rsidRPr="000C468E">
        <w:rPr>
          <w:rFonts w:ascii="Times New Roman" w:hAnsi="Times New Roman"/>
          <w:color w:val="0070C0"/>
          <w:sz w:val="22"/>
        </w:rPr>
        <w:t>Kibue</w:t>
      </w:r>
      <w:proofErr w:type="spellEnd"/>
      <w:r w:rsidRPr="000C468E">
        <w:rPr>
          <w:rFonts w:ascii="Times New Roman" w:hAnsi="Times New Roman"/>
          <w:color w:val="0070C0"/>
          <w:sz w:val="22"/>
        </w:rPr>
        <w:t xml:space="preserve"> et al., 2016</w:t>
      </w:r>
      <w:r>
        <w:rPr>
          <w:rFonts w:ascii="Times New Roman" w:hAnsi="Times New Roman"/>
          <w:sz w:val="22"/>
        </w:rPr>
        <w:t>). Weather services, irrigation, loans, and extension also have differentiated effects because households vary in resources and institutional access (</w:t>
      </w:r>
      <w:r w:rsidRPr="000C468E">
        <w:rPr>
          <w:rFonts w:ascii="Times New Roman" w:hAnsi="Times New Roman"/>
          <w:color w:val="0070C0"/>
          <w:sz w:val="22"/>
        </w:rPr>
        <w:t>Xie et al., 2022</w:t>
      </w:r>
      <w:r>
        <w:rPr>
          <w:rFonts w:ascii="Times New Roman" w:hAnsi="Times New Roman"/>
          <w:sz w:val="22"/>
        </w:rPr>
        <w:t>). Preparedness therefore depends on a complete pathway from warning and interpretation to an affordable and feasible response.</w:t>
      </w:r>
    </w:p>
    <w:p w14:paraId="3C2BC707" w14:textId="77777777" w:rsidR="0097156C" w:rsidRDefault="0097156C" w:rsidP="0097156C">
      <w:pPr>
        <w:keepNext/>
        <w:spacing w:before="200" w:after="80"/>
        <w:rPr>
          <w:rFonts w:hint="eastAsia"/>
        </w:rPr>
      </w:pPr>
      <w:r>
        <w:rPr>
          <w:rFonts w:ascii="Times New Roman" w:hAnsi="Times New Roman"/>
          <w:b/>
          <w:sz w:val="24"/>
        </w:rPr>
        <w:t>S3.2 Buffer capacity and livelihood capital</w:t>
      </w:r>
    </w:p>
    <w:p w14:paraId="767F3341" w14:textId="77777777" w:rsidR="0097156C" w:rsidRDefault="0097156C" w:rsidP="0097156C">
      <w:pPr>
        <w:spacing w:after="80" w:line="269" w:lineRule="auto"/>
        <w:ind w:firstLine="317"/>
        <w:rPr>
          <w:rFonts w:hint="eastAsia"/>
        </w:rPr>
      </w:pPr>
      <w:r>
        <w:rPr>
          <w:rFonts w:ascii="Times New Roman" w:hAnsi="Times New Roman"/>
          <w:sz w:val="22"/>
        </w:rPr>
        <w:t>Buffer capacity is the ability to prevent climatic and socioeconomic disturbances from becoming severe livelihood losses. Natural, physical, financial, human, and social capital provide the resources used during coping and recovery. Studies in rural China link livelihood assets and site conditions with household resilience and adaptation choices (</w:t>
      </w:r>
      <w:proofErr w:type="spellStart"/>
      <w:r w:rsidRPr="000C468E">
        <w:rPr>
          <w:rFonts w:ascii="Times New Roman" w:hAnsi="Times New Roman"/>
          <w:color w:val="0070C0"/>
          <w:sz w:val="22"/>
        </w:rPr>
        <w:t>Kuang</w:t>
      </w:r>
      <w:proofErr w:type="spellEnd"/>
      <w:r w:rsidRPr="000C468E">
        <w:rPr>
          <w:rFonts w:ascii="Times New Roman" w:hAnsi="Times New Roman"/>
          <w:color w:val="0070C0"/>
          <w:sz w:val="22"/>
        </w:rPr>
        <w:t xml:space="preserve"> et al., 2020; Tang et al., 2023</w:t>
      </w:r>
      <w:r>
        <w:rPr>
          <w:rFonts w:ascii="Times New Roman" w:hAnsi="Times New Roman"/>
          <w:sz w:val="22"/>
        </w:rPr>
        <w:t>). Public infrastructure, insurance, water access, relocation support, and basic services can protect assets or make them available during shocks. Agricultural insurance subsidies can support food-security and poverty-alleviation objectives (</w:t>
      </w:r>
      <w:r w:rsidRPr="000C468E">
        <w:rPr>
          <w:rFonts w:ascii="Times New Roman" w:hAnsi="Times New Roman"/>
          <w:color w:val="0070C0"/>
          <w:sz w:val="22"/>
        </w:rPr>
        <w:t>Kong et al., 2021</w:t>
      </w:r>
      <w:r>
        <w:rPr>
          <w:rFonts w:ascii="Times New Roman" w:hAnsi="Times New Roman"/>
          <w:sz w:val="22"/>
        </w:rPr>
        <w:t>), while climate-related relocation can change access to several forms of livelihood capital (</w:t>
      </w:r>
      <w:r w:rsidRPr="000C468E">
        <w:rPr>
          <w:rFonts w:ascii="Times New Roman" w:hAnsi="Times New Roman"/>
          <w:color w:val="0070C0"/>
          <w:sz w:val="22"/>
        </w:rPr>
        <w:t>Wu et al., 2022</w:t>
      </w:r>
      <w:r>
        <w:rPr>
          <w:rFonts w:ascii="Times New Roman" w:hAnsi="Times New Roman"/>
          <w:sz w:val="22"/>
        </w:rPr>
        <w:t>). Government support thus affects both the stock of capital and the mechanisms through which households mobilize it.</w:t>
      </w:r>
    </w:p>
    <w:p w14:paraId="08DE2B0B" w14:textId="77777777" w:rsidR="0097156C" w:rsidRDefault="0097156C" w:rsidP="0097156C">
      <w:pPr>
        <w:spacing w:after="80" w:line="269" w:lineRule="auto"/>
        <w:ind w:firstLine="317"/>
        <w:rPr>
          <w:rFonts w:hint="eastAsia"/>
        </w:rPr>
      </w:pPr>
      <w:r>
        <w:rPr>
          <w:rFonts w:ascii="Times New Roman" w:hAnsi="Times New Roman"/>
          <w:sz w:val="22"/>
        </w:rPr>
        <w:t>Community institutions organize access to shared water, services, information, and mutual support. Cooperatives can build social capital and improve the capacity of smallholders to address climate-related challenges (</w:t>
      </w:r>
      <w:proofErr w:type="spellStart"/>
      <w:r w:rsidRPr="000C468E">
        <w:rPr>
          <w:rFonts w:ascii="Times New Roman" w:hAnsi="Times New Roman"/>
          <w:color w:val="0070C0"/>
          <w:sz w:val="22"/>
        </w:rPr>
        <w:t>Kopytko</w:t>
      </w:r>
      <w:proofErr w:type="spellEnd"/>
      <w:r w:rsidRPr="000C468E">
        <w:rPr>
          <w:rFonts w:ascii="Times New Roman" w:hAnsi="Times New Roman"/>
          <w:color w:val="0070C0"/>
          <w:sz w:val="22"/>
        </w:rPr>
        <w:t>, 2018</w:t>
      </w:r>
      <w:r>
        <w:rPr>
          <w:rFonts w:ascii="Times New Roman" w:hAnsi="Times New Roman"/>
          <w:sz w:val="22"/>
        </w:rPr>
        <w:t>). Yet additional capital does not produce uniform resilience. Irrigation may reduce vulnerability while unequal access generates different livelihood outcomes (</w:t>
      </w:r>
      <w:r w:rsidRPr="000C468E">
        <w:rPr>
          <w:rFonts w:ascii="Times New Roman" w:hAnsi="Times New Roman"/>
          <w:color w:val="0070C0"/>
          <w:sz w:val="22"/>
        </w:rPr>
        <w:t>Arifah et al., 2022</w:t>
      </w:r>
      <w:r>
        <w:rPr>
          <w:rFonts w:ascii="Times New Roman" w:hAnsi="Times New Roman"/>
          <w:sz w:val="22"/>
        </w:rPr>
        <w:t xml:space="preserve">). Financial inclusion can ease immediate constraints but may also encourage debt, ecological pressure, or dependence on external markets under </w:t>
      </w:r>
      <w:r>
        <w:rPr>
          <w:rFonts w:ascii="Times New Roman" w:hAnsi="Times New Roman"/>
          <w:sz w:val="22"/>
        </w:rPr>
        <w:lastRenderedPageBreak/>
        <w:t>unfavorable conditions (</w:t>
      </w:r>
      <w:r w:rsidRPr="000C468E">
        <w:rPr>
          <w:rFonts w:ascii="Times New Roman" w:hAnsi="Times New Roman"/>
          <w:color w:val="0070C0"/>
          <w:sz w:val="22"/>
        </w:rPr>
        <w:t>Li et al., 2021a</w:t>
      </w:r>
      <w:r>
        <w:rPr>
          <w:rFonts w:ascii="Times New Roman" w:hAnsi="Times New Roman"/>
          <w:sz w:val="22"/>
        </w:rPr>
        <w:t>). Buffer capacity is therefore an institutionally mediated ability to combine resources at the time they are needed. Its assessment requires attention to access, control, convertibility, and the future obligations attached to support.</w:t>
      </w:r>
    </w:p>
    <w:p w14:paraId="4E260429" w14:textId="77777777" w:rsidR="0097156C" w:rsidRDefault="0097156C" w:rsidP="0097156C">
      <w:pPr>
        <w:keepNext/>
        <w:spacing w:before="200" w:after="80"/>
        <w:rPr>
          <w:rFonts w:hint="eastAsia"/>
        </w:rPr>
      </w:pPr>
      <w:r>
        <w:rPr>
          <w:rFonts w:ascii="Times New Roman" w:hAnsi="Times New Roman"/>
          <w:b/>
          <w:sz w:val="24"/>
        </w:rPr>
        <w:t>S3.3 Livelihood strategy adjustment</w:t>
      </w:r>
    </w:p>
    <w:p w14:paraId="237A7775" w14:textId="77777777" w:rsidR="0097156C" w:rsidRDefault="0097156C" w:rsidP="0097156C">
      <w:pPr>
        <w:spacing w:after="80" w:line="269" w:lineRule="auto"/>
        <w:ind w:firstLine="317"/>
        <w:rPr>
          <w:rFonts w:hint="eastAsia"/>
        </w:rPr>
      </w:pPr>
      <w:r>
        <w:rPr>
          <w:rFonts w:ascii="Times New Roman" w:hAnsi="Times New Roman"/>
          <w:sz w:val="22"/>
        </w:rPr>
        <w:t>Livelihood strategy adjustment covers changes in production, labor allocation, income sources, resource use, and risk management. Household resilience influences the capacity to diversify, intensify, or transform livelihood activities (</w:t>
      </w:r>
      <w:r w:rsidRPr="000C468E">
        <w:rPr>
          <w:rFonts w:ascii="Times New Roman" w:hAnsi="Times New Roman"/>
          <w:color w:val="0070C0"/>
          <w:sz w:val="22"/>
        </w:rPr>
        <w:t>Liu et al., 2020a</w:t>
      </w:r>
      <w:r>
        <w:rPr>
          <w:rFonts w:ascii="Times New Roman" w:hAnsi="Times New Roman"/>
          <w:sz w:val="22"/>
        </w:rPr>
        <w:t>). Policy measures alter the feasibility of these strategies through credit, training, infrastructure, subsidies, and institutional support (</w:t>
      </w:r>
      <w:r w:rsidRPr="000C468E">
        <w:rPr>
          <w:rFonts w:ascii="Times New Roman" w:hAnsi="Times New Roman"/>
          <w:color w:val="0070C0"/>
          <w:sz w:val="22"/>
        </w:rPr>
        <w:t>Liu et al., 2024</w:t>
      </w:r>
      <w:r>
        <w:rPr>
          <w:rFonts w:ascii="Times New Roman" w:hAnsi="Times New Roman"/>
          <w:sz w:val="22"/>
        </w:rPr>
        <w:t>). In the Guanzhong Region, policy support, cooperative membership, and agricultural training influenced adaptive behaviors (</w:t>
      </w:r>
      <w:r w:rsidRPr="000C468E">
        <w:rPr>
          <w:rFonts w:ascii="Times New Roman" w:hAnsi="Times New Roman"/>
          <w:color w:val="0070C0"/>
          <w:sz w:val="22"/>
        </w:rPr>
        <w:t>Song and Zhu, 2025</w:t>
      </w:r>
      <w:r>
        <w:rPr>
          <w:rFonts w:ascii="Times New Roman" w:hAnsi="Times New Roman"/>
          <w:sz w:val="22"/>
        </w:rPr>
        <w:t>). Evidence from the Tibetan Plateau also shows that policy design can reshape crop-diversification decisions, but effects vary with labor and household resources (</w:t>
      </w:r>
      <w:r w:rsidRPr="000C468E">
        <w:rPr>
          <w:rFonts w:ascii="Times New Roman" w:hAnsi="Times New Roman"/>
          <w:color w:val="0070C0"/>
          <w:sz w:val="22"/>
        </w:rPr>
        <w:t>Zhang et al., 2024</w:t>
      </w:r>
      <w:r>
        <w:rPr>
          <w:rFonts w:ascii="Times New Roman" w:hAnsi="Times New Roman"/>
          <w:sz w:val="22"/>
        </w:rPr>
        <w:t>). Public support therefore changes the set of strategies available to households as well as their relative costs and expected returns.</w:t>
      </w:r>
    </w:p>
    <w:p w14:paraId="2C457FD3" w14:textId="77777777" w:rsidR="0097156C" w:rsidRDefault="0097156C" w:rsidP="0097156C">
      <w:pPr>
        <w:spacing w:after="80" w:line="269" w:lineRule="auto"/>
        <w:ind w:firstLine="317"/>
        <w:rPr>
          <w:rFonts w:hint="eastAsia"/>
        </w:rPr>
      </w:pPr>
      <w:r>
        <w:rPr>
          <w:rFonts w:ascii="Times New Roman" w:hAnsi="Times New Roman"/>
          <w:sz w:val="22"/>
        </w:rPr>
        <w:t xml:space="preserve">Community organizations and social networks help households assess new opportunities, coordinate production, and enter markets. Household constraints remain decisive. In the </w:t>
      </w:r>
      <w:proofErr w:type="spellStart"/>
      <w:r>
        <w:rPr>
          <w:rFonts w:ascii="Times New Roman" w:hAnsi="Times New Roman"/>
          <w:sz w:val="22"/>
        </w:rPr>
        <w:t>Hehuang</w:t>
      </w:r>
      <w:proofErr w:type="spellEnd"/>
      <w:r>
        <w:rPr>
          <w:rFonts w:ascii="Times New Roman" w:hAnsi="Times New Roman"/>
          <w:sz w:val="22"/>
        </w:rPr>
        <w:t xml:space="preserve"> Valley, labor migration changed both vulnerability and the capacity to adopt crop diversification (</w:t>
      </w:r>
      <w:r w:rsidRPr="000C468E">
        <w:rPr>
          <w:rFonts w:ascii="Times New Roman" w:hAnsi="Times New Roman"/>
          <w:color w:val="0070C0"/>
          <w:sz w:val="22"/>
        </w:rPr>
        <w:t>Zhang et al., 2022</w:t>
      </w:r>
      <w:r>
        <w:rPr>
          <w:rFonts w:ascii="Times New Roman" w:hAnsi="Times New Roman"/>
          <w:sz w:val="22"/>
        </w:rPr>
        <w:t>). Socio-cognitive factors also influence whether perceived risks lead to adaptation in Southwest China (</w:t>
      </w:r>
      <w:r w:rsidRPr="000C468E">
        <w:rPr>
          <w:rFonts w:ascii="Times New Roman" w:hAnsi="Times New Roman"/>
          <w:color w:val="0070C0"/>
          <w:sz w:val="22"/>
        </w:rPr>
        <w:t>Jin et al., 2021</w:t>
      </w:r>
      <w:r>
        <w:rPr>
          <w:rFonts w:ascii="Times New Roman" w:hAnsi="Times New Roman"/>
          <w:sz w:val="22"/>
        </w:rPr>
        <w:t>). Follow-up support for relocated households can improve livelihood adaptation, but its effects depend on risk perception and local development conditions (</w:t>
      </w:r>
      <w:r w:rsidRPr="000C468E">
        <w:rPr>
          <w:rFonts w:ascii="Times New Roman" w:hAnsi="Times New Roman"/>
          <w:color w:val="0070C0"/>
          <w:sz w:val="22"/>
        </w:rPr>
        <w:t>Yang et al., 2024</w:t>
      </w:r>
      <w:r>
        <w:rPr>
          <w:rFonts w:ascii="Times New Roman" w:hAnsi="Times New Roman"/>
          <w:sz w:val="22"/>
        </w:rPr>
        <w:t>). A strategy strengthens resilience when it increases flexibility and remains viable as climate, market, and policy conditions change. Adjustments sustained only by subsidies, debt, or a single promoted sector may reduce short-term pressure while narrowing later options.</w:t>
      </w:r>
    </w:p>
    <w:p w14:paraId="01457D99" w14:textId="77777777" w:rsidR="0097156C" w:rsidRDefault="0097156C" w:rsidP="0097156C">
      <w:pPr>
        <w:keepNext/>
        <w:spacing w:before="200" w:after="80"/>
        <w:rPr>
          <w:rFonts w:hint="eastAsia"/>
        </w:rPr>
      </w:pPr>
      <w:r>
        <w:rPr>
          <w:rFonts w:ascii="Times New Roman" w:hAnsi="Times New Roman"/>
          <w:b/>
          <w:sz w:val="24"/>
        </w:rPr>
        <w:t>S3.4 Self-organization capacity</w:t>
      </w:r>
    </w:p>
    <w:p w14:paraId="61F0160B" w14:textId="77777777" w:rsidR="0097156C" w:rsidRDefault="0097156C" w:rsidP="0097156C">
      <w:pPr>
        <w:spacing w:after="80" w:line="269" w:lineRule="auto"/>
        <w:ind w:firstLine="317"/>
        <w:rPr>
          <w:rFonts w:hint="eastAsia"/>
        </w:rPr>
      </w:pPr>
      <w:r>
        <w:rPr>
          <w:rFonts w:ascii="Times New Roman" w:hAnsi="Times New Roman"/>
          <w:sz w:val="22"/>
        </w:rPr>
        <w:t>Self-organization capacity is the ability to coordinate action, maintain collective rules, and mobilize shared resources. External programs can create incentives and institutional space for cooperation, while local organizations determine how participation occurs. Research on grassland governance in China shows that collective arrangements and locally adapted institutions can support sustainable management when they are connected to practical rules and participation (</w:t>
      </w:r>
      <w:r w:rsidRPr="000C468E">
        <w:rPr>
          <w:rFonts w:ascii="Times New Roman" w:hAnsi="Times New Roman"/>
          <w:color w:val="0070C0"/>
          <w:sz w:val="22"/>
        </w:rPr>
        <w:t>Yu et al., 2025</w:t>
      </w:r>
      <w:r>
        <w:rPr>
          <w:rFonts w:ascii="Times New Roman" w:hAnsi="Times New Roman"/>
          <w:sz w:val="22"/>
        </w:rPr>
        <w:t>). Social networks also mediate the relationship between ecological interventions, livelihood decisions, and resilience, although out-migration can weaken their structure and function (</w:t>
      </w:r>
      <w:r w:rsidRPr="000C468E">
        <w:rPr>
          <w:rFonts w:ascii="Times New Roman" w:hAnsi="Times New Roman"/>
          <w:color w:val="0070C0"/>
          <w:sz w:val="22"/>
        </w:rPr>
        <w:t>Wang et al., 2021</w:t>
      </w:r>
      <w:r>
        <w:rPr>
          <w:rFonts w:ascii="Times New Roman" w:hAnsi="Times New Roman"/>
          <w:sz w:val="22"/>
        </w:rPr>
        <w:t>). Self-organization is therefore produced through the interaction of public support, local institutions, and household participation rather than through community cohesion alone.</w:t>
      </w:r>
    </w:p>
    <w:p w14:paraId="528A9E6E" w14:textId="77777777" w:rsidR="0097156C" w:rsidRDefault="0097156C" w:rsidP="0097156C">
      <w:pPr>
        <w:spacing w:after="80" w:line="269" w:lineRule="auto"/>
        <w:ind w:firstLine="317"/>
        <w:rPr>
          <w:rFonts w:hint="eastAsia"/>
        </w:rPr>
      </w:pPr>
      <w:r>
        <w:rPr>
          <w:rFonts w:ascii="Times New Roman" w:hAnsi="Times New Roman"/>
          <w:sz w:val="22"/>
        </w:rPr>
        <w:t>Community leadership and collective institutions can coordinate irrigation, resource use, and disaster response. In rice-dominated communities of the North China Plain, collective irrigation regimes and local leadership supported responses to precipitation variability (</w:t>
      </w:r>
      <w:r w:rsidRPr="000C468E">
        <w:rPr>
          <w:rFonts w:ascii="Times New Roman" w:hAnsi="Times New Roman"/>
          <w:color w:val="0070C0"/>
          <w:sz w:val="22"/>
        </w:rPr>
        <w:t xml:space="preserve">Zhou et </w:t>
      </w:r>
      <w:r w:rsidRPr="000C468E">
        <w:rPr>
          <w:rFonts w:ascii="Times New Roman" w:hAnsi="Times New Roman"/>
          <w:color w:val="0070C0"/>
          <w:sz w:val="22"/>
        </w:rPr>
        <w:lastRenderedPageBreak/>
        <w:t>al., 2015</w:t>
      </w:r>
      <w:r>
        <w:rPr>
          <w:rFonts w:ascii="Times New Roman" w:hAnsi="Times New Roman"/>
          <w:sz w:val="22"/>
        </w:rPr>
        <w:t>). In disaster-prone border regions, collective action was shaped by disaster experience, risk perception, social learning, and government–community collaboration (</w:t>
      </w:r>
      <w:r w:rsidRPr="000C468E">
        <w:rPr>
          <w:rFonts w:ascii="Times New Roman" w:hAnsi="Times New Roman"/>
          <w:color w:val="0070C0"/>
          <w:sz w:val="22"/>
        </w:rPr>
        <w:t>Su et al., 2025</w:t>
      </w:r>
      <w:r>
        <w:rPr>
          <w:rFonts w:ascii="Times New Roman" w:hAnsi="Times New Roman"/>
          <w:sz w:val="22"/>
        </w:rPr>
        <w:t>). The benefits of collective action depend on who can participate and influence rules. Out-migration, weak trust, unequal voice, or selective access can reduce the reach of organization. Self-organization contributes to resilience when collective arrangements remain usable under stress and provide accountable channels for households with different resources and positions.</w:t>
      </w:r>
    </w:p>
    <w:p w14:paraId="2AECBF9F" w14:textId="77777777" w:rsidR="0097156C" w:rsidRDefault="0097156C" w:rsidP="0097156C">
      <w:pPr>
        <w:keepNext/>
        <w:spacing w:before="200" w:after="80"/>
        <w:rPr>
          <w:rFonts w:hint="eastAsia"/>
        </w:rPr>
      </w:pPr>
      <w:r>
        <w:rPr>
          <w:rFonts w:ascii="Times New Roman" w:hAnsi="Times New Roman"/>
          <w:b/>
          <w:sz w:val="24"/>
        </w:rPr>
        <w:t>S3.5 Learning capacity</w:t>
      </w:r>
    </w:p>
    <w:p w14:paraId="5780128C" w14:textId="77777777" w:rsidR="0097156C" w:rsidRDefault="0097156C" w:rsidP="0097156C">
      <w:pPr>
        <w:spacing w:after="80" w:line="269" w:lineRule="auto"/>
        <w:ind w:firstLine="317"/>
        <w:rPr>
          <w:rFonts w:hint="eastAsia"/>
        </w:rPr>
      </w:pPr>
      <w:r>
        <w:rPr>
          <w:rFonts w:ascii="Times New Roman" w:hAnsi="Times New Roman"/>
          <w:sz w:val="22"/>
        </w:rPr>
        <w:t>Learning capacity is the ability to acquire, interpret, exchange, and apply knowledge as risks and livelihood conditions change. Public extension, training, and information services can enlarge the knowledge available to households. In payment for ecosystem services programs, resilience depended on material support as well as skills and the capacity to adjust livelihood practice (</w:t>
      </w:r>
      <w:r w:rsidRPr="000C468E">
        <w:rPr>
          <w:rFonts w:ascii="Times New Roman" w:hAnsi="Times New Roman"/>
          <w:color w:val="0070C0"/>
          <w:sz w:val="22"/>
        </w:rPr>
        <w:t>Li and Zander, 2020</w:t>
      </w:r>
      <w:r>
        <w:rPr>
          <w:rFonts w:ascii="Times New Roman" w:hAnsi="Times New Roman"/>
          <w:sz w:val="22"/>
        </w:rPr>
        <w:t>). In rice-production systems of the Yangtze River Basin, climate perceptions, extension training, farmer-to-farmer exchange, and communication access supported the adoption of low-carbon agricultural technologies (</w:t>
      </w:r>
      <w:r w:rsidRPr="000C468E">
        <w:rPr>
          <w:rFonts w:ascii="Times New Roman" w:hAnsi="Times New Roman"/>
          <w:color w:val="0070C0"/>
          <w:sz w:val="22"/>
        </w:rPr>
        <w:t>Li et al., 2021b</w:t>
      </w:r>
      <w:r>
        <w:rPr>
          <w:rFonts w:ascii="Times New Roman" w:hAnsi="Times New Roman"/>
          <w:sz w:val="22"/>
        </w:rPr>
        <w:t>). Formal knowledge contributes to resilience when households can connect it with concrete decisions, test it under local conditions, and revise practice in response to results.</w:t>
      </w:r>
    </w:p>
    <w:p w14:paraId="67547241" w14:textId="77777777" w:rsidR="0097156C" w:rsidRDefault="0097156C" w:rsidP="0097156C">
      <w:pPr>
        <w:spacing w:after="80" w:line="269" w:lineRule="auto"/>
        <w:ind w:firstLine="317"/>
        <w:rPr>
          <w:rFonts w:hint="eastAsia"/>
        </w:rPr>
      </w:pPr>
      <w:r>
        <w:rPr>
          <w:rFonts w:ascii="Times New Roman" w:hAnsi="Times New Roman"/>
          <w:sz w:val="22"/>
        </w:rPr>
        <w:t xml:space="preserve">Community networks filter external information through trust, local experience, and shared practice. In the </w:t>
      </w:r>
      <w:proofErr w:type="spellStart"/>
      <w:r>
        <w:rPr>
          <w:rFonts w:ascii="Times New Roman" w:hAnsi="Times New Roman"/>
          <w:sz w:val="22"/>
        </w:rPr>
        <w:t>Lancang</w:t>
      </w:r>
      <w:proofErr w:type="spellEnd"/>
      <w:r>
        <w:rPr>
          <w:rFonts w:ascii="Times New Roman" w:hAnsi="Times New Roman"/>
          <w:sz w:val="22"/>
        </w:rPr>
        <w:t xml:space="preserve"> River Basin, bonding social capital supported adaptation decisions, whereas limited bridging ties restricted access to wider knowledge and resources (</w:t>
      </w:r>
      <w:r w:rsidRPr="000C468E">
        <w:rPr>
          <w:rFonts w:ascii="Times New Roman" w:hAnsi="Times New Roman"/>
          <w:color w:val="0070C0"/>
          <w:sz w:val="22"/>
        </w:rPr>
        <w:t>Gong et al., 2018</w:t>
      </w:r>
      <w:r>
        <w:rPr>
          <w:rFonts w:ascii="Times New Roman" w:hAnsi="Times New Roman"/>
          <w:sz w:val="22"/>
        </w:rPr>
        <w:t>). Farmers in rural Chengdu combined traditional knowledge with modern tools and information technologies in responding to climate change and urbanization (</w:t>
      </w:r>
      <w:r w:rsidRPr="000C468E">
        <w:rPr>
          <w:rFonts w:ascii="Times New Roman" w:hAnsi="Times New Roman"/>
          <w:color w:val="0070C0"/>
          <w:sz w:val="22"/>
        </w:rPr>
        <w:t>Zhong et al., 2022</w:t>
      </w:r>
      <w:r>
        <w:rPr>
          <w:rFonts w:ascii="Times New Roman" w:hAnsi="Times New Roman"/>
          <w:sz w:val="22"/>
        </w:rPr>
        <w:t>). Learning is therefore distributed across government services, community exchange, and household experimentation. Its effect is uneven when formal advice does not fit local conditions, communication channels exclude some groups, or experience is not fed back into program design. Learning capacity is strongest when these three sources of knowledge remain connected.</w:t>
      </w:r>
    </w:p>
    <w:p w14:paraId="2DB008F2" w14:textId="4A48275F" w:rsidR="0097156C" w:rsidRDefault="0097156C" w:rsidP="0097156C">
      <w:pPr>
        <w:keepNext/>
        <w:spacing w:before="120" w:after="60"/>
        <w:jc w:val="center"/>
        <w:rPr>
          <w:rFonts w:hint="eastAsia"/>
        </w:rPr>
      </w:pPr>
      <w:r>
        <w:rPr>
          <w:rFonts w:ascii="Times New Roman" w:hAnsi="Times New Roman"/>
          <w:b/>
          <w:sz w:val="22"/>
        </w:rPr>
        <w:t>Table S</w:t>
      </w:r>
      <w:r w:rsidR="0062112F">
        <w:rPr>
          <w:rFonts w:ascii="Times New Roman" w:hAnsi="Times New Roman" w:hint="eastAsia"/>
          <w:b/>
          <w:sz w:val="22"/>
        </w:rPr>
        <w:t>5</w:t>
      </w:r>
      <w:r>
        <w:rPr>
          <w:rFonts w:ascii="Times New Roman" w:hAnsi="Times New Roman"/>
          <w:b/>
          <w:sz w:val="22"/>
        </w:rPr>
        <w:t>. Evidence matrix across the five resilience dimensions</w:t>
      </w:r>
    </w:p>
    <w:tbl>
      <w:tblPr>
        <w:tblStyle w:val="af2"/>
        <w:tblW w:w="8309"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2"/>
        <w:gridCol w:w="2808"/>
        <w:gridCol w:w="2520"/>
        <w:gridCol w:w="1469"/>
      </w:tblGrid>
      <w:tr w:rsidR="0097156C" w14:paraId="2328A00B" w14:textId="77777777" w:rsidTr="000C468E">
        <w:trPr>
          <w:tblHeader/>
        </w:trPr>
        <w:tc>
          <w:tcPr>
            <w:tcW w:w="1512"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555403E1" w14:textId="77777777" w:rsidR="0097156C" w:rsidRDefault="0097156C" w:rsidP="000C468E">
            <w:pPr>
              <w:adjustRightInd w:val="0"/>
              <w:snapToGrid w:val="0"/>
              <w:jc w:val="left"/>
              <w:rPr>
                <w:rFonts w:hint="eastAsia"/>
              </w:rPr>
            </w:pPr>
            <w:r>
              <w:rPr>
                <w:rFonts w:ascii="Times New Roman" w:hAnsi="Times New Roman"/>
                <w:b/>
                <w:sz w:val="16"/>
              </w:rPr>
              <w:t>Dimension</w:t>
            </w:r>
          </w:p>
        </w:tc>
        <w:tc>
          <w:tcPr>
            <w:tcW w:w="2808"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1325B205" w14:textId="77777777" w:rsidR="0097156C" w:rsidRDefault="0097156C" w:rsidP="000C468E">
            <w:pPr>
              <w:adjustRightInd w:val="0"/>
              <w:snapToGrid w:val="0"/>
              <w:jc w:val="left"/>
              <w:rPr>
                <w:rFonts w:hint="eastAsia"/>
              </w:rPr>
            </w:pPr>
            <w:r>
              <w:rPr>
                <w:rFonts w:ascii="Times New Roman" w:hAnsi="Times New Roman"/>
                <w:b/>
                <w:sz w:val="16"/>
              </w:rPr>
              <w:t>G–C–H pathway</w:t>
            </w:r>
          </w:p>
        </w:tc>
        <w:tc>
          <w:tcPr>
            <w:tcW w:w="2520"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282B3725" w14:textId="77777777" w:rsidR="0097156C" w:rsidRDefault="0097156C" w:rsidP="000C468E">
            <w:pPr>
              <w:adjustRightInd w:val="0"/>
              <w:snapToGrid w:val="0"/>
              <w:jc w:val="left"/>
              <w:rPr>
                <w:rFonts w:hint="eastAsia"/>
              </w:rPr>
            </w:pPr>
            <w:r>
              <w:rPr>
                <w:rFonts w:ascii="Times New Roman" w:hAnsi="Times New Roman"/>
                <w:b/>
                <w:sz w:val="16"/>
              </w:rPr>
              <w:t>Resilience contribution and constraints</w:t>
            </w:r>
          </w:p>
        </w:tc>
        <w:tc>
          <w:tcPr>
            <w:tcW w:w="1469"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1CEF4B4E" w14:textId="77777777" w:rsidR="0097156C" w:rsidRDefault="0097156C" w:rsidP="000C468E">
            <w:pPr>
              <w:adjustRightInd w:val="0"/>
              <w:snapToGrid w:val="0"/>
              <w:jc w:val="left"/>
              <w:rPr>
                <w:rFonts w:hint="eastAsia"/>
              </w:rPr>
            </w:pPr>
            <w:r>
              <w:rPr>
                <w:rFonts w:ascii="Times New Roman" w:hAnsi="Times New Roman"/>
                <w:b/>
                <w:sz w:val="16"/>
              </w:rPr>
              <w:t>Representative evidence</w:t>
            </w:r>
          </w:p>
        </w:tc>
      </w:tr>
      <w:tr w:rsidR="0097156C" w14:paraId="4423C407" w14:textId="77777777" w:rsidTr="000C468E">
        <w:trPr>
          <w:cantSplit/>
        </w:trPr>
        <w:tc>
          <w:tcPr>
            <w:tcW w:w="1512" w:type="dxa"/>
            <w:tcBorders>
              <w:top w:val="single" w:sz="4" w:space="0" w:color="auto"/>
            </w:tcBorders>
            <w:shd w:val="clear" w:color="auto" w:fill="auto"/>
            <w:tcMar>
              <w:top w:w="80" w:type="dxa"/>
              <w:left w:w="90" w:type="dxa"/>
              <w:bottom w:w="80" w:type="dxa"/>
              <w:right w:w="90" w:type="dxa"/>
            </w:tcMar>
            <w:vAlign w:val="center"/>
          </w:tcPr>
          <w:p w14:paraId="68907C04" w14:textId="77777777" w:rsidR="0097156C" w:rsidRDefault="0097156C" w:rsidP="000C468E">
            <w:pPr>
              <w:adjustRightInd w:val="0"/>
              <w:snapToGrid w:val="0"/>
              <w:jc w:val="left"/>
              <w:rPr>
                <w:rFonts w:hint="eastAsia"/>
              </w:rPr>
            </w:pPr>
            <w:r>
              <w:rPr>
                <w:rFonts w:ascii="Times New Roman" w:hAnsi="Times New Roman"/>
                <w:b/>
                <w:sz w:val="16"/>
              </w:rPr>
              <w:t>Risk perception and preparedness</w:t>
            </w:r>
          </w:p>
        </w:tc>
        <w:tc>
          <w:tcPr>
            <w:tcW w:w="2808" w:type="dxa"/>
            <w:tcBorders>
              <w:top w:val="single" w:sz="4" w:space="0" w:color="auto"/>
            </w:tcBorders>
            <w:shd w:val="clear" w:color="auto" w:fill="auto"/>
            <w:tcMar>
              <w:top w:w="80" w:type="dxa"/>
              <w:left w:w="90" w:type="dxa"/>
              <w:bottom w:w="80" w:type="dxa"/>
              <w:right w:w="90" w:type="dxa"/>
            </w:tcMar>
            <w:vAlign w:val="center"/>
          </w:tcPr>
          <w:p w14:paraId="09F2A43C" w14:textId="77777777" w:rsidR="0097156C" w:rsidRDefault="0097156C" w:rsidP="000C468E">
            <w:pPr>
              <w:adjustRightInd w:val="0"/>
              <w:snapToGrid w:val="0"/>
              <w:jc w:val="left"/>
              <w:rPr>
                <w:rFonts w:hint="eastAsia"/>
              </w:rPr>
            </w:pPr>
            <w:r>
              <w:rPr>
                <w:rFonts w:ascii="Times New Roman" w:hAnsi="Times New Roman"/>
                <w:sz w:val="16"/>
              </w:rPr>
              <w:t>Government provides warnings, climate information, training, and technical guidance. Communities translate information through local knowledge, communication, and trust. Households interpret risk and select feasible anticipatory actions.</w:t>
            </w:r>
          </w:p>
        </w:tc>
        <w:tc>
          <w:tcPr>
            <w:tcW w:w="2520" w:type="dxa"/>
            <w:tcBorders>
              <w:top w:val="single" w:sz="4" w:space="0" w:color="auto"/>
            </w:tcBorders>
            <w:shd w:val="clear" w:color="auto" w:fill="auto"/>
            <w:tcMar>
              <w:top w:w="80" w:type="dxa"/>
              <w:left w:w="90" w:type="dxa"/>
              <w:bottom w:w="80" w:type="dxa"/>
              <w:right w:w="90" w:type="dxa"/>
            </w:tcMar>
            <w:vAlign w:val="center"/>
          </w:tcPr>
          <w:p w14:paraId="3C935229" w14:textId="77777777" w:rsidR="0097156C" w:rsidRDefault="0097156C" w:rsidP="000C468E">
            <w:pPr>
              <w:adjustRightInd w:val="0"/>
              <w:snapToGrid w:val="0"/>
              <w:jc w:val="left"/>
              <w:rPr>
                <w:rFonts w:hint="eastAsia"/>
              </w:rPr>
            </w:pPr>
            <w:r>
              <w:rPr>
                <w:rFonts w:ascii="Times New Roman" w:hAnsi="Times New Roman"/>
                <w:sz w:val="16"/>
              </w:rPr>
              <w:t>The pathway connects perceived risk with preparedness. Effects weaken when information is delayed, distrusted, difficult to interpret, or disconnected from affordable action.</w:t>
            </w:r>
          </w:p>
        </w:tc>
        <w:tc>
          <w:tcPr>
            <w:tcW w:w="1469" w:type="dxa"/>
            <w:tcBorders>
              <w:top w:val="single" w:sz="4" w:space="0" w:color="auto"/>
            </w:tcBorders>
            <w:shd w:val="clear" w:color="auto" w:fill="auto"/>
            <w:tcMar>
              <w:top w:w="80" w:type="dxa"/>
              <w:left w:w="90" w:type="dxa"/>
              <w:bottom w:w="80" w:type="dxa"/>
              <w:right w:w="90" w:type="dxa"/>
            </w:tcMar>
            <w:vAlign w:val="center"/>
          </w:tcPr>
          <w:p w14:paraId="7AC3C9DB" w14:textId="77777777" w:rsidR="0097156C" w:rsidRDefault="0097156C" w:rsidP="000C468E">
            <w:pPr>
              <w:adjustRightInd w:val="0"/>
              <w:snapToGrid w:val="0"/>
              <w:jc w:val="left"/>
              <w:rPr>
                <w:rFonts w:hint="eastAsia"/>
              </w:rPr>
            </w:pPr>
            <w:r>
              <w:rPr>
                <w:rFonts w:ascii="Times New Roman" w:hAnsi="Times New Roman"/>
                <w:sz w:val="16"/>
              </w:rPr>
              <w:t xml:space="preserve">Zheng and </w:t>
            </w:r>
            <w:proofErr w:type="spellStart"/>
            <w:r>
              <w:rPr>
                <w:rFonts w:ascii="Times New Roman" w:hAnsi="Times New Roman"/>
                <w:sz w:val="16"/>
              </w:rPr>
              <w:t>Dallimer</w:t>
            </w:r>
            <w:proofErr w:type="spellEnd"/>
            <w:r>
              <w:rPr>
                <w:rFonts w:ascii="Times New Roman" w:hAnsi="Times New Roman"/>
                <w:sz w:val="16"/>
              </w:rPr>
              <w:t xml:space="preserve"> (</w:t>
            </w:r>
            <w:r w:rsidRPr="000C468E">
              <w:rPr>
                <w:rFonts w:ascii="Times New Roman" w:hAnsi="Times New Roman"/>
                <w:color w:val="0070C0"/>
                <w:sz w:val="16"/>
              </w:rPr>
              <w:t>2016</w:t>
            </w:r>
            <w:r>
              <w:rPr>
                <w:rFonts w:ascii="Times New Roman" w:hAnsi="Times New Roman"/>
                <w:sz w:val="16"/>
              </w:rPr>
              <w:t>); Wang et al. (</w:t>
            </w:r>
            <w:r w:rsidRPr="000C468E">
              <w:rPr>
                <w:rFonts w:ascii="Times New Roman" w:hAnsi="Times New Roman"/>
                <w:color w:val="0070C0"/>
                <w:sz w:val="16"/>
              </w:rPr>
              <w:t>2015</w:t>
            </w:r>
            <w:r>
              <w:rPr>
                <w:rFonts w:ascii="Times New Roman" w:hAnsi="Times New Roman"/>
                <w:sz w:val="16"/>
              </w:rPr>
              <w:t xml:space="preserve">); He et al. </w:t>
            </w:r>
            <w:r w:rsidRPr="004B58A0">
              <w:rPr>
                <w:rFonts w:ascii="Times New Roman" w:hAnsi="Times New Roman"/>
                <w:sz w:val="16"/>
                <w:lang w:val="de-DE"/>
              </w:rPr>
              <w:t>(</w:t>
            </w:r>
            <w:r w:rsidRPr="000C468E">
              <w:rPr>
                <w:rFonts w:ascii="Times New Roman" w:hAnsi="Times New Roman"/>
                <w:color w:val="0070C0"/>
                <w:sz w:val="16"/>
                <w:lang w:val="de-DE"/>
              </w:rPr>
              <w:t>2022b</w:t>
            </w:r>
            <w:r w:rsidRPr="004B58A0">
              <w:rPr>
                <w:rFonts w:ascii="Times New Roman" w:hAnsi="Times New Roman"/>
                <w:sz w:val="16"/>
                <w:lang w:val="de-DE"/>
              </w:rPr>
              <w:t>); Ai and Zhang (</w:t>
            </w:r>
            <w:r w:rsidRPr="000C468E">
              <w:rPr>
                <w:rFonts w:ascii="Times New Roman" w:hAnsi="Times New Roman"/>
                <w:color w:val="0070C0"/>
                <w:sz w:val="16"/>
                <w:lang w:val="de-DE"/>
              </w:rPr>
              <w:t>2025</w:t>
            </w:r>
            <w:r w:rsidRPr="004B58A0">
              <w:rPr>
                <w:rFonts w:ascii="Times New Roman" w:hAnsi="Times New Roman"/>
                <w:sz w:val="16"/>
                <w:lang w:val="de-DE"/>
              </w:rPr>
              <w:t xml:space="preserve">); Xie et al. </w:t>
            </w:r>
            <w:r>
              <w:rPr>
                <w:rFonts w:ascii="Times New Roman" w:hAnsi="Times New Roman"/>
                <w:sz w:val="16"/>
              </w:rPr>
              <w:t>(</w:t>
            </w:r>
            <w:r w:rsidRPr="000C468E">
              <w:rPr>
                <w:rFonts w:ascii="Times New Roman" w:hAnsi="Times New Roman"/>
                <w:color w:val="0070C0"/>
                <w:sz w:val="16"/>
              </w:rPr>
              <w:t>2022</w:t>
            </w:r>
            <w:r>
              <w:rPr>
                <w:rFonts w:ascii="Times New Roman" w:hAnsi="Times New Roman"/>
                <w:sz w:val="16"/>
              </w:rPr>
              <w:t>).</w:t>
            </w:r>
          </w:p>
        </w:tc>
      </w:tr>
      <w:tr w:rsidR="0097156C" w14:paraId="128E7C4B" w14:textId="77777777" w:rsidTr="000C468E">
        <w:trPr>
          <w:cantSplit/>
        </w:trPr>
        <w:tc>
          <w:tcPr>
            <w:tcW w:w="1512" w:type="dxa"/>
            <w:shd w:val="clear" w:color="auto" w:fill="auto"/>
            <w:tcMar>
              <w:top w:w="80" w:type="dxa"/>
              <w:left w:w="90" w:type="dxa"/>
              <w:bottom w:w="80" w:type="dxa"/>
              <w:right w:w="90" w:type="dxa"/>
            </w:tcMar>
            <w:vAlign w:val="center"/>
          </w:tcPr>
          <w:p w14:paraId="2B2428EB" w14:textId="77777777" w:rsidR="0097156C" w:rsidRDefault="0097156C" w:rsidP="000C468E">
            <w:pPr>
              <w:adjustRightInd w:val="0"/>
              <w:snapToGrid w:val="0"/>
              <w:jc w:val="left"/>
              <w:rPr>
                <w:rFonts w:hint="eastAsia"/>
              </w:rPr>
            </w:pPr>
            <w:r>
              <w:rPr>
                <w:rFonts w:ascii="Times New Roman" w:hAnsi="Times New Roman"/>
                <w:b/>
                <w:sz w:val="16"/>
              </w:rPr>
              <w:t>Buffer capacity and livelihood capital</w:t>
            </w:r>
          </w:p>
        </w:tc>
        <w:tc>
          <w:tcPr>
            <w:tcW w:w="2808" w:type="dxa"/>
            <w:shd w:val="clear" w:color="auto" w:fill="auto"/>
            <w:tcMar>
              <w:top w:w="80" w:type="dxa"/>
              <w:left w:w="90" w:type="dxa"/>
              <w:bottom w:w="80" w:type="dxa"/>
              <w:right w:w="90" w:type="dxa"/>
            </w:tcMar>
            <w:vAlign w:val="center"/>
          </w:tcPr>
          <w:p w14:paraId="25429A30" w14:textId="77777777" w:rsidR="0097156C" w:rsidRDefault="0097156C" w:rsidP="000C468E">
            <w:pPr>
              <w:adjustRightInd w:val="0"/>
              <w:snapToGrid w:val="0"/>
              <w:jc w:val="left"/>
              <w:rPr>
                <w:rFonts w:hint="eastAsia"/>
              </w:rPr>
            </w:pPr>
            <w:r>
              <w:rPr>
                <w:rFonts w:ascii="Times New Roman" w:hAnsi="Times New Roman"/>
                <w:sz w:val="16"/>
              </w:rPr>
              <w:t>Government supplies infrastructure, insurance, services, and relocation support. Communities coordinate access to shared resources and mutual assistance. Households combine livelihood capitals during shocks and recovery.</w:t>
            </w:r>
          </w:p>
        </w:tc>
        <w:tc>
          <w:tcPr>
            <w:tcW w:w="2520" w:type="dxa"/>
            <w:shd w:val="clear" w:color="auto" w:fill="auto"/>
            <w:tcMar>
              <w:top w:w="80" w:type="dxa"/>
              <w:left w:w="90" w:type="dxa"/>
              <w:bottom w:w="80" w:type="dxa"/>
              <w:right w:w="90" w:type="dxa"/>
            </w:tcMar>
            <w:vAlign w:val="center"/>
          </w:tcPr>
          <w:p w14:paraId="0721DC9D" w14:textId="77777777" w:rsidR="0097156C" w:rsidRDefault="0097156C" w:rsidP="000C468E">
            <w:pPr>
              <w:adjustRightInd w:val="0"/>
              <w:snapToGrid w:val="0"/>
              <w:jc w:val="left"/>
              <w:rPr>
                <w:rFonts w:hint="eastAsia"/>
              </w:rPr>
            </w:pPr>
            <w:r>
              <w:rPr>
                <w:rFonts w:ascii="Times New Roman" w:hAnsi="Times New Roman"/>
                <w:sz w:val="16"/>
              </w:rPr>
              <w:t>Accessible and convertible capital protects livelihoods. Unequal allocation, debt, and dependence on externally supported production can weaken later resilience.</w:t>
            </w:r>
          </w:p>
        </w:tc>
        <w:tc>
          <w:tcPr>
            <w:tcW w:w="1469" w:type="dxa"/>
            <w:shd w:val="clear" w:color="auto" w:fill="auto"/>
            <w:tcMar>
              <w:top w:w="80" w:type="dxa"/>
              <w:left w:w="90" w:type="dxa"/>
              <w:bottom w:w="80" w:type="dxa"/>
              <w:right w:w="90" w:type="dxa"/>
            </w:tcMar>
            <w:vAlign w:val="center"/>
          </w:tcPr>
          <w:p w14:paraId="391916DA" w14:textId="77777777" w:rsidR="0097156C" w:rsidRDefault="0097156C" w:rsidP="000C468E">
            <w:pPr>
              <w:adjustRightInd w:val="0"/>
              <w:snapToGrid w:val="0"/>
              <w:jc w:val="left"/>
              <w:rPr>
                <w:rFonts w:hint="eastAsia"/>
              </w:rPr>
            </w:pPr>
            <w:r w:rsidRPr="004B58A0">
              <w:rPr>
                <w:rFonts w:ascii="Times New Roman" w:hAnsi="Times New Roman"/>
                <w:sz w:val="16"/>
                <w:lang w:val="de-DE"/>
              </w:rPr>
              <w:t>Kuang et al. (</w:t>
            </w:r>
            <w:r w:rsidRPr="000C468E">
              <w:rPr>
                <w:rFonts w:ascii="Times New Roman" w:hAnsi="Times New Roman"/>
                <w:color w:val="0070C0"/>
                <w:sz w:val="16"/>
                <w:lang w:val="de-DE"/>
              </w:rPr>
              <w:t>2020</w:t>
            </w:r>
            <w:r w:rsidRPr="004B58A0">
              <w:rPr>
                <w:rFonts w:ascii="Times New Roman" w:hAnsi="Times New Roman"/>
                <w:sz w:val="16"/>
                <w:lang w:val="de-DE"/>
              </w:rPr>
              <w:t>); Tang et al. (</w:t>
            </w:r>
            <w:r w:rsidRPr="000C468E">
              <w:rPr>
                <w:rFonts w:ascii="Times New Roman" w:hAnsi="Times New Roman"/>
                <w:color w:val="0070C0"/>
                <w:sz w:val="16"/>
                <w:lang w:val="de-DE"/>
              </w:rPr>
              <w:t>2023</w:t>
            </w:r>
            <w:r w:rsidRPr="004B58A0">
              <w:rPr>
                <w:rFonts w:ascii="Times New Roman" w:hAnsi="Times New Roman"/>
                <w:sz w:val="16"/>
                <w:lang w:val="de-DE"/>
              </w:rPr>
              <w:t xml:space="preserve">); Kong et al. </w:t>
            </w:r>
            <w:r>
              <w:rPr>
                <w:rFonts w:ascii="Times New Roman" w:hAnsi="Times New Roman"/>
                <w:sz w:val="16"/>
              </w:rPr>
              <w:t>(</w:t>
            </w:r>
            <w:r w:rsidRPr="000C468E">
              <w:rPr>
                <w:rFonts w:ascii="Times New Roman" w:hAnsi="Times New Roman"/>
                <w:color w:val="0070C0"/>
                <w:sz w:val="16"/>
              </w:rPr>
              <w:t>2021</w:t>
            </w:r>
            <w:r>
              <w:rPr>
                <w:rFonts w:ascii="Times New Roman" w:hAnsi="Times New Roman"/>
                <w:sz w:val="16"/>
              </w:rPr>
              <w:t>); Wu et al. (</w:t>
            </w:r>
            <w:r w:rsidRPr="000C468E">
              <w:rPr>
                <w:rFonts w:ascii="Times New Roman" w:hAnsi="Times New Roman"/>
                <w:color w:val="0070C0"/>
                <w:sz w:val="16"/>
              </w:rPr>
              <w:t>2022</w:t>
            </w:r>
            <w:r>
              <w:rPr>
                <w:rFonts w:ascii="Times New Roman" w:hAnsi="Times New Roman"/>
                <w:sz w:val="16"/>
              </w:rPr>
              <w:t>); Li et al. (</w:t>
            </w:r>
            <w:r w:rsidRPr="000C468E">
              <w:rPr>
                <w:rFonts w:ascii="Times New Roman" w:hAnsi="Times New Roman"/>
                <w:color w:val="0070C0"/>
                <w:sz w:val="16"/>
              </w:rPr>
              <w:t>2021a</w:t>
            </w:r>
            <w:r>
              <w:rPr>
                <w:rFonts w:ascii="Times New Roman" w:hAnsi="Times New Roman"/>
                <w:sz w:val="16"/>
              </w:rPr>
              <w:t>).</w:t>
            </w:r>
          </w:p>
        </w:tc>
      </w:tr>
      <w:tr w:rsidR="0097156C" w14:paraId="06F6C4A7" w14:textId="77777777" w:rsidTr="000C468E">
        <w:trPr>
          <w:cantSplit/>
        </w:trPr>
        <w:tc>
          <w:tcPr>
            <w:tcW w:w="1512" w:type="dxa"/>
            <w:shd w:val="clear" w:color="auto" w:fill="auto"/>
            <w:tcMar>
              <w:top w:w="80" w:type="dxa"/>
              <w:left w:w="90" w:type="dxa"/>
              <w:bottom w:w="80" w:type="dxa"/>
              <w:right w:w="90" w:type="dxa"/>
            </w:tcMar>
            <w:vAlign w:val="center"/>
          </w:tcPr>
          <w:p w14:paraId="7F430D94" w14:textId="77777777" w:rsidR="0097156C" w:rsidRDefault="0097156C" w:rsidP="000C468E">
            <w:pPr>
              <w:adjustRightInd w:val="0"/>
              <w:snapToGrid w:val="0"/>
              <w:jc w:val="left"/>
              <w:rPr>
                <w:rFonts w:hint="eastAsia"/>
              </w:rPr>
            </w:pPr>
            <w:r>
              <w:rPr>
                <w:rFonts w:ascii="Times New Roman" w:hAnsi="Times New Roman"/>
                <w:b/>
                <w:sz w:val="16"/>
              </w:rPr>
              <w:lastRenderedPageBreak/>
              <w:t>Livelihood strategy adjustment</w:t>
            </w:r>
          </w:p>
        </w:tc>
        <w:tc>
          <w:tcPr>
            <w:tcW w:w="2808" w:type="dxa"/>
            <w:shd w:val="clear" w:color="auto" w:fill="auto"/>
            <w:tcMar>
              <w:top w:w="80" w:type="dxa"/>
              <w:left w:w="90" w:type="dxa"/>
              <w:bottom w:w="80" w:type="dxa"/>
              <w:right w:w="90" w:type="dxa"/>
            </w:tcMar>
            <w:vAlign w:val="center"/>
          </w:tcPr>
          <w:p w14:paraId="4A6CD9C8" w14:textId="77777777" w:rsidR="0097156C" w:rsidRDefault="0097156C" w:rsidP="000C468E">
            <w:pPr>
              <w:adjustRightInd w:val="0"/>
              <w:snapToGrid w:val="0"/>
              <w:jc w:val="left"/>
              <w:rPr>
                <w:rFonts w:hint="eastAsia"/>
              </w:rPr>
            </w:pPr>
            <w:r>
              <w:rPr>
                <w:rFonts w:ascii="Times New Roman" w:hAnsi="Times New Roman"/>
                <w:sz w:val="16"/>
              </w:rPr>
              <w:t>Government changes options through credit, training, infrastructure, subsidies, and technology. Communities connect households with information and markets. Households adjust production, labor, income, and risk management.</w:t>
            </w:r>
          </w:p>
        </w:tc>
        <w:tc>
          <w:tcPr>
            <w:tcW w:w="2520" w:type="dxa"/>
            <w:shd w:val="clear" w:color="auto" w:fill="auto"/>
            <w:tcMar>
              <w:top w:w="80" w:type="dxa"/>
              <w:left w:w="90" w:type="dxa"/>
              <w:bottom w:w="80" w:type="dxa"/>
              <w:right w:w="90" w:type="dxa"/>
            </w:tcMar>
            <w:vAlign w:val="center"/>
          </w:tcPr>
          <w:p w14:paraId="4CEBA09A" w14:textId="77777777" w:rsidR="0097156C" w:rsidRDefault="0097156C" w:rsidP="000C468E">
            <w:pPr>
              <w:adjustRightInd w:val="0"/>
              <w:snapToGrid w:val="0"/>
              <w:jc w:val="left"/>
              <w:rPr>
                <w:rFonts w:hint="eastAsia"/>
              </w:rPr>
            </w:pPr>
            <w:r>
              <w:rPr>
                <w:rFonts w:ascii="Times New Roman" w:hAnsi="Times New Roman"/>
                <w:sz w:val="16"/>
              </w:rPr>
              <w:t>Diversification and new technologies can expand flexibility. Effects vary with labor, assets, cognition, market access, and program design, and may depend on continuing support.</w:t>
            </w:r>
          </w:p>
        </w:tc>
        <w:tc>
          <w:tcPr>
            <w:tcW w:w="1469" w:type="dxa"/>
            <w:shd w:val="clear" w:color="auto" w:fill="auto"/>
            <w:tcMar>
              <w:top w:w="80" w:type="dxa"/>
              <w:left w:w="90" w:type="dxa"/>
              <w:bottom w:w="80" w:type="dxa"/>
              <w:right w:w="90" w:type="dxa"/>
            </w:tcMar>
            <w:vAlign w:val="center"/>
          </w:tcPr>
          <w:p w14:paraId="067D10B6" w14:textId="77777777" w:rsidR="0097156C" w:rsidRDefault="0097156C" w:rsidP="000C468E">
            <w:pPr>
              <w:adjustRightInd w:val="0"/>
              <w:snapToGrid w:val="0"/>
              <w:jc w:val="left"/>
              <w:rPr>
                <w:rFonts w:hint="eastAsia"/>
              </w:rPr>
            </w:pPr>
            <w:r>
              <w:rPr>
                <w:rFonts w:ascii="Times New Roman" w:hAnsi="Times New Roman"/>
                <w:sz w:val="16"/>
              </w:rPr>
              <w:t>Liu et al. (</w:t>
            </w:r>
            <w:r w:rsidRPr="000C468E">
              <w:rPr>
                <w:rFonts w:ascii="Times New Roman" w:hAnsi="Times New Roman"/>
                <w:color w:val="0070C0"/>
                <w:sz w:val="16"/>
              </w:rPr>
              <w:t>2020a</w:t>
            </w:r>
            <w:r>
              <w:rPr>
                <w:rFonts w:ascii="Times New Roman" w:hAnsi="Times New Roman"/>
                <w:sz w:val="16"/>
              </w:rPr>
              <w:t>); Song and Zhu (</w:t>
            </w:r>
            <w:r w:rsidRPr="000C468E">
              <w:rPr>
                <w:rFonts w:ascii="Times New Roman" w:hAnsi="Times New Roman"/>
                <w:color w:val="0070C0"/>
                <w:sz w:val="16"/>
              </w:rPr>
              <w:t>2025</w:t>
            </w:r>
            <w:r>
              <w:rPr>
                <w:rFonts w:ascii="Times New Roman" w:hAnsi="Times New Roman"/>
                <w:sz w:val="16"/>
              </w:rPr>
              <w:t xml:space="preserve">); Zhang et al. </w:t>
            </w:r>
            <w:r w:rsidRPr="004B58A0">
              <w:rPr>
                <w:rFonts w:ascii="Times New Roman" w:hAnsi="Times New Roman"/>
                <w:sz w:val="16"/>
                <w:lang w:val="de-DE"/>
              </w:rPr>
              <w:t>(</w:t>
            </w:r>
            <w:r w:rsidRPr="000C468E">
              <w:rPr>
                <w:rFonts w:ascii="Times New Roman" w:hAnsi="Times New Roman"/>
                <w:color w:val="0070C0"/>
                <w:sz w:val="16"/>
                <w:lang w:val="de-DE"/>
              </w:rPr>
              <w:t>2022</w:t>
            </w:r>
            <w:r w:rsidRPr="004B58A0">
              <w:rPr>
                <w:rFonts w:ascii="Times New Roman" w:hAnsi="Times New Roman"/>
                <w:sz w:val="16"/>
                <w:lang w:val="de-DE"/>
              </w:rPr>
              <w:t>); Jin et al. (</w:t>
            </w:r>
            <w:r w:rsidRPr="000C468E">
              <w:rPr>
                <w:rFonts w:ascii="Times New Roman" w:hAnsi="Times New Roman"/>
                <w:color w:val="0070C0"/>
                <w:sz w:val="16"/>
                <w:lang w:val="de-DE"/>
              </w:rPr>
              <w:t>2021</w:t>
            </w:r>
            <w:r w:rsidRPr="004B58A0">
              <w:rPr>
                <w:rFonts w:ascii="Times New Roman" w:hAnsi="Times New Roman"/>
                <w:sz w:val="16"/>
                <w:lang w:val="de-DE"/>
              </w:rPr>
              <w:t xml:space="preserve">); Yang et al. </w:t>
            </w:r>
            <w:r>
              <w:rPr>
                <w:rFonts w:ascii="Times New Roman" w:hAnsi="Times New Roman"/>
                <w:sz w:val="16"/>
              </w:rPr>
              <w:t>(</w:t>
            </w:r>
            <w:r w:rsidRPr="000C468E">
              <w:rPr>
                <w:rFonts w:ascii="Times New Roman" w:hAnsi="Times New Roman"/>
                <w:color w:val="0070C0"/>
                <w:sz w:val="16"/>
              </w:rPr>
              <w:t>2024</w:t>
            </w:r>
            <w:r>
              <w:rPr>
                <w:rFonts w:ascii="Times New Roman" w:hAnsi="Times New Roman"/>
                <w:sz w:val="16"/>
              </w:rPr>
              <w:t>).</w:t>
            </w:r>
          </w:p>
        </w:tc>
      </w:tr>
      <w:tr w:rsidR="0097156C" w14:paraId="7ED8B6A3" w14:textId="77777777" w:rsidTr="000C468E">
        <w:trPr>
          <w:cantSplit/>
        </w:trPr>
        <w:tc>
          <w:tcPr>
            <w:tcW w:w="1512" w:type="dxa"/>
            <w:shd w:val="clear" w:color="auto" w:fill="auto"/>
            <w:tcMar>
              <w:top w:w="80" w:type="dxa"/>
              <w:left w:w="90" w:type="dxa"/>
              <w:bottom w:w="80" w:type="dxa"/>
              <w:right w:w="90" w:type="dxa"/>
            </w:tcMar>
            <w:vAlign w:val="center"/>
          </w:tcPr>
          <w:p w14:paraId="43E2E66D" w14:textId="77777777" w:rsidR="0097156C" w:rsidRDefault="0097156C" w:rsidP="000C468E">
            <w:pPr>
              <w:adjustRightInd w:val="0"/>
              <w:snapToGrid w:val="0"/>
              <w:jc w:val="left"/>
              <w:rPr>
                <w:rFonts w:hint="eastAsia"/>
              </w:rPr>
            </w:pPr>
            <w:r>
              <w:rPr>
                <w:rFonts w:ascii="Times New Roman" w:hAnsi="Times New Roman"/>
                <w:b/>
                <w:sz w:val="16"/>
              </w:rPr>
              <w:t>Self-organization capacity</w:t>
            </w:r>
          </w:p>
        </w:tc>
        <w:tc>
          <w:tcPr>
            <w:tcW w:w="2808" w:type="dxa"/>
            <w:shd w:val="clear" w:color="auto" w:fill="auto"/>
            <w:tcMar>
              <w:top w:w="80" w:type="dxa"/>
              <w:left w:w="90" w:type="dxa"/>
              <w:bottom w:w="80" w:type="dxa"/>
              <w:right w:w="90" w:type="dxa"/>
            </w:tcMar>
            <w:vAlign w:val="center"/>
          </w:tcPr>
          <w:p w14:paraId="72AEC06E" w14:textId="77777777" w:rsidR="0097156C" w:rsidRDefault="0097156C" w:rsidP="000C468E">
            <w:pPr>
              <w:adjustRightInd w:val="0"/>
              <w:snapToGrid w:val="0"/>
              <w:jc w:val="left"/>
              <w:rPr>
                <w:rFonts w:hint="eastAsia"/>
              </w:rPr>
            </w:pPr>
            <w:r>
              <w:rPr>
                <w:rFonts w:ascii="Times New Roman" w:hAnsi="Times New Roman"/>
                <w:sz w:val="16"/>
              </w:rPr>
              <w:t>Public programs create institutional opportunities for participation. Communities provide rules, leadership, networks, and coordination. Households contribute through collective resource management and locally organized action.</w:t>
            </w:r>
          </w:p>
        </w:tc>
        <w:tc>
          <w:tcPr>
            <w:tcW w:w="2520" w:type="dxa"/>
            <w:shd w:val="clear" w:color="auto" w:fill="auto"/>
            <w:tcMar>
              <w:top w:w="80" w:type="dxa"/>
              <w:left w:w="90" w:type="dxa"/>
              <w:bottom w:w="80" w:type="dxa"/>
              <w:right w:w="90" w:type="dxa"/>
            </w:tcMar>
            <w:vAlign w:val="center"/>
          </w:tcPr>
          <w:p w14:paraId="35193E30" w14:textId="77777777" w:rsidR="0097156C" w:rsidRDefault="0097156C" w:rsidP="000C468E">
            <w:pPr>
              <w:adjustRightInd w:val="0"/>
              <w:snapToGrid w:val="0"/>
              <w:jc w:val="left"/>
              <w:rPr>
                <w:rFonts w:hint="eastAsia"/>
              </w:rPr>
            </w:pPr>
            <w:r>
              <w:rPr>
                <w:rFonts w:ascii="Times New Roman" w:hAnsi="Times New Roman"/>
                <w:sz w:val="16"/>
              </w:rPr>
              <w:t>Collective organization can improve cooperation and shared risk management. Out-migration, unequal voice, weak accountability, and selective participation can reduce its reach.</w:t>
            </w:r>
          </w:p>
        </w:tc>
        <w:tc>
          <w:tcPr>
            <w:tcW w:w="1469" w:type="dxa"/>
            <w:shd w:val="clear" w:color="auto" w:fill="auto"/>
            <w:tcMar>
              <w:top w:w="80" w:type="dxa"/>
              <w:left w:w="90" w:type="dxa"/>
              <w:bottom w:w="80" w:type="dxa"/>
              <w:right w:w="90" w:type="dxa"/>
            </w:tcMar>
            <w:vAlign w:val="center"/>
          </w:tcPr>
          <w:p w14:paraId="24738597" w14:textId="77777777" w:rsidR="0097156C" w:rsidRDefault="0097156C" w:rsidP="000C468E">
            <w:pPr>
              <w:adjustRightInd w:val="0"/>
              <w:snapToGrid w:val="0"/>
              <w:jc w:val="left"/>
              <w:rPr>
                <w:rFonts w:hint="eastAsia"/>
              </w:rPr>
            </w:pPr>
            <w:r w:rsidRPr="004B58A0">
              <w:rPr>
                <w:rFonts w:ascii="Times New Roman" w:hAnsi="Times New Roman"/>
                <w:sz w:val="16"/>
                <w:lang w:val="de-DE"/>
              </w:rPr>
              <w:t>Wang et al. (</w:t>
            </w:r>
            <w:r w:rsidRPr="000C468E">
              <w:rPr>
                <w:rFonts w:ascii="Times New Roman" w:hAnsi="Times New Roman"/>
                <w:color w:val="0070C0"/>
                <w:sz w:val="16"/>
                <w:lang w:val="de-DE"/>
              </w:rPr>
              <w:t>2021</w:t>
            </w:r>
            <w:r w:rsidRPr="004B58A0">
              <w:rPr>
                <w:rFonts w:ascii="Times New Roman" w:hAnsi="Times New Roman"/>
                <w:sz w:val="16"/>
                <w:lang w:val="de-DE"/>
              </w:rPr>
              <w:t xml:space="preserve">); Yu et al. </w:t>
            </w:r>
            <w:r>
              <w:rPr>
                <w:rFonts w:ascii="Times New Roman" w:hAnsi="Times New Roman"/>
                <w:sz w:val="16"/>
              </w:rPr>
              <w:t>(</w:t>
            </w:r>
            <w:r w:rsidRPr="000C468E">
              <w:rPr>
                <w:rFonts w:ascii="Times New Roman" w:hAnsi="Times New Roman"/>
                <w:color w:val="0070C0"/>
                <w:sz w:val="16"/>
              </w:rPr>
              <w:t>2025</w:t>
            </w:r>
            <w:r>
              <w:rPr>
                <w:rFonts w:ascii="Times New Roman" w:hAnsi="Times New Roman"/>
                <w:sz w:val="16"/>
              </w:rPr>
              <w:t>); Zhou et al. (</w:t>
            </w:r>
            <w:r w:rsidRPr="000C468E">
              <w:rPr>
                <w:rFonts w:ascii="Times New Roman" w:hAnsi="Times New Roman"/>
                <w:color w:val="0070C0"/>
                <w:sz w:val="16"/>
              </w:rPr>
              <w:t>2015</w:t>
            </w:r>
            <w:r>
              <w:rPr>
                <w:rFonts w:ascii="Times New Roman" w:hAnsi="Times New Roman"/>
                <w:sz w:val="16"/>
              </w:rPr>
              <w:t>); Su et al. (</w:t>
            </w:r>
            <w:r w:rsidRPr="000C468E">
              <w:rPr>
                <w:rFonts w:ascii="Times New Roman" w:hAnsi="Times New Roman"/>
                <w:color w:val="0070C0"/>
                <w:sz w:val="16"/>
              </w:rPr>
              <w:t>2025</w:t>
            </w:r>
            <w:r>
              <w:rPr>
                <w:rFonts w:ascii="Times New Roman" w:hAnsi="Times New Roman"/>
                <w:sz w:val="16"/>
              </w:rPr>
              <w:t>).</w:t>
            </w:r>
          </w:p>
        </w:tc>
      </w:tr>
      <w:tr w:rsidR="0097156C" w14:paraId="31B0204A" w14:textId="77777777" w:rsidTr="000C468E">
        <w:trPr>
          <w:cantSplit/>
        </w:trPr>
        <w:tc>
          <w:tcPr>
            <w:tcW w:w="1512" w:type="dxa"/>
            <w:tcBorders>
              <w:bottom w:val="single" w:sz="12" w:space="0" w:color="auto"/>
            </w:tcBorders>
            <w:shd w:val="clear" w:color="auto" w:fill="auto"/>
            <w:tcMar>
              <w:top w:w="80" w:type="dxa"/>
              <w:left w:w="90" w:type="dxa"/>
              <w:bottom w:w="80" w:type="dxa"/>
              <w:right w:w="90" w:type="dxa"/>
            </w:tcMar>
            <w:vAlign w:val="center"/>
          </w:tcPr>
          <w:p w14:paraId="5AE381AD" w14:textId="77777777" w:rsidR="0097156C" w:rsidRDefault="0097156C" w:rsidP="000C468E">
            <w:pPr>
              <w:adjustRightInd w:val="0"/>
              <w:snapToGrid w:val="0"/>
              <w:jc w:val="left"/>
              <w:rPr>
                <w:rFonts w:hint="eastAsia"/>
              </w:rPr>
            </w:pPr>
            <w:r>
              <w:rPr>
                <w:rFonts w:ascii="Times New Roman" w:hAnsi="Times New Roman"/>
                <w:b/>
                <w:sz w:val="16"/>
              </w:rPr>
              <w:t>Learning capacity</w:t>
            </w:r>
          </w:p>
        </w:tc>
        <w:tc>
          <w:tcPr>
            <w:tcW w:w="2808" w:type="dxa"/>
            <w:tcBorders>
              <w:bottom w:val="single" w:sz="12" w:space="0" w:color="auto"/>
            </w:tcBorders>
            <w:shd w:val="clear" w:color="auto" w:fill="auto"/>
            <w:tcMar>
              <w:top w:w="80" w:type="dxa"/>
              <w:left w:w="90" w:type="dxa"/>
              <w:bottom w:w="80" w:type="dxa"/>
              <w:right w:w="90" w:type="dxa"/>
            </w:tcMar>
            <w:vAlign w:val="center"/>
          </w:tcPr>
          <w:p w14:paraId="64F2AA6E" w14:textId="77777777" w:rsidR="0097156C" w:rsidRDefault="0097156C" w:rsidP="000C468E">
            <w:pPr>
              <w:adjustRightInd w:val="0"/>
              <w:snapToGrid w:val="0"/>
              <w:jc w:val="left"/>
              <w:rPr>
                <w:rFonts w:hint="eastAsia"/>
              </w:rPr>
            </w:pPr>
            <w:r>
              <w:rPr>
                <w:rFonts w:ascii="Times New Roman" w:hAnsi="Times New Roman"/>
                <w:sz w:val="16"/>
              </w:rPr>
              <w:t>Government supports extension, training, and information access. Community networks circulate and interpret external and local knowledge. Households combine experience, experimentation, and new information.</w:t>
            </w:r>
          </w:p>
        </w:tc>
        <w:tc>
          <w:tcPr>
            <w:tcW w:w="2520" w:type="dxa"/>
            <w:tcBorders>
              <w:bottom w:val="single" w:sz="12" w:space="0" w:color="auto"/>
            </w:tcBorders>
            <w:shd w:val="clear" w:color="auto" w:fill="auto"/>
            <w:tcMar>
              <w:top w:w="80" w:type="dxa"/>
              <w:left w:w="90" w:type="dxa"/>
              <w:bottom w:w="80" w:type="dxa"/>
              <w:right w:w="90" w:type="dxa"/>
            </w:tcMar>
            <w:vAlign w:val="center"/>
          </w:tcPr>
          <w:p w14:paraId="4C811CF8" w14:textId="77777777" w:rsidR="0097156C" w:rsidRDefault="0097156C" w:rsidP="000C468E">
            <w:pPr>
              <w:adjustRightInd w:val="0"/>
              <w:snapToGrid w:val="0"/>
              <w:jc w:val="left"/>
              <w:rPr>
                <w:rFonts w:hint="eastAsia"/>
              </w:rPr>
            </w:pPr>
            <w:r>
              <w:rPr>
                <w:rFonts w:ascii="Times New Roman" w:hAnsi="Times New Roman"/>
                <w:sz w:val="16"/>
              </w:rPr>
              <w:t>Learning supports later adaptation when knowledge is accessible, trusted, locally relevant, and open to revision. Weak bridging ties and poor fit restrict its effect.</w:t>
            </w:r>
          </w:p>
        </w:tc>
        <w:tc>
          <w:tcPr>
            <w:tcW w:w="1469" w:type="dxa"/>
            <w:tcBorders>
              <w:bottom w:val="single" w:sz="12" w:space="0" w:color="auto"/>
            </w:tcBorders>
            <w:shd w:val="clear" w:color="auto" w:fill="auto"/>
            <w:tcMar>
              <w:top w:w="80" w:type="dxa"/>
              <w:left w:w="90" w:type="dxa"/>
              <w:bottom w:w="80" w:type="dxa"/>
              <w:right w:w="90" w:type="dxa"/>
            </w:tcMar>
            <w:vAlign w:val="center"/>
          </w:tcPr>
          <w:p w14:paraId="10413C39" w14:textId="77777777" w:rsidR="0097156C" w:rsidRDefault="0097156C" w:rsidP="000C468E">
            <w:pPr>
              <w:adjustRightInd w:val="0"/>
              <w:snapToGrid w:val="0"/>
              <w:jc w:val="left"/>
              <w:rPr>
                <w:rFonts w:hint="eastAsia"/>
              </w:rPr>
            </w:pPr>
            <w:r w:rsidRPr="004B58A0">
              <w:rPr>
                <w:rFonts w:ascii="Times New Roman" w:hAnsi="Times New Roman"/>
                <w:sz w:val="16"/>
                <w:lang w:val="de-DE"/>
              </w:rPr>
              <w:t>Li and Zander (</w:t>
            </w:r>
            <w:r w:rsidRPr="000C468E">
              <w:rPr>
                <w:rFonts w:ascii="Times New Roman" w:hAnsi="Times New Roman"/>
                <w:color w:val="0070C0"/>
                <w:sz w:val="16"/>
                <w:lang w:val="de-DE"/>
              </w:rPr>
              <w:t>2020</w:t>
            </w:r>
            <w:r w:rsidRPr="004B58A0">
              <w:rPr>
                <w:rFonts w:ascii="Times New Roman" w:hAnsi="Times New Roman"/>
                <w:sz w:val="16"/>
                <w:lang w:val="de-DE"/>
              </w:rPr>
              <w:t xml:space="preserve">); Li et al. </w:t>
            </w:r>
            <w:r>
              <w:rPr>
                <w:rFonts w:ascii="Times New Roman" w:hAnsi="Times New Roman"/>
                <w:sz w:val="16"/>
              </w:rPr>
              <w:t>(</w:t>
            </w:r>
            <w:r w:rsidRPr="000C468E">
              <w:rPr>
                <w:rFonts w:ascii="Times New Roman" w:hAnsi="Times New Roman"/>
                <w:color w:val="0070C0"/>
                <w:sz w:val="16"/>
              </w:rPr>
              <w:t>2021b</w:t>
            </w:r>
            <w:r>
              <w:rPr>
                <w:rFonts w:ascii="Times New Roman" w:hAnsi="Times New Roman"/>
                <w:sz w:val="16"/>
              </w:rPr>
              <w:t>); Gong et al. (</w:t>
            </w:r>
            <w:r w:rsidRPr="000C468E">
              <w:rPr>
                <w:rFonts w:ascii="Times New Roman" w:hAnsi="Times New Roman"/>
                <w:color w:val="0070C0"/>
                <w:sz w:val="16"/>
              </w:rPr>
              <w:t>2018)</w:t>
            </w:r>
            <w:r>
              <w:rPr>
                <w:rFonts w:ascii="Times New Roman" w:hAnsi="Times New Roman"/>
                <w:sz w:val="16"/>
              </w:rPr>
              <w:t>; Zhong et al. (</w:t>
            </w:r>
            <w:r w:rsidRPr="000C468E">
              <w:rPr>
                <w:rFonts w:ascii="Times New Roman" w:hAnsi="Times New Roman"/>
                <w:color w:val="0070C0"/>
                <w:sz w:val="16"/>
              </w:rPr>
              <w:t>2022</w:t>
            </w:r>
            <w:r>
              <w:rPr>
                <w:rFonts w:ascii="Times New Roman" w:hAnsi="Times New Roman"/>
                <w:sz w:val="16"/>
              </w:rPr>
              <w:t>).</w:t>
            </w:r>
          </w:p>
        </w:tc>
      </w:tr>
    </w:tbl>
    <w:p w14:paraId="4CD37898" w14:textId="77777777" w:rsidR="0097156C" w:rsidRDefault="0097156C" w:rsidP="0097156C">
      <w:pPr>
        <w:keepNext/>
        <w:spacing w:before="200" w:after="80"/>
        <w:rPr>
          <w:rFonts w:hint="eastAsia"/>
        </w:rPr>
      </w:pPr>
      <w:r>
        <w:rPr>
          <w:rFonts w:ascii="Times New Roman" w:hAnsi="Times New Roman"/>
          <w:b/>
          <w:sz w:val="24"/>
        </w:rPr>
        <w:t>S4. Bottom-up feedback and policy learning</w:t>
      </w:r>
    </w:p>
    <w:p w14:paraId="67C64485" w14:textId="77777777" w:rsidR="0097156C" w:rsidRDefault="0097156C" w:rsidP="0097156C">
      <w:pPr>
        <w:spacing w:after="80" w:line="269" w:lineRule="auto"/>
        <w:ind w:firstLine="317"/>
        <w:rPr>
          <w:rFonts w:hint="eastAsia"/>
        </w:rPr>
      </w:pPr>
      <w:r>
        <w:rPr>
          <w:rFonts w:ascii="Times New Roman" w:hAnsi="Times New Roman"/>
          <w:sz w:val="22"/>
        </w:rPr>
        <w:t>Government interventions establish priorities and implementation arrangements, but their effects become visible through household and community practice. Autonomous adaptation research shows that local responses can reveal how public interventions fit existing livelihoods and where planned measures risk maladaptation (</w:t>
      </w:r>
      <w:r w:rsidRPr="000C468E">
        <w:rPr>
          <w:rFonts w:ascii="Times New Roman" w:hAnsi="Times New Roman"/>
          <w:color w:val="0070C0"/>
          <w:sz w:val="22"/>
        </w:rPr>
        <w:t>Rahman and Hickey, 2019</w:t>
      </w:r>
      <w:r>
        <w:rPr>
          <w:rFonts w:ascii="Times New Roman" w:hAnsi="Times New Roman"/>
          <w:sz w:val="22"/>
        </w:rPr>
        <w:t>). Bottom-up feedback includes more than reporting needs. It supplies evidence on implementation, changes delivery arrangements, reveals the feasibility of promoted strategies, and identifies outcomes that differ from policy intent.</w:t>
      </w:r>
    </w:p>
    <w:p w14:paraId="3C3F9256" w14:textId="77777777" w:rsidR="0097156C" w:rsidRDefault="0097156C" w:rsidP="0097156C">
      <w:pPr>
        <w:keepNext/>
        <w:spacing w:before="200" w:after="80"/>
        <w:rPr>
          <w:rFonts w:hint="eastAsia"/>
        </w:rPr>
      </w:pPr>
      <w:r>
        <w:rPr>
          <w:rFonts w:ascii="Times New Roman" w:hAnsi="Times New Roman"/>
          <w:b/>
          <w:sz w:val="24"/>
        </w:rPr>
        <w:t>S4.1 Informational feedback</w:t>
      </w:r>
    </w:p>
    <w:p w14:paraId="6DDDB5EC" w14:textId="77777777" w:rsidR="0097156C" w:rsidRDefault="0097156C" w:rsidP="0097156C">
      <w:pPr>
        <w:spacing w:after="80" w:line="269" w:lineRule="auto"/>
        <w:ind w:firstLine="317"/>
        <w:rPr>
          <w:rFonts w:hint="eastAsia"/>
        </w:rPr>
      </w:pPr>
      <w:r>
        <w:rPr>
          <w:rFonts w:ascii="Times New Roman" w:hAnsi="Times New Roman"/>
          <w:sz w:val="22"/>
        </w:rPr>
        <w:t>Households and communities hold situated knowledge about climate variability, production constraints, resource conflicts, and the usability of public support. The first-secretary-in-residence system links higher-level departments with village conditions and can channel resources and information across administrative levels (</w:t>
      </w:r>
      <w:r w:rsidRPr="000C468E">
        <w:rPr>
          <w:rFonts w:ascii="Times New Roman" w:hAnsi="Times New Roman"/>
          <w:color w:val="0070C0"/>
          <w:sz w:val="22"/>
        </w:rPr>
        <w:t>Liao et al., 2020</w:t>
      </w:r>
      <w:r>
        <w:rPr>
          <w:rFonts w:ascii="Times New Roman" w:hAnsi="Times New Roman"/>
          <w:sz w:val="22"/>
        </w:rPr>
        <w:t>). This arrangement can make local constraints visible to formal authorities. The information is nevertheless mediated by the selection of representatives, administrative priorities, and local political relations. Its value for policy learning depends on whether diverse household experiences are recorded, aggregated without erasing differences, and transmitted to actors able to revise implementation.</w:t>
      </w:r>
    </w:p>
    <w:p w14:paraId="6D98FFEA" w14:textId="77777777" w:rsidR="0097156C" w:rsidRDefault="0097156C" w:rsidP="0097156C">
      <w:pPr>
        <w:keepNext/>
        <w:spacing w:before="200" w:after="80"/>
        <w:rPr>
          <w:rFonts w:hint="eastAsia"/>
        </w:rPr>
      </w:pPr>
      <w:r>
        <w:rPr>
          <w:rFonts w:ascii="Times New Roman" w:hAnsi="Times New Roman"/>
          <w:b/>
          <w:sz w:val="24"/>
        </w:rPr>
        <w:t>S4.2 Organizational feedback</w:t>
      </w:r>
    </w:p>
    <w:p w14:paraId="219EA47A" w14:textId="77777777" w:rsidR="0097156C" w:rsidRDefault="0097156C" w:rsidP="0097156C">
      <w:pPr>
        <w:spacing w:after="80" w:line="269" w:lineRule="auto"/>
        <w:ind w:firstLine="317"/>
        <w:rPr>
          <w:rFonts w:hint="eastAsia"/>
        </w:rPr>
      </w:pPr>
      <w:r>
        <w:rPr>
          <w:rFonts w:ascii="Times New Roman" w:hAnsi="Times New Roman"/>
          <w:sz w:val="22"/>
        </w:rPr>
        <w:t>Local organizations can alter how policy is delivered when formal projects encounter resource or coordination gaps. Public–private partnerships in drought-prone rural areas have combined scientific and local knowledge, mobilized funds, shared risks, and coordinated water management among governments, enterprises, communities, and households (</w:t>
      </w:r>
      <w:r w:rsidRPr="000C468E">
        <w:rPr>
          <w:rFonts w:ascii="Times New Roman" w:hAnsi="Times New Roman"/>
          <w:color w:val="0070C0"/>
          <w:sz w:val="22"/>
        </w:rPr>
        <w:t>Zhang et al., 2018</w:t>
      </w:r>
      <w:r>
        <w:rPr>
          <w:rFonts w:ascii="Times New Roman" w:hAnsi="Times New Roman"/>
          <w:sz w:val="22"/>
        </w:rPr>
        <w:t xml:space="preserve">). Such arrangements translate general policy goals into locally workable practices and may identify missing services or inappropriate project timing. Organizational feedback is </w:t>
      </w:r>
      <w:r>
        <w:rPr>
          <w:rFonts w:ascii="Times New Roman" w:hAnsi="Times New Roman"/>
          <w:sz w:val="22"/>
        </w:rPr>
        <w:lastRenderedPageBreak/>
        <w:t>effective when responsibilities are clear and local actors can modify delivery. Weak trust, short project cycles, or unclear authority can instead add another organizational layer without resolving the original gap.</w:t>
      </w:r>
    </w:p>
    <w:p w14:paraId="5E18A885" w14:textId="77777777" w:rsidR="0097156C" w:rsidRDefault="0097156C" w:rsidP="0097156C">
      <w:pPr>
        <w:keepNext/>
        <w:spacing w:before="200" w:after="80"/>
        <w:rPr>
          <w:rFonts w:hint="eastAsia"/>
        </w:rPr>
      </w:pPr>
      <w:r>
        <w:rPr>
          <w:rFonts w:ascii="Times New Roman" w:hAnsi="Times New Roman"/>
          <w:b/>
          <w:sz w:val="24"/>
        </w:rPr>
        <w:t>S4.3 Strategic feedback</w:t>
      </w:r>
    </w:p>
    <w:p w14:paraId="7305EC1A" w14:textId="77777777" w:rsidR="0097156C" w:rsidRDefault="0097156C" w:rsidP="0097156C">
      <w:pPr>
        <w:spacing w:after="80" w:line="269" w:lineRule="auto"/>
        <w:ind w:firstLine="317"/>
        <w:rPr>
          <w:rFonts w:hint="eastAsia"/>
        </w:rPr>
      </w:pPr>
      <w:r>
        <w:rPr>
          <w:rFonts w:ascii="Times New Roman" w:hAnsi="Times New Roman"/>
          <w:sz w:val="22"/>
        </w:rPr>
        <w:t>Household uptake, modification, and non-adoption provide evidence about the feasibility of promoted technologies and livelihood strategies. Among banana farmers in China, adaptation strategies affected land productivity, but knowledge of available options was heterogeneous and social networks influenced decisions (</w:t>
      </w:r>
      <w:r w:rsidRPr="000C468E">
        <w:rPr>
          <w:rFonts w:ascii="Times New Roman" w:hAnsi="Times New Roman"/>
          <w:color w:val="0070C0"/>
          <w:sz w:val="22"/>
        </w:rPr>
        <w:t>Zhu et al., 2021</w:t>
      </w:r>
      <w:r>
        <w:rPr>
          <w:rFonts w:ascii="Times New Roman" w:hAnsi="Times New Roman"/>
          <w:sz w:val="22"/>
        </w:rPr>
        <w:t>). Selective adoption can therefore indicate differences in information, labor, capital, or market access rather than simple compliance or resistance. To use this feedback, implementing agencies need to examine the reasons for household choices and distinguish design problems from constraints that require complementary support.</w:t>
      </w:r>
    </w:p>
    <w:p w14:paraId="453F8FF7" w14:textId="77777777" w:rsidR="0097156C" w:rsidRDefault="0097156C" w:rsidP="0097156C">
      <w:pPr>
        <w:keepNext/>
        <w:spacing w:before="200" w:after="80"/>
        <w:rPr>
          <w:rFonts w:hint="eastAsia"/>
        </w:rPr>
      </w:pPr>
      <w:r>
        <w:rPr>
          <w:rFonts w:ascii="Times New Roman" w:hAnsi="Times New Roman"/>
          <w:b/>
          <w:sz w:val="24"/>
        </w:rPr>
        <w:t>S4.4 Evaluative feedback</w:t>
      </w:r>
    </w:p>
    <w:p w14:paraId="3282CD93" w14:textId="77777777" w:rsidR="0097156C" w:rsidRDefault="0097156C" w:rsidP="0097156C">
      <w:pPr>
        <w:spacing w:after="80" w:line="269" w:lineRule="auto"/>
        <w:ind w:firstLine="317"/>
        <w:rPr>
          <w:rFonts w:hint="eastAsia"/>
        </w:rPr>
      </w:pPr>
      <w:r>
        <w:rPr>
          <w:rFonts w:ascii="Times New Roman" w:hAnsi="Times New Roman"/>
          <w:sz w:val="22"/>
        </w:rPr>
        <w:t>Experienced livelihood outcomes provide feedback after implementation. Disaster-related resettlement in rural China produced lower livelihood resilience among relocated households than among non-relocated households in the examined case (</w:t>
      </w:r>
      <w:r w:rsidRPr="000C468E">
        <w:rPr>
          <w:rFonts w:ascii="Times New Roman" w:hAnsi="Times New Roman"/>
          <w:color w:val="0070C0"/>
          <w:sz w:val="22"/>
        </w:rPr>
        <w:t>Liu et al., 2020b</w:t>
      </w:r>
      <w:r>
        <w:rPr>
          <w:rFonts w:ascii="Times New Roman" w:hAnsi="Times New Roman"/>
          <w:sz w:val="22"/>
        </w:rPr>
        <w:t>). The finding shows why intervention intent or completion indicators cannot substitute for assessment of household outcomes. Evaluation needs to trace changes in assets, networks, livelihood options, costs, and exposure over time. It contributes to policy learning when these findings enter program review and lead to changes in eligibility, sequencing, follow-up services, or local delivery.</w:t>
      </w:r>
    </w:p>
    <w:p w14:paraId="5F1547E2" w14:textId="4621AD49" w:rsidR="0097156C" w:rsidRDefault="0097156C" w:rsidP="0097156C">
      <w:pPr>
        <w:spacing w:after="80" w:line="269" w:lineRule="auto"/>
        <w:ind w:firstLine="317"/>
        <w:rPr>
          <w:rFonts w:hint="eastAsia"/>
        </w:rPr>
      </w:pPr>
      <w:r>
        <w:rPr>
          <w:rFonts w:ascii="Times New Roman" w:hAnsi="Times New Roman"/>
          <w:sz w:val="22"/>
        </w:rPr>
        <w:t>The four forms of feedback may occur together. Household experience generates information, community institutions organize it, intermediary arrangements alter delivery, and later outcomes permit evaluation. Feedback contributes to resilience when it reaches responsible actors and changes subsequent action. Where channels are selective or symbolic, local experience may be collected without affecting implementation. Table S</w:t>
      </w:r>
      <w:r w:rsidR="0062112F">
        <w:rPr>
          <w:rFonts w:ascii="Times New Roman" w:hAnsi="Times New Roman" w:hint="eastAsia"/>
          <w:sz w:val="22"/>
        </w:rPr>
        <w:t>6</w:t>
      </w:r>
      <w:r>
        <w:rPr>
          <w:rFonts w:ascii="Times New Roman" w:hAnsi="Times New Roman"/>
          <w:sz w:val="22"/>
        </w:rPr>
        <w:t xml:space="preserve"> summarizes the evidence and the conditions under which each form can support policy learning.</w:t>
      </w:r>
    </w:p>
    <w:p w14:paraId="4E738DE1" w14:textId="78A30C16" w:rsidR="0097156C" w:rsidRDefault="0097156C" w:rsidP="0097156C">
      <w:pPr>
        <w:keepNext/>
        <w:spacing w:before="120" w:after="60"/>
        <w:jc w:val="center"/>
        <w:rPr>
          <w:rFonts w:hint="eastAsia"/>
        </w:rPr>
      </w:pPr>
      <w:r>
        <w:rPr>
          <w:rFonts w:ascii="Times New Roman" w:hAnsi="Times New Roman"/>
          <w:b/>
          <w:sz w:val="22"/>
        </w:rPr>
        <w:t>Table S</w:t>
      </w:r>
      <w:r w:rsidR="0062112F">
        <w:rPr>
          <w:rFonts w:ascii="Times New Roman" w:hAnsi="Times New Roman" w:hint="eastAsia"/>
          <w:b/>
          <w:sz w:val="22"/>
        </w:rPr>
        <w:t>6</w:t>
      </w:r>
      <w:r>
        <w:rPr>
          <w:rFonts w:ascii="Times New Roman" w:hAnsi="Times New Roman"/>
          <w:b/>
          <w:sz w:val="22"/>
        </w:rPr>
        <w:t>. Illustrative forms of bottom-up feedback in the reviewed evidence</w:t>
      </w:r>
    </w:p>
    <w:tbl>
      <w:tblPr>
        <w:tblStyle w:val="af2"/>
        <w:tblW w:w="8309"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9"/>
        <w:gridCol w:w="2952"/>
        <w:gridCol w:w="1944"/>
        <w:gridCol w:w="1944"/>
      </w:tblGrid>
      <w:tr w:rsidR="0097156C" w14:paraId="4D955DEC" w14:textId="77777777" w:rsidTr="000C468E">
        <w:trPr>
          <w:tblHeader/>
        </w:trPr>
        <w:tc>
          <w:tcPr>
            <w:tcW w:w="1469"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4216D657" w14:textId="77777777" w:rsidR="0097156C" w:rsidRDefault="0097156C" w:rsidP="000C468E">
            <w:pPr>
              <w:adjustRightInd w:val="0"/>
              <w:snapToGrid w:val="0"/>
              <w:jc w:val="left"/>
              <w:rPr>
                <w:rFonts w:hint="eastAsia"/>
              </w:rPr>
            </w:pPr>
            <w:r>
              <w:rPr>
                <w:rFonts w:ascii="Times New Roman" w:hAnsi="Times New Roman"/>
                <w:b/>
                <w:sz w:val="16"/>
              </w:rPr>
              <w:t>Feedback form</w:t>
            </w:r>
          </w:p>
        </w:tc>
        <w:tc>
          <w:tcPr>
            <w:tcW w:w="2952"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0129AD23" w14:textId="77777777" w:rsidR="0097156C" w:rsidRDefault="0097156C" w:rsidP="000C468E">
            <w:pPr>
              <w:adjustRightInd w:val="0"/>
              <w:snapToGrid w:val="0"/>
              <w:jc w:val="left"/>
              <w:rPr>
                <w:rFonts w:hint="eastAsia"/>
              </w:rPr>
            </w:pPr>
            <w:r>
              <w:rPr>
                <w:rFonts w:ascii="Times New Roman" w:hAnsi="Times New Roman"/>
                <w:b/>
                <w:sz w:val="16"/>
              </w:rPr>
              <w:t>Evidence and pathway</w:t>
            </w:r>
          </w:p>
        </w:tc>
        <w:tc>
          <w:tcPr>
            <w:tcW w:w="1944"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36E3CFE9" w14:textId="77777777" w:rsidR="0097156C" w:rsidRDefault="0097156C" w:rsidP="000C468E">
            <w:pPr>
              <w:adjustRightInd w:val="0"/>
              <w:snapToGrid w:val="0"/>
              <w:jc w:val="left"/>
              <w:rPr>
                <w:rFonts w:hint="eastAsia"/>
              </w:rPr>
            </w:pPr>
            <w:r>
              <w:rPr>
                <w:rFonts w:ascii="Times New Roman" w:hAnsi="Times New Roman"/>
                <w:b/>
                <w:sz w:val="16"/>
              </w:rPr>
              <w:t>Governance relevance</w:t>
            </w:r>
          </w:p>
        </w:tc>
        <w:tc>
          <w:tcPr>
            <w:tcW w:w="1944"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5CAC0053" w14:textId="77777777" w:rsidR="0097156C" w:rsidRDefault="0097156C" w:rsidP="000C468E">
            <w:pPr>
              <w:adjustRightInd w:val="0"/>
              <w:snapToGrid w:val="0"/>
              <w:jc w:val="left"/>
              <w:rPr>
                <w:rFonts w:hint="eastAsia"/>
              </w:rPr>
            </w:pPr>
            <w:r>
              <w:rPr>
                <w:rFonts w:ascii="Times New Roman" w:hAnsi="Times New Roman"/>
                <w:b/>
                <w:sz w:val="16"/>
              </w:rPr>
              <w:t>Conditions affecting use</w:t>
            </w:r>
          </w:p>
        </w:tc>
      </w:tr>
      <w:tr w:rsidR="0097156C" w14:paraId="4413EC28" w14:textId="77777777" w:rsidTr="000C468E">
        <w:trPr>
          <w:cantSplit/>
        </w:trPr>
        <w:tc>
          <w:tcPr>
            <w:tcW w:w="1469" w:type="dxa"/>
            <w:tcBorders>
              <w:top w:val="single" w:sz="4" w:space="0" w:color="auto"/>
            </w:tcBorders>
            <w:shd w:val="clear" w:color="auto" w:fill="auto"/>
            <w:tcMar>
              <w:top w:w="80" w:type="dxa"/>
              <w:left w:w="90" w:type="dxa"/>
              <w:bottom w:w="80" w:type="dxa"/>
              <w:right w:w="90" w:type="dxa"/>
            </w:tcMar>
            <w:vAlign w:val="center"/>
          </w:tcPr>
          <w:p w14:paraId="7641048B" w14:textId="77777777" w:rsidR="0097156C" w:rsidRDefault="0097156C" w:rsidP="000C468E">
            <w:pPr>
              <w:adjustRightInd w:val="0"/>
              <w:snapToGrid w:val="0"/>
              <w:jc w:val="left"/>
              <w:rPr>
                <w:rFonts w:hint="eastAsia"/>
              </w:rPr>
            </w:pPr>
            <w:r>
              <w:rPr>
                <w:rFonts w:ascii="Times New Roman" w:hAnsi="Times New Roman"/>
                <w:b/>
                <w:sz w:val="16"/>
              </w:rPr>
              <w:t>Informational</w:t>
            </w:r>
          </w:p>
        </w:tc>
        <w:tc>
          <w:tcPr>
            <w:tcW w:w="2952" w:type="dxa"/>
            <w:tcBorders>
              <w:top w:val="single" w:sz="4" w:space="0" w:color="auto"/>
            </w:tcBorders>
            <w:shd w:val="clear" w:color="auto" w:fill="auto"/>
            <w:tcMar>
              <w:top w:w="80" w:type="dxa"/>
              <w:left w:w="90" w:type="dxa"/>
              <w:bottom w:w="80" w:type="dxa"/>
              <w:right w:w="90" w:type="dxa"/>
            </w:tcMar>
            <w:vAlign w:val="center"/>
          </w:tcPr>
          <w:p w14:paraId="37583239" w14:textId="77777777" w:rsidR="0097156C" w:rsidRDefault="0097156C" w:rsidP="000C468E">
            <w:pPr>
              <w:adjustRightInd w:val="0"/>
              <w:snapToGrid w:val="0"/>
              <w:jc w:val="left"/>
              <w:rPr>
                <w:rFonts w:hint="eastAsia"/>
              </w:rPr>
            </w:pPr>
            <w:r>
              <w:rPr>
                <w:rFonts w:ascii="Times New Roman" w:hAnsi="Times New Roman"/>
                <w:sz w:val="16"/>
              </w:rPr>
              <w:t>The first-secretary-in-residence system links higher-level departments with village conditions and resource needs (Liao et al., 2020).</w:t>
            </w:r>
          </w:p>
        </w:tc>
        <w:tc>
          <w:tcPr>
            <w:tcW w:w="1944" w:type="dxa"/>
            <w:tcBorders>
              <w:top w:val="single" w:sz="4" w:space="0" w:color="auto"/>
            </w:tcBorders>
            <w:shd w:val="clear" w:color="auto" w:fill="auto"/>
            <w:tcMar>
              <w:top w:w="80" w:type="dxa"/>
              <w:left w:w="90" w:type="dxa"/>
              <w:bottom w:w="80" w:type="dxa"/>
              <w:right w:w="90" w:type="dxa"/>
            </w:tcMar>
            <w:vAlign w:val="center"/>
          </w:tcPr>
          <w:p w14:paraId="4D8B7392" w14:textId="77777777" w:rsidR="0097156C" w:rsidRDefault="0097156C" w:rsidP="000C468E">
            <w:pPr>
              <w:adjustRightInd w:val="0"/>
              <w:snapToGrid w:val="0"/>
              <w:jc w:val="left"/>
              <w:rPr>
                <w:rFonts w:hint="eastAsia"/>
              </w:rPr>
            </w:pPr>
            <w:r>
              <w:rPr>
                <w:rFonts w:ascii="Times New Roman" w:hAnsi="Times New Roman"/>
                <w:sz w:val="16"/>
              </w:rPr>
              <w:t>Local constraints and needs become visible across administrative levels.</w:t>
            </w:r>
          </w:p>
        </w:tc>
        <w:tc>
          <w:tcPr>
            <w:tcW w:w="1944" w:type="dxa"/>
            <w:tcBorders>
              <w:top w:val="single" w:sz="4" w:space="0" w:color="auto"/>
            </w:tcBorders>
            <w:shd w:val="clear" w:color="auto" w:fill="auto"/>
            <w:tcMar>
              <w:top w:w="80" w:type="dxa"/>
              <w:left w:w="90" w:type="dxa"/>
              <w:bottom w:w="80" w:type="dxa"/>
              <w:right w:w="90" w:type="dxa"/>
            </w:tcMar>
            <w:vAlign w:val="center"/>
          </w:tcPr>
          <w:p w14:paraId="79DD9116" w14:textId="77777777" w:rsidR="0097156C" w:rsidRDefault="0097156C" w:rsidP="000C468E">
            <w:pPr>
              <w:adjustRightInd w:val="0"/>
              <w:snapToGrid w:val="0"/>
              <w:jc w:val="left"/>
              <w:rPr>
                <w:rFonts w:hint="eastAsia"/>
              </w:rPr>
            </w:pPr>
            <w:r>
              <w:rPr>
                <w:rFonts w:ascii="Times New Roman" w:hAnsi="Times New Roman"/>
                <w:sz w:val="16"/>
              </w:rPr>
              <w:t>Diverse household experience must be represented and reach actors able to revise implementation.</w:t>
            </w:r>
          </w:p>
        </w:tc>
      </w:tr>
      <w:tr w:rsidR="0097156C" w14:paraId="71F89DCF" w14:textId="77777777" w:rsidTr="000C468E">
        <w:trPr>
          <w:cantSplit/>
        </w:trPr>
        <w:tc>
          <w:tcPr>
            <w:tcW w:w="1469" w:type="dxa"/>
            <w:shd w:val="clear" w:color="auto" w:fill="auto"/>
            <w:tcMar>
              <w:top w:w="80" w:type="dxa"/>
              <w:left w:w="90" w:type="dxa"/>
              <w:bottom w:w="80" w:type="dxa"/>
              <w:right w:w="90" w:type="dxa"/>
            </w:tcMar>
            <w:vAlign w:val="center"/>
          </w:tcPr>
          <w:p w14:paraId="4B579B6A" w14:textId="77777777" w:rsidR="0097156C" w:rsidRDefault="0097156C" w:rsidP="000C468E">
            <w:pPr>
              <w:adjustRightInd w:val="0"/>
              <w:snapToGrid w:val="0"/>
              <w:jc w:val="left"/>
              <w:rPr>
                <w:rFonts w:hint="eastAsia"/>
              </w:rPr>
            </w:pPr>
            <w:r>
              <w:rPr>
                <w:rFonts w:ascii="Times New Roman" w:hAnsi="Times New Roman"/>
                <w:b/>
                <w:sz w:val="16"/>
              </w:rPr>
              <w:t>Organizational</w:t>
            </w:r>
          </w:p>
        </w:tc>
        <w:tc>
          <w:tcPr>
            <w:tcW w:w="2952" w:type="dxa"/>
            <w:shd w:val="clear" w:color="auto" w:fill="auto"/>
            <w:tcMar>
              <w:top w:w="80" w:type="dxa"/>
              <w:left w:w="90" w:type="dxa"/>
              <w:bottom w:w="80" w:type="dxa"/>
              <w:right w:w="90" w:type="dxa"/>
            </w:tcMar>
            <w:vAlign w:val="center"/>
          </w:tcPr>
          <w:p w14:paraId="7AF20606" w14:textId="77777777" w:rsidR="0097156C" w:rsidRDefault="0097156C" w:rsidP="000C468E">
            <w:pPr>
              <w:adjustRightInd w:val="0"/>
              <w:snapToGrid w:val="0"/>
              <w:jc w:val="left"/>
              <w:rPr>
                <w:rFonts w:hint="eastAsia"/>
              </w:rPr>
            </w:pPr>
            <w:r>
              <w:rPr>
                <w:rFonts w:ascii="Times New Roman" w:hAnsi="Times New Roman"/>
                <w:sz w:val="16"/>
              </w:rPr>
              <w:t>Public–private water-management partnerships combine scientific and local knowledge, funding, and risk sharing (Zhang et al., 2018).</w:t>
            </w:r>
          </w:p>
        </w:tc>
        <w:tc>
          <w:tcPr>
            <w:tcW w:w="1944" w:type="dxa"/>
            <w:shd w:val="clear" w:color="auto" w:fill="auto"/>
            <w:tcMar>
              <w:top w:w="80" w:type="dxa"/>
              <w:left w:w="90" w:type="dxa"/>
              <w:bottom w:w="80" w:type="dxa"/>
              <w:right w:w="90" w:type="dxa"/>
            </w:tcMar>
            <w:vAlign w:val="center"/>
          </w:tcPr>
          <w:p w14:paraId="31DE1030" w14:textId="77777777" w:rsidR="0097156C" w:rsidRDefault="0097156C" w:rsidP="000C468E">
            <w:pPr>
              <w:adjustRightInd w:val="0"/>
              <w:snapToGrid w:val="0"/>
              <w:jc w:val="left"/>
              <w:rPr>
                <w:rFonts w:hint="eastAsia"/>
              </w:rPr>
            </w:pPr>
            <w:r>
              <w:rPr>
                <w:rFonts w:ascii="Times New Roman" w:hAnsi="Times New Roman"/>
                <w:sz w:val="16"/>
              </w:rPr>
              <w:t>Delivery can be adjusted where public projects encounter local gaps.</w:t>
            </w:r>
          </w:p>
        </w:tc>
        <w:tc>
          <w:tcPr>
            <w:tcW w:w="1944" w:type="dxa"/>
            <w:shd w:val="clear" w:color="auto" w:fill="auto"/>
            <w:tcMar>
              <w:top w:w="80" w:type="dxa"/>
              <w:left w:w="90" w:type="dxa"/>
              <w:bottom w:w="80" w:type="dxa"/>
              <w:right w:w="90" w:type="dxa"/>
            </w:tcMar>
            <w:vAlign w:val="center"/>
          </w:tcPr>
          <w:p w14:paraId="2F1FCC98" w14:textId="77777777" w:rsidR="0097156C" w:rsidRDefault="0097156C" w:rsidP="000C468E">
            <w:pPr>
              <w:adjustRightInd w:val="0"/>
              <w:snapToGrid w:val="0"/>
              <w:jc w:val="left"/>
              <w:rPr>
                <w:rFonts w:hint="eastAsia"/>
              </w:rPr>
            </w:pPr>
            <w:r>
              <w:rPr>
                <w:rFonts w:ascii="Times New Roman" w:hAnsi="Times New Roman"/>
                <w:sz w:val="16"/>
              </w:rPr>
              <w:t>Responsibilities, authority, trust, and project timing need to support local modification.</w:t>
            </w:r>
          </w:p>
        </w:tc>
      </w:tr>
      <w:tr w:rsidR="0097156C" w14:paraId="6F65541B" w14:textId="77777777" w:rsidTr="000C468E">
        <w:trPr>
          <w:cantSplit/>
        </w:trPr>
        <w:tc>
          <w:tcPr>
            <w:tcW w:w="1469" w:type="dxa"/>
            <w:shd w:val="clear" w:color="auto" w:fill="auto"/>
            <w:tcMar>
              <w:top w:w="80" w:type="dxa"/>
              <w:left w:w="90" w:type="dxa"/>
              <w:bottom w:w="80" w:type="dxa"/>
              <w:right w:w="90" w:type="dxa"/>
            </w:tcMar>
            <w:vAlign w:val="center"/>
          </w:tcPr>
          <w:p w14:paraId="69CB100C" w14:textId="77777777" w:rsidR="0097156C" w:rsidRDefault="0097156C" w:rsidP="000C468E">
            <w:pPr>
              <w:adjustRightInd w:val="0"/>
              <w:snapToGrid w:val="0"/>
              <w:jc w:val="left"/>
              <w:rPr>
                <w:rFonts w:hint="eastAsia"/>
              </w:rPr>
            </w:pPr>
            <w:r>
              <w:rPr>
                <w:rFonts w:ascii="Times New Roman" w:hAnsi="Times New Roman"/>
                <w:b/>
                <w:sz w:val="16"/>
              </w:rPr>
              <w:t>Strategic</w:t>
            </w:r>
          </w:p>
        </w:tc>
        <w:tc>
          <w:tcPr>
            <w:tcW w:w="2952" w:type="dxa"/>
            <w:shd w:val="clear" w:color="auto" w:fill="auto"/>
            <w:tcMar>
              <w:top w:w="80" w:type="dxa"/>
              <w:left w:w="90" w:type="dxa"/>
              <w:bottom w:w="80" w:type="dxa"/>
              <w:right w:w="90" w:type="dxa"/>
            </w:tcMar>
            <w:vAlign w:val="center"/>
          </w:tcPr>
          <w:p w14:paraId="2E339452" w14:textId="77777777" w:rsidR="0097156C" w:rsidRDefault="0097156C" w:rsidP="000C468E">
            <w:pPr>
              <w:adjustRightInd w:val="0"/>
              <w:snapToGrid w:val="0"/>
              <w:jc w:val="left"/>
              <w:rPr>
                <w:rFonts w:hint="eastAsia"/>
              </w:rPr>
            </w:pPr>
            <w:r>
              <w:rPr>
                <w:rFonts w:ascii="Times New Roman" w:hAnsi="Times New Roman"/>
                <w:sz w:val="16"/>
              </w:rPr>
              <w:t>Household uptake and non-adoption among banana farmers reveal the feasibility of technologies and strategies (Zhu et al., 2021).</w:t>
            </w:r>
          </w:p>
        </w:tc>
        <w:tc>
          <w:tcPr>
            <w:tcW w:w="1944" w:type="dxa"/>
            <w:shd w:val="clear" w:color="auto" w:fill="auto"/>
            <w:tcMar>
              <w:top w:w="80" w:type="dxa"/>
              <w:left w:w="90" w:type="dxa"/>
              <w:bottom w:w="80" w:type="dxa"/>
              <w:right w:w="90" w:type="dxa"/>
            </w:tcMar>
            <w:vAlign w:val="center"/>
          </w:tcPr>
          <w:p w14:paraId="0BCDE037" w14:textId="77777777" w:rsidR="0097156C" w:rsidRDefault="0097156C" w:rsidP="000C468E">
            <w:pPr>
              <w:adjustRightInd w:val="0"/>
              <w:snapToGrid w:val="0"/>
              <w:jc w:val="left"/>
              <w:rPr>
                <w:rFonts w:hint="eastAsia"/>
              </w:rPr>
            </w:pPr>
            <w:r>
              <w:rPr>
                <w:rFonts w:ascii="Times New Roman" w:hAnsi="Times New Roman"/>
                <w:sz w:val="16"/>
              </w:rPr>
              <w:t>Household choices provide evidence on information, policy, market, labor, and resource constraints.</w:t>
            </w:r>
          </w:p>
        </w:tc>
        <w:tc>
          <w:tcPr>
            <w:tcW w:w="1944" w:type="dxa"/>
            <w:shd w:val="clear" w:color="auto" w:fill="auto"/>
            <w:tcMar>
              <w:top w:w="80" w:type="dxa"/>
              <w:left w:w="90" w:type="dxa"/>
              <w:bottom w:w="80" w:type="dxa"/>
              <w:right w:w="90" w:type="dxa"/>
            </w:tcMar>
            <w:vAlign w:val="center"/>
          </w:tcPr>
          <w:p w14:paraId="741F49F6" w14:textId="77777777" w:rsidR="0097156C" w:rsidRDefault="0097156C" w:rsidP="000C468E">
            <w:pPr>
              <w:adjustRightInd w:val="0"/>
              <w:snapToGrid w:val="0"/>
              <w:jc w:val="left"/>
              <w:rPr>
                <w:rFonts w:hint="eastAsia"/>
              </w:rPr>
            </w:pPr>
            <w:r>
              <w:rPr>
                <w:rFonts w:ascii="Times New Roman" w:hAnsi="Times New Roman"/>
                <w:sz w:val="16"/>
              </w:rPr>
              <w:t>Implementers need to examine reasons for choices rather than equating uptake with success.</w:t>
            </w:r>
          </w:p>
        </w:tc>
      </w:tr>
      <w:tr w:rsidR="0097156C" w14:paraId="7F4CFC2A" w14:textId="77777777" w:rsidTr="000C468E">
        <w:trPr>
          <w:cantSplit/>
        </w:trPr>
        <w:tc>
          <w:tcPr>
            <w:tcW w:w="1469" w:type="dxa"/>
            <w:tcBorders>
              <w:bottom w:val="single" w:sz="12" w:space="0" w:color="auto"/>
            </w:tcBorders>
            <w:shd w:val="clear" w:color="auto" w:fill="auto"/>
            <w:tcMar>
              <w:top w:w="80" w:type="dxa"/>
              <w:left w:w="90" w:type="dxa"/>
              <w:bottom w:w="80" w:type="dxa"/>
              <w:right w:w="90" w:type="dxa"/>
            </w:tcMar>
            <w:vAlign w:val="center"/>
          </w:tcPr>
          <w:p w14:paraId="1D5885D3" w14:textId="77777777" w:rsidR="0097156C" w:rsidRDefault="0097156C" w:rsidP="000C468E">
            <w:pPr>
              <w:adjustRightInd w:val="0"/>
              <w:snapToGrid w:val="0"/>
              <w:jc w:val="left"/>
              <w:rPr>
                <w:rFonts w:hint="eastAsia"/>
              </w:rPr>
            </w:pPr>
            <w:r>
              <w:rPr>
                <w:rFonts w:ascii="Times New Roman" w:hAnsi="Times New Roman"/>
                <w:b/>
                <w:sz w:val="16"/>
              </w:rPr>
              <w:lastRenderedPageBreak/>
              <w:t>Evaluative</w:t>
            </w:r>
          </w:p>
        </w:tc>
        <w:tc>
          <w:tcPr>
            <w:tcW w:w="2952" w:type="dxa"/>
            <w:tcBorders>
              <w:bottom w:val="single" w:sz="12" w:space="0" w:color="auto"/>
            </w:tcBorders>
            <w:shd w:val="clear" w:color="auto" w:fill="auto"/>
            <w:tcMar>
              <w:top w:w="80" w:type="dxa"/>
              <w:left w:w="90" w:type="dxa"/>
              <w:bottom w:w="80" w:type="dxa"/>
              <w:right w:w="90" w:type="dxa"/>
            </w:tcMar>
            <w:vAlign w:val="center"/>
          </w:tcPr>
          <w:p w14:paraId="6812A66C" w14:textId="77777777" w:rsidR="0097156C" w:rsidRDefault="0097156C" w:rsidP="000C468E">
            <w:pPr>
              <w:adjustRightInd w:val="0"/>
              <w:snapToGrid w:val="0"/>
              <w:jc w:val="left"/>
              <w:rPr>
                <w:rFonts w:hint="eastAsia"/>
              </w:rPr>
            </w:pPr>
            <w:r>
              <w:rPr>
                <w:rFonts w:ascii="Times New Roman" w:hAnsi="Times New Roman"/>
                <w:sz w:val="16"/>
              </w:rPr>
              <w:t>Livelihood outcomes after disaster-related resettlement reveal effects that completion indicators cannot capture (Liu et al., 2020b).</w:t>
            </w:r>
          </w:p>
        </w:tc>
        <w:tc>
          <w:tcPr>
            <w:tcW w:w="1944" w:type="dxa"/>
            <w:tcBorders>
              <w:bottom w:val="single" w:sz="12" w:space="0" w:color="auto"/>
            </w:tcBorders>
            <w:shd w:val="clear" w:color="auto" w:fill="auto"/>
            <w:tcMar>
              <w:top w:w="80" w:type="dxa"/>
              <w:left w:w="90" w:type="dxa"/>
              <w:bottom w:w="80" w:type="dxa"/>
              <w:right w:w="90" w:type="dxa"/>
            </w:tcMar>
            <w:vAlign w:val="center"/>
          </w:tcPr>
          <w:p w14:paraId="2E8774F9" w14:textId="77777777" w:rsidR="0097156C" w:rsidRDefault="0097156C" w:rsidP="000C468E">
            <w:pPr>
              <w:adjustRightInd w:val="0"/>
              <w:snapToGrid w:val="0"/>
              <w:jc w:val="left"/>
              <w:rPr>
                <w:rFonts w:hint="eastAsia"/>
              </w:rPr>
            </w:pPr>
            <w:r>
              <w:rPr>
                <w:rFonts w:ascii="Times New Roman" w:hAnsi="Times New Roman"/>
                <w:sz w:val="16"/>
              </w:rPr>
              <w:t>Experienced outcomes identify unintended effects and priorities for follow-up adjustment.</w:t>
            </w:r>
          </w:p>
        </w:tc>
        <w:tc>
          <w:tcPr>
            <w:tcW w:w="1944" w:type="dxa"/>
            <w:tcBorders>
              <w:bottom w:val="single" w:sz="12" w:space="0" w:color="auto"/>
            </w:tcBorders>
            <w:shd w:val="clear" w:color="auto" w:fill="auto"/>
            <w:tcMar>
              <w:top w:w="80" w:type="dxa"/>
              <w:left w:w="90" w:type="dxa"/>
              <w:bottom w:w="80" w:type="dxa"/>
              <w:right w:w="90" w:type="dxa"/>
            </w:tcMar>
            <w:vAlign w:val="center"/>
          </w:tcPr>
          <w:p w14:paraId="1D9F31FA" w14:textId="77777777" w:rsidR="0097156C" w:rsidRDefault="0097156C" w:rsidP="000C468E">
            <w:pPr>
              <w:adjustRightInd w:val="0"/>
              <w:snapToGrid w:val="0"/>
              <w:jc w:val="left"/>
              <w:rPr>
                <w:rFonts w:hint="eastAsia"/>
              </w:rPr>
            </w:pPr>
            <w:r>
              <w:rPr>
                <w:rFonts w:ascii="Times New Roman" w:hAnsi="Times New Roman"/>
                <w:sz w:val="16"/>
              </w:rPr>
              <w:t>Evaluation supports learning when findings enter program review and policy revision.</w:t>
            </w:r>
          </w:p>
        </w:tc>
      </w:tr>
    </w:tbl>
    <w:p w14:paraId="4772C7E0" w14:textId="77777777" w:rsidR="0097156C" w:rsidRDefault="0097156C" w:rsidP="0097156C">
      <w:pPr>
        <w:keepNext/>
        <w:spacing w:before="200" w:after="80"/>
        <w:rPr>
          <w:rFonts w:hint="eastAsia"/>
        </w:rPr>
      </w:pPr>
      <w:r>
        <w:rPr>
          <w:rFonts w:ascii="Times New Roman" w:hAnsi="Times New Roman"/>
          <w:b/>
          <w:sz w:val="24"/>
        </w:rPr>
        <w:t>S5. Governance tensions and uneven outcomes</w:t>
      </w:r>
    </w:p>
    <w:p w14:paraId="196AB684" w14:textId="77777777" w:rsidR="0097156C" w:rsidRDefault="0097156C" w:rsidP="0097156C">
      <w:pPr>
        <w:spacing w:after="80" w:line="269" w:lineRule="auto"/>
        <w:ind w:firstLine="317"/>
        <w:rPr>
          <w:rFonts w:hint="eastAsia"/>
        </w:rPr>
      </w:pPr>
      <w:r>
        <w:rPr>
          <w:rFonts w:ascii="Times New Roman" w:hAnsi="Times New Roman"/>
          <w:sz w:val="22"/>
        </w:rPr>
        <w:t>Collaborative arrangements can improve access to resources, services, and coordination, yet the same arrangements may create mismatch, dependence, exclusion, or reduced flexibility. Adaptation interventions alter existing institutions and redistribute opportunities, costs, and risks. Their effects on vulnerability can therefore differ across households and over time (</w:t>
      </w:r>
      <w:r w:rsidRPr="000C468E">
        <w:rPr>
          <w:rFonts w:ascii="Times New Roman" w:hAnsi="Times New Roman"/>
          <w:color w:val="0070C0"/>
          <w:sz w:val="22"/>
        </w:rPr>
        <w:t>Eriksen et al., 2021; Schipper, 2020</w:t>
      </w:r>
      <w:r>
        <w:rPr>
          <w:rFonts w:ascii="Times New Roman" w:hAnsi="Times New Roman"/>
          <w:sz w:val="22"/>
        </w:rPr>
        <w:t>). The main tensions identified in the reviewed evidence concern local fit, adaptive dependence, unequal participation, the balance between state capacity and local flexibility, and accountability in polycentric arrangements.</w:t>
      </w:r>
    </w:p>
    <w:p w14:paraId="2DE8AD23" w14:textId="77777777" w:rsidR="0097156C" w:rsidRDefault="0097156C" w:rsidP="0097156C">
      <w:pPr>
        <w:keepNext/>
        <w:spacing w:before="200" w:after="80"/>
        <w:rPr>
          <w:rFonts w:hint="eastAsia"/>
        </w:rPr>
      </w:pPr>
      <w:r>
        <w:rPr>
          <w:rFonts w:ascii="Times New Roman" w:hAnsi="Times New Roman"/>
          <w:b/>
          <w:sz w:val="24"/>
        </w:rPr>
        <w:t>S5.1 Coordination and local fit</w:t>
      </w:r>
    </w:p>
    <w:p w14:paraId="5246E09F" w14:textId="77777777" w:rsidR="0097156C" w:rsidRDefault="0097156C" w:rsidP="0097156C">
      <w:pPr>
        <w:spacing w:after="80" w:line="269" w:lineRule="auto"/>
        <w:ind w:firstLine="317"/>
        <w:rPr>
          <w:rFonts w:hint="eastAsia"/>
        </w:rPr>
      </w:pPr>
      <w:r>
        <w:rPr>
          <w:rFonts w:ascii="Times New Roman" w:hAnsi="Times New Roman"/>
          <w:sz w:val="22"/>
        </w:rPr>
        <w:t>Strong coordination can expand program coverage, but implementation may still fail when information, institutions, resources, values, or governance capacities do not align with local adaptation processes (</w:t>
      </w:r>
      <w:r w:rsidRPr="000C468E">
        <w:rPr>
          <w:rFonts w:ascii="Times New Roman" w:hAnsi="Times New Roman"/>
          <w:color w:val="0070C0"/>
          <w:sz w:val="22"/>
        </w:rPr>
        <w:t xml:space="preserve">Moser and </w:t>
      </w:r>
      <w:proofErr w:type="spellStart"/>
      <w:r w:rsidRPr="000C468E">
        <w:rPr>
          <w:rFonts w:ascii="Times New Roman" w:hAnsi="Times New Roman"/>
          <w:color w:val="0070C0"/>
          <w:sz w:val="22"/>
        </w:rPr>
        <w:t>Ekstrom</w:t>
      </w:r>
      <w:proofErr w:type="spellEnd"/>
      <w:r w:rsidRPr="000C468E">
        <w:rPr>
          <w:rFonts w:ascii="Times New Roman" w:hAnsi="Times New Roman"/>
          <w:color w:val="0070C0"/>
          <w:sz w:val="22"/>
        </w:rPr>
        <w:t>, 2010</w:t>
      </w:r>
      <w:r>
        <w:rPr>
          <w:rFonts w:ascii="Times New Roman" w:hAnsi="Times New Roman"/>
          <w:sz w:val="22"/>
        </w:rPr>
        <w:t>). Adaptive water policies in arid northwest China produced uneven benefits because household capital, social capital, political status, and participation influenced access (</w:t>
      </w:r>
      <w:r w:rsidRPr="000C468E">
        <w:rPr>
          <w:rFonts w:ascii="Times New Roman" w:hAnsi="Times New Roman"/>
          <w:color w:val="0070C0"/>
          <w:sz w:val="22"/>
        </w:rPr>
        <w:t>Tan and Liu, 2017</w:t>
      </w:r>
      <w:r>
        <w:rPr>
          <w:rFonts w:ascii="Times New Roman" w:hAnsi="Times New Roman"/>
          <w:sz w:val="22"/>
        </w:rPr>
        <w:t>). The issue is not coordination itself, but the relationship between standardized objectives and heterogeneous livelihood conditions. Local fit requires diagnostic information before implementation and authority to adjust instruments as ecological and household conditions change.</w:t>
      </w:r>
    </w:p>
    <w:p w14:paraId="0424037D" w14:textId="77777777" w:rsidR="0097156C" w:rsidRDefault="0097156C" w:rsidP="0097156C">
      <w:pPr>
        <w:keepNext/>
        <w:spacing w:before="200" w:after="80"/>
        <w:rPr>
          <w:rFonts w:hint="eastAsia"/>
        </w:rPr>
      </w:pPr>
      <w:r>
        <w:rPr>
          <w:rFonts w:ascii="Times New Roman" w:hAnsi="Times New Roman"/>
          <w:b/>
          <w:sz w:val="24"/>
        </w:rPr>
        <w:t>S5.2 Support and adaptive dependence</w:t>
      </w:r>
    </w:p>
    <w:p w14:paraId="74A69013" w14:textId="77777777" w:rsidR="0097156C" w:rsidRDefault="0097156C" w:rsidP="0097156C">
      <w:pPr>
        <w:spacing w:after="80" w:line="269" w:lineRule="auto"/>
        <w:ind w:firstLine="317"/>
        <w:rPr>
          <w:rFonts w:hint="eastAsia"/>
        </w:rPr>
      </w:pPr>
      <w:r>
        <w:rPr>
          <w:rFonts w:ascii="Times New Roman" w:hAnsi="Times New Roman"/>
          <w:sz w:val="22"/>
        </w:rPr>
        <w:t>Subsidies, credit, insurance, purchased inputs, and market connections can reduce immediate constraints. They may also expose households to debt, price volatility, or program withdrawal. Tibetan pastoral households increasingly used purchased forage and market exchange in response to climatic and socioeconomic change, gaining coping options while taking on new dependencies (</w:t>
      </w:r>
      <w:r w:rsidRPr="000C468E">
        <w:rPr>
          <w:rFonts w:ascii="Times New Roman" w:hAnsi="Times New Roman"/>
          <w:color w:val="0070C0"/>
          <w:sz w:val="22"/>
        </w:rPr>
        <w:t>Wang et al., 2014</w:t>
      </w:r>
      <w:r>
        <w:rPr>
          <w:rFonts w:ascii="Times New Roman" w:hAnsi="Times New Roman"/>
          <w:sz w:val="22"/>
        </w:rPr>
        <w:t>). Financial inclusion may similarly constrain sustainable development when borrowing supports ecologically or economically fragile pathways (</w:t>
      </w:r>
      <w:r w:rsidRPr="000C468E">
        <w:rPr>
          <w:rFonts w:ascii="Times New Roman" w:hAnsi="Times New Roman"/>
          <w:color w:val="0070C0"/>
          <w:sz w:val="22"/>
        </w:rPr>
        <w:t>Li et al., 2021a</w:t>
      </w:r>
      <w:r>
        <w:rPr>
          <w:rFonts w:ascii="Times New Roman" w:hAnsi="Times New Roman"/>
          <w:sz w:val="22"/>
        </w:rPr>
        <w:t>). Support strengthens resilience when it expands future options and household capability. Dependence becomes a concern when households cannot maintain a strategy without continuing external inputs or when obligations reduce their capacity to change course.</w:t>
      </w:r>
    </w:p>
    <w:p w14:paraId="34F2158D" w14:textId="77777777" w:rsidR="0097156C" w:rsidRDefault="0097156C" w:rsidP="0097156C">
      <w:pPr>
        <w:keepNext/>
        <w:spacing w:before="200" w:after="80"/>
        <w:rPr>
          <w:rFonts w:hint="eastAsia"/>
        </w:rPr>
      </w:pPr>
      <w:r>
        <w:rPr>
          <w:rFonts w:ascii="Times New Roman" w:hAnsi="Times New Roman"/>
          <w:b/>
          <w:sz w:val="24"/>
        </w:rPr>
        <w:t>S5.3 Collective action and exclusion</w:t>
      </w:r>
    </w:p>
    <w:p w14:paraId="46318462" w14:textId="77777777" w:rsidR="0097156C" w:rsidRDefault="0097156C" w:rsidP="0097156C">
      <w:pPr>
        <w:spacing w:after="80" w:line="269" w:lineRule="auto"/>
        <w:ind w:firstLine="317"/>
        <w:rPr>
          <w:rFonts w:hint="eastAsia"/>
        </w:rPr>
      </w:pPr>
      <w:r>
        <w:rPr>
          <w:rFonts w:ascii="Times New Roman" w:hAnsi="Times New Roman"/>
          <w:sz w:val="22"/>
        </w:rPr>
        <w:t>Community institutions can improve local coordination while distributing voice and benefits unevenly. Rural welfare targeting in China has been influenced by local political elites (</w:t>
      </w:r>
      <w:r w:rsidRPr="000C468E">
        <w:rPr>
          <w:rFonts w:ascii="Times New Roman" w:hAnsi="Times New Roman"/>
          <w:color w:val="0070C0"/>
          <w:sz w:val="22"/>
        </w:rPr>
        <w:t>Han and Gao, 2019</w:t>
      </w:r>
      <w:r w:rsidRPr="000C468E">
        <w:rPr>
          <w:rFonts w:ascii="Times New Roman" w:hAnsi="Times New Roman"/>
          <w:sz w:val="22"/>
        </w:rPr>
        <w:t>). In targeted poverty alleviation, follow-up checks reduced elite capture, showing that local allo</w:t>
      </w:r>
      <w:r>
        <w:rPr>
          <w:rFonts w:ascii="Times New Roman" w:hAnsi="Times New Roman"/>
          <w:sz w:val="22"/>
        </w:rPr>
        <w:t>cation requires safeguards and review (</w:t>
      </w:r>
      <w:r w:rsidRPr="000C468E">
        <w:rPr>
          <w:rFonts w:ascii="Times New Roman" w:hAnsi="Times New Roman"/>
          <w:color w:val="0070C0"/>
          <w:sz w:val="22"/>
        </w:rPr>
        <w:t>Cheng et al., 2021</w:t>
      </w:r>
      <w:r>
        <w:rPr>
          <w:rFonts w:ascii="Times New Roman" w:hAnsi="Times New Roman"/>
          <w:sz w:val="22"/>
        </w:rPr>
        <w:t xml:space="preserve">). Participation </w:t>
      </w:r>
      <w:r>
        <w:rPr>
          <w:rFonts w:ascii="Times New Roman" w:hAnsi="Times New Roman"/>
          <w:sz w:val="22"/>
        </w:rPr>
        <w:lastRenderedPageBreak/>
        <w:t>also depends on time, information, status, and organizational connections. The presence of a village committee or cooperative therefore does not establish inclusive collaboration by itself. Analysis needs to identify who participates, who controls information, how decisions are recorded, and whether households can question allocations or appeal exclusion.</w:t>
      </w:r>
    </w:p>
    <w:p w14:paraId="74B08C59" w14:textId="77777777" w:rsidR="0097156C" w:rsidRDefault="0097156C" w:rsidP="0097156C">
      <w:pPr>
        <w:keepNext/>
        <w:spacing w:before="200" w:after="80"/>
        <w:rPr>
          <w:rFonts w:hint="eastAsia"/>
        </w:rPr>
      </w:pPr>
      <w:r>
        <w:rPr>
          <w:rFonts w:ascii="Times New Roman" w:hAnsi="Times New Roman"/>
          <w:b/>
          <w:sz w:val="24"/>
        </w:rPr>
        <w:t>S5.4 State capacity and local flexibility</w:t>
      </w:r>
    </w:p>
    <w:p w14:paraId="34052FFD" w14:textId="77777777" w:rsidR="0097156C" w:rsidRDefault="0097156C" w:rsidP="0097156C">
      <w:pPr>
        <w:spacing w:after="80" w:line="269" w:lineRule="auto"/>
        <w:ind w:firstLine="317"/>
        <w:rPr>
          <w:rFonts w:hint="eastAsia"/>
        </w:rPr>
      </w:pPr>
      <w:r>
        <w:rPr>
          <w:rFonts w:ascii="Times New Roman" w:hAnsi="Times New Roman"/>
          <w:sz w:val="22"/>
        </w:rPr>
        <w:t>Administrative reach, fiscal capacity, and organizational mobilization can deliver infrastructure and services at scale. Central coordination can also narrow local decision space when targets and procedures reward uniform implementation. Research on central–local dynamics in China indicates that centralization can accelerate policy diffusion while reducing local distinctiveness and flexibility (</w:t>
      </w:r>
      <w:r w:rsidRPr="000C468E">
        <w:rPr>
          <w:rFonts w:ascii="Times New Roman" w:hAnsi="Times New Roman"/>
          <w:color w:val="0070C0"/>
          <w:sz w:val="22"/>
        </w:rPr>
        <w:t>Luo et al., 2025</w:t>
      </w:r>
      <w:r>
        <w:rPr>
          <w:rFonts w:ascii="Times New Roman" w:hAnsi="Times New Roman"/>
          <w:sz w:val="22"/>
        </w:rPr>
        <w:t>). The resilience effect depends on how authority is divided. Higher levels may set minimum protections and provide finance, while local actors need room to adapt sequencing, eligibility, technology, and service combinations. Feedback and review are needed to ensure that flexibility responds to evidence rather than becoming unaccountable discretion.</w:t>
      </w:r>
    </w:p>
    <w:p w14:paraId="460EC7EA" w14:textId="77777777" w:rsidR="0097156C" w:rsidRDefault="0097156C" w:rsidP="0097156C">
      <w:pPr>
        <w:keepNext/>
        <w:spacing w:before="200" w:after="80"/>
        <w:rPr>
          <w:rFonts w:hint="eastAsia"/>
        </w:rPr>
      </w:pPr>
      <w:r>
        <w:rPr>
          <w:rFonts w:ascii="Times New Roman" w:hAnsi="Times New Roman"/>
          <w:b/>
          <w:sz w:val="24"/>
        </w:rPr>
        <w:t>S5.5 Polycentricity and accountability</w:t>
      </w:r>
    </w:p>
    <w:p w14:paraId="40182F07" w14:textId="77777777" w:rsidR="0097156C" w:rsidRDefault="0097156C" w:rsidP="0097156C">
      <w:pPr>
        <w:spacing w:after="80" w:line="269" w:lineRule="auto"/>
        <w:ind w:firstLine="317"/>
        <w:rPr>
          <w:rFonts w:hint="eastAsia"/>
        </w:rPr>
      </w:pPr>
      <w:r>
        <w:rPr>
          <w:rFonts w:ascii="Times New Roman" w:hAnsi="Times New Roman"/>
          <w:sz w:val="22"/>
        </w:rPr>
        <w:t>Multiple centers of authority can support experimentation and coordination across scales (</w:t>
      </w:r>
      <w:proofErr w:type="spellStart"/>
      <w:r w:rsidRPr="000C468E">
        <w:rPr>
          <w:rFonts w:ascii="Times New Roman" w:hAnsi="Times New Roman"/>
          <w:color w:val="0070C0"/>
          <w:sz w:val="22"/>
        </w:rPr>
        <w:t>Dorsch</w:t>
      </w:r>
      <w:proofErr w:type="spellEnd"/>
      <w:r w:rsidRPr="000C468E">
        <w:rPr>
          <w:rFonts w:ascii="Times New Roman" w:hAnsi="Times New Roman"/>
          <w:color w:val="0070C0"/>
          <w:sz w:val="22"/>
        </w:rPr>
        <w:t xml:space="preserve"> and </w:t>
      </w:r>
      <w:proofErr w:type="spellStart"/>
      <w:r w:rsidRPr="000C468E">
        <w:rPr>
          <w:rFonts w:ascii="Times New Roman" w:hAnsi="Times New Roman"/>
          <w:color w:val="0070C0"/>
          <w:sz w:val="22"/>
        </w:rPr>
        <w:t>Flachsland</w:t>
      </w:r>
      <w:proofErr w:type="spellEnd"/>
      <w:r w:rsidRPr="000C468E">
        <w:rPr>
          <w:rFonts w:ascii="Times New Roman" w:hAnsi="Times New Roman"/>
          <w:color w:val="0070C0"/>
          <w:sz w:val="22"/>
        </w:rPr>
        <w:t>, 2017; Ostrom, 2010</w:t>
      </w:r>
      <w:r>
        <w:rPr>
          <w:rFonts w:ascii="Times New Roman" w:hAnsi="Times New Roman"/>
          <w:sz w:val="22"/>
        </w:rPr>
        <w:t>). They can also make responsibility difficult to locate when government agencies, enterprises, cooperatives, and community organizations share functions. Polycentric governance therefore requires explicit arrangements for decision authority, information disclosure, conflict resolution, and outcome review. Without these arrangements, actors may transfer costs or risk while no institution remains responsible for the overall livelihood effect. Accountability connects collaboration with distributive outcomes by clarifying who must explain decisions and who can require correction.</w:t>
      </w:r>
    </w:p>
    <w:p w14:paraId="7AD10345" w14:textId="64BE53A4" w:rsidR="0097156C" w:rsidRDefault="0097156C" w:rsidP="0097156C">
      <w:pPr>
        <w:spacing w:after="80" w:line="269" w:lineRule="auto"/>
        <w:ind w:firstLine="317"/>
        <w:rPr>
          <w:rFonts w:hint="eastAsia"/>
        </w:rPr>
      </w:pPr>
      <w:r>
        <w:rPr>
          <w:rFonts w:ascii="Times New Roman" w:hAnsi="Times New Roman"/>
          <w:sz w:val="22"/>
        </w:rPr>
        <w:t>These tensions often interact. A standardized program may create poor local fit, dependence can reduce household bargaining power, and weak accountability can reinforce exclusion. The G–C–H framework therefore examines enabling and constraining mechanisms within the same pathway. Table S</w:t>
      </w:r>
      <w:r w:rsidR="0062112F">
        <w:rPr>
          <w:rFonts w:ascii="Times New Roman" w:hAnsi="Times New Roman" w:hint="eastAsia"/>
          <w:sz w:val="22"/>
        </w:rPr>
        <w:t>7</w:t>
      </w:r>
      <w:r>
        <w:rPr>
          <w:rFonts w:ascii="Times New Roman" w:hAnsi="Times New Roman"/>
          <w:sz w:val="22"/>
        </w:rPr>
        <w:t xml:space="preserve"> records the evidence associated with each tension and the questions needed to interpret uneven outcomes.</w:t>
      </w:r>
    </w:p>
    <w:p w14:paraId="3F776534" w14:textId="101538FC" w:rsidR="0097156C" w:rsidRDefault="0097156C" w:rsidP="0097156C">
      <w:pPr>
        <w:keepNext/>
        <w:spacing w:before="120" w:after="60"/>
        <w:jc w:val="center"/>
        <w:rPr>
          <w:rFonts w:hint="eastAsia"/>
        </w:rPr>
      </w:pPr>
      <w:r>
        <w:rPr>
          <w:rFonts w:ascii="Times New Roman" w:hAnsi="Times New Roman"/>
          <w:b/>
          <w:sz w:val="22"/>
        </w:rPr>
        <w:t>Table S</w:t>
      </w:r>
      <w:r w:rsidR="0062112F">
        <w:rPr>
          <w:rFonts w:ascii="Times New Roman" w:hAnsi="Times New Roman" w:hint="eastAsia"/>
          <w:b/>
          <w:sz w:val="22"/>
        </w:rPr>
        <w:t>7</w:t>
      </w:r>
      <w:r>
        <w:rPr>
          <w:rFonts w:ascii="Times New Roman" w:hAnsi="Times New Roman"/>
          <w:b/>
          <w:sz w:val="22"/>
        </w:rPr>
        <w:t>. Evidence on governance tensions and uneven outcomes</w:t>
      </w:r>
    </w:p>
    <w:tbl>
      <w:tblPr>
        <w:tblStyle w:val="af2"/>
        <w:tblW w:w="8309"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2"/>
        <w:gridCol w:w="2952"/>
        <w:gridCol w:w="1872"/>
        <w:gridCol w:w="1973"/>
      </w:tblGrid>
      <w:tr w:rsidR="0097156C" w14:paraId="20B9C5F2" w14:textId="77777777" w:rsidTr="000C468E">
        <w:trPr>
          <w:tblHeader/>
        </w:trPr>
        <w:tc>
          <w:tcPr>
            <w:tcW w:w="1512"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62724E89" w14:textId="77777777" w:rsidR="0097156C" w:rsidRDefault="0097156C" w:rsidP="000C468E">
            <w:pPr>
              <w:adjustRightInd w:val="0"/>
              <w:snapToGrid w:val="0"/>
              <w:jc w:val="left"/>
              <w:rPr>
                <w:rFonts w:hint="eastAsia"/>
              </w:rPr>
            </w:pPr>
            <w:r>
              <w:rPr>
                <w:rFonts w:ascii="Times New Roman" w:hAnsi="Times New Roman"/>
                <w:b/>
                <w:sz w:val="16"/>
              </w:rPr>
              <w:t>Tension</w:t>
            </w:r>
          </w:p>
        </w:tc>
        <w:tc>
          <w:tcPr>
            <w:tcW w:w="2952"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563BC505" w14:textId="77777777" w:rsidR="0097156C" w:rsidRDefault="0097156C" w:rsidP="000C468E">
            <w:pPr>
              <w:adjustRightInd w:val="0"/>
              <w:snapToGrid w:val="0"/>
              <w:jc w:val="left"/>
              <w:rPr>
                <w:rFonts w:hint="eastAsia"/>
              </w:rPr>
            </w:pPr>
            <w:r>
              <w:rPr>
                <w:rFonts w:ascii="Times New Roman" w:hAnsi="Times New Roman"/>
                <w:b/>
                <w:sz w:val="16"/>
              </w:rPr>
              <w:t>Mechanism and evidence</w:t>
            </w:r>
          </w:p>
        </w:tc>
        <w:tc>
          <w:tcPr>
            <w:tcW w:w="1872"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4E023632" w14:textId="77777777" w:rsidR="0097156C" w:rsidRDefault="0097156C" w:rsidP="000C468E">
            <w:pPr>
              <w:adjustRightInd w:val="0"/>
              <w:snapToGrid w:val="0"/>
              <w:jc w:val="left"/>
              <w:rPr>
                <w:rFonts w:hint="eastAsia"/>
              </w:rPr>
            </w:pPr>
            <w:r>
              <w:rPr>
                <w:rFonts w:ascii="Times New Roman" w:hAnsi="Times New Roman"/>
                <w:b/>
                <w:sz w:val="16"/>
              </w:rPr>
              <w:t>Observed or plausible consequence</w:t>
            </w:r>
          </w:p>
        </w:tc>
        <w:tc>
          <w:tcPr>
            <w:tcW w:w="1973"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45E5ECC9" w14:textId="77777777" w:rsidR="0097156C" w:rsidRDefault="0097156C" w:rsidP="000C468E">
            <w:pPr>
              <w:adjustRightInd w:val="0"/>
              <w:snapToGrid w:val="0"/>
              <w:jc w:val="left"/>
              <w:rPr>
                <w:rFonts w:hint="eastAsia"/>
              </w:rPr>
            </w:pPr>
            <w:r>
              <w:rPr>
                <w:rFonts w:ascii="Times New Roman" w:hAnsi="Times New Roman"/>
                <w:b/>
                <w:sz w:val="16"/>
              </w:rPr>
              <w:t>Question for framework application</w:t>
            </w:r>
          </w:p>
        </w:tc>
      </w:tr>
      <w:tr w:rsidR="0097156C" w14:paraId="4EB58B58" w14:textId="77777777" w:rsidTr="000C468E">
        <w:trPr>
          <w:cantSplit/>
        </w:trPr>
        <w:tc>
          <w:tcPr>
            <w:tcW w:w="1512" w:type="dxa"/>
            <w:tcBorders>
              <w:top w:val="single" w:sz="4" w:space="0" w:color="auto"/>
            </w:tcBorders>
            <w:shd w:val="clear" w:color="auto" w:fill="auto"/>
            <w:tcMar>
              <w:top w:w="80" w:type="dxa"/>
              <w:left w:w="90" w:type="dxa"/>
              <w:bottom w:w="80" w:type="dxa"/>
              <w:right w:w="90" w:type="dxa"/>
            </w:tcMar>
            <w:vAlign w:val="center"/>
          </w:tcPr>
          <w:p w14:paraId="11EB901C" w14:textId="77777777" w:rsidR="0097156C" w:rsidRDefault="0097156C" w:rsidP="000C468E">
            <w:pPr>
              <w:adjustRightInd w:val="0"/>
              <w:snapToGrid w:val="0"/>
              <w:jc w:val="left"/>
              <w:rPr>
                <w:rFonts w:hint="eastAsia"/>
              </w:rPr>
            </w:pPr>
            <w:r>
              <w:rPr>
                <w:rFonts w:ascii="Times New Roman" w:hAnsi="Times New Roman"/>
                <w:b/>
                <w:sz w:val="16"/>
              </w:rPr>
              <w:t>Coordination and local fit</w:t>
            </w:r>
          </w:p>
        </w:tc>
        <w:tc>
          <w:tcPr>
            <w:tcW w:w="2952" w:type="dxa"/>
            <w:tcBorders>
              <w:top w:val="single" w:sz="4" w:space="0" w:color="auto"/>
            </w:tcBorders>
            <w:shd w:val="clear" w:color="auto" w:fill="auto"/>
            <w:tcMar>
              <w:top w:w="80" w:type="dxa"/>
              <w:left w:w="90" w:type="dxa"/>
              <w:bottom w:w="80" w:type="dxa"/>
              <w:right w:w="90" w:type="dxa"/>
            </w:tcMar>
            <w:vAlign w:val="center"/>
          </w:tcPr>
          <w:p w14:paraId="150448AF" w14:textId="77777777" w:rsidR="0097156C" w:rsidRDefault="0097156C" w:rsidP="000C468E">
            <w:pPr>
              <w:adjustRightInd w:val="0"/>
              <w:snapToGrid w:val="0"/>
              <w:jc w:val="left"/>
              <w:rPr>
                <w:rFonts w:hint="eastAsia"/>
              </w:rPr>
            </w:pPr>
            <w:r>
              <w:rPr>
                <w:rFonts w:ascii="Times New Roman" w:hAnsi="Times New Roman"/>
                <w:sz w:val="16"/>
              </w:rPr>
              <w:t xml:space="preserve">Standardized delivery can conflict with local information, institutions, resources, values, and capacity (Moser and </w:t>
            </w:r>
            <w:proofErr w:type="spellStart"/>
            <w:r>
              <w:rPr>
                <w:rFonts w:ascii="Times New Roman" w:hAnsi="Times New Roman"/>
                <w:sz w:val="16"/>
              </w:rPr>
              <w:t>Ekstrom</w:t>
            </w:r>
            <w:proofErr w:type="spellEnd"/>
            <w:r>
              <w:rPr>
                <w:rFonts w:ascii="Times New Roman" w:hAnsi="Times New Roman"/>
                <w:sz w:val="16"/>
              </w:rPr>
              <w:t>, 2010; Tan and Liu, 2017).</w:t>
            </w:r>
          </w:p>
        </w:tc>
        <w:tc>
          <w:tcPr>
            <w:tcW w:w="1872" w:type="dxa"/>
            <w:tcBorders>
              <w:top w:val="single" w:sz="4" w:space="0" w:color="auto"/>
            </w:tcBorders>
            <w:shd w:val="clear" w:color="auto" w:fill="auto"/>
            <w:tcMar>
              <w:top w:w="80" w:type="dxa"/>
              <w:left w:w="90" w:type="dxa"/>
              <w:bottom w:w="80" w:type="dxa"/>
              <w:right w:w="90" w:type="dxa"/>
            </w:tcMar>
            <w:vAlign w:val="center"/>
          </w:tcPr>
          <w:p w14:paraId="60651220" w14:textId="77777777" w:rsidR="0097156C" w:rsidRDefault="0097156C" w:rsidP="000C468E">
            <w:pPr>
              <w:adjustRightInd w:val="0"/>
              <w:snapToGrid w:val="0"/>
              <w:jc w:val="left"/>
              <w:rPr>
                <w:rFonts w:hint="eastAsia"/>
              </w:rPr>
            </w:pPr>
            <w:r>
              <w:rPr>
                <w:rFonts w:ascii="Times New Roman" w:hAnsi="Times New Roman"/>
                <w:sz w:val="16"/>
              </w:rPr>
              <w:t>Low uptake, abandonment, or uneven benefits.</w:t>
            </w:r>
          </w:p>
        </w:tc>
        <w:tc>
          <w:tcPr>
            <w:tcW w:w="1973" w:type="dxa"/>
            <w:tcBorders>
              <w:top w:val="single" w:sz="4" w:space="0" w:color="auto"/>
            </w:tcBorders>
            <w:shd w:val="clear" w:color="auto" w:fill="auto"/>
            <w:tcMar>
              <w:top w:w="80" w:type="dxa"/>
              <w:left w:w="90" w:type="dxa"/>
              <w:bottom w:w="80" w:type="dxa"/>
              <w:right w:w="90" w:type="dxa"/>
            </w:tcMar>
            <w:vAlign w:val="center"/>
          </w:tcPr>
          <w:p w14:paraId="20754A71" w14:textId="77777777" w:rsidR="0097156C" w:rsidRDefault="0097156C" w:rsidP="000C468E">
            <w:pPr>
              <w:adjustRightInd w:val="0"/>
              <w:snapToGrid w:val="0"/>
              <w:jc w:val="left"/>
              <w:rPr>
                <w:rFonts w:hint="eastAsia"/>
              </w:rPr>
            </w:pPr>
            <w:r>
              <w:rPr>
                <w:rFonts w:ascii="Times New Roman" w:hAnsi="Times New Roman"/>
                <w:sz w:val="16"/>
              </w:rPr>
              <w:t>Can instruments and sequencing be revised as local conditions change?</w:t>
            </w:r>
          </w:p>
        </w:tc>
      </w:tr>
      <w:tr w:rsidR="0097156C" w14:paraId="1FD69279" w14:textId="77777777" w:rsidTr="000C468E">
        <w:trPr>
          <w:cantSplit/>
        </w:trPr>
        <w:tc>
          <w:tcPr>
            <w:tcW w:w="1512" w:type="dxa"/>
            <w:shd w:val="clear" w:color="auto" w:fill="auto"/>
            <w:tcMar>
              <w:top w:w="80" w:type="dxa"/>
              <w:left w:w="90" w:type="dxa"/>
              <w:bottom w:w="80" w:type="dxa"/>
              <w:right w:w="90" w:type="dxa"/>
            </w:tcMar>
            <w:vAlign w:val="center"/>
          </w:tcPr>
          <w:p w14:paraId="25AF94F3" w14:textId="77777777" w:rsidR="0097156C" w:rsidRDefault="0097156C" w:rsidP="000C468E">
            <w:pPr>
              <w:adjustRightInd w:val="0"/>
              <w:snapToGrid w:val="0"/>
              <w:jc w:val="left"/>
              <w:rPr>
                <w:rFonts w:hint="eastAsia"/>
              </w:rPr>
            </w:pPr>
            <w:r>
              <w:rPr>
                <w:rFonts w:ascii="Times New Roman" w:hAnsi="Times New Roman"/>
                <w:b/>
                <w:sz w:val="16"/>
              </w:rPr>
              <w:t>Support and dependence</w:t>
            </w:r>
          </w:p>
        </w:tc>
        <w:tc>
          <w:tcPr>
            <w:tcW w:w="2952" w:type="dxa"/>
            <w:shd w:val="clear" w:color="auto" w:fill="auto"/>
            <w:tcMar>
              <w:top w:w="80" w:type="dxa"/>
              <w:left w:w="90" w:type="dxa"/>
              <w:bottom w:w="80" w:type="dxa"/>
              <w:right w:w="90" w:type="dxa"/>
            </w:tcMar>
            <w:vAlign w:val="center"/>
          </w:tcPr>
          <w:p w14:paraId="5BF1E9EB" w14:textId="77777777" w:rsidR="0097156C" w:rsidRDefault="0097156C" w:rsidP="000C468E">
            <w:pPr>
              <w:adjustRightInd w:val="0"/>
              <w:snapToGrid w:val="0"/>
              <w:jc w:val="left"/>
              <w:rPr>
                <w:rFonts w:hint="eastAsia"/>
              </w:rPr>
            </w:pPr>
            <w:r>
              <w:rPr>
                <w:rFonts w:ascii="Times New Roman" w:hAnsi="Times New Roman"/>
                <w:sz w:val="16"/>
              </w:rPr>
              <w:t>Purchased inputs, markets, finance, subsidies, and promoted pathways can reduce short-term pressure while creating new exposure (Wang et al., 2014; Li et al., 2021a).</w:t>
            </w:r>
          </w:p>
        </w:tc>
        <w:tc>
          <w:tcPr>
            <w:tcW w:w="1872" w:type="dxa"/>
            <w:shd w:val="clear" w:color="auto" w:fill="auto"/>
            <w:tcMar>
              <w:top w:w="80" w:type="dxa"/>
              <w:left w:w="90" w:type="dxa"/>
              <w:bottom w:w="80" w:type="dxa"/>
              <w:right w:w="90" w:type="dxa"/>
            </w:tcMar>
            <w:vAlign w:val="center"/>
          </w:tcPr>
          <w:p w14:paraId="6AA7CCB0" w14:textId="77777777" w:rsidR="0097156C" w:rsidRDefault="0097156C" w:rsidP="000C468E">
            <w:pPr>
              <w:adjustRightInd w:val="0"/>
              <w:snapToGrid w:val="0"/>
              <w:jc w:val="left"/>
              <w:rPr>
                <w:rFonts w:hint="eastAsia"/>
              </w:rPr>
            </w:pPr>
            <w:r>
              <w:rPr>
                <w:rFonts w:ascii="Times New Roman" w:hAnsi="Times New Roman"/>
                <w:sz w:val="16"/>
              </w:rPr>
              <w:t>Coping gains may coexist with debt, market dependence, or reduced strategic flexibility.</w:t>
            </w:r>
          </w:p>
        </w:tc>
        <w:tc>
          <w:tcPr>
            <w:tcW w:w="1973" w:type="dxa"/>
            <w:shd w:val="clear" w:color="auto" w:fill="auto"/>
            <w:tcMar>
              <w:top w:w="80" w:type="dxa"/>
              <w:left w:w="90" w:type="dxa"/>
              <w:bottom w:w="80" w:type="dxa"/>
              <w:right w:w="90" w:type="dxa"/>
            </w:tcMar>
            <w:vAlign w:val="center"/>
          </w:tcPr>
          <w:p w14:paraId="4264607E" w14:textId="77777777" w:rsidR="0097156C" w:rsidRDefault="0097156C" w:rsidP="000C468E">
            <w:pPr>
              <w:adjustRightInd w:val="0"/>
              <w:snapToGrid w:val="0"/>
              <w:jc w:val="left"/>
              <w:rPr>
                <w:rFonts w:hint="eastAsia"/>
              </w:rPr>
            </w:pPr>
            <w:r>
              <w:rPr>
                <w:rFonts w:ascii="Times New Roman" w:hAnsi="Times New Roman"/>
                <w:sz w:val="16"/>
              </w:rPr>
              <w:t>Does support preserve or expand future livelihood options?</w:t>
            </w:r>
          </w:p>
        </w:tc>
      </w:tr>
      <w:tr w:rsidR="0097156C" w14:paraId="124B6EC5" w14:textId="77777777" w:rsidTr="000C468E">
        <w:trPr>
          <w:cantSplit/>
        </w:trPr>
        <w:tc>
          <w:tcPr>
            <w:tcW w:w="1512" w:type="dxa"/>
            <w:shd w:val="clear" w:color="auto" w:fill="auto"/>
            <w:tcMar>
              <w:top w:w="80" w:type="dxa"/>
              <w:left w:w="90" w:type="dxa"/>
              <w:bottom w:w="80" w:type="dxa"/>
              <w:right w:w="90" w:type="dxa"/>
            </w:tcMar>
            <w:vAlign w:val="center"/>
          </w:tcPr>
          <w:p w14:paraId="05BDF77D" w14:textId="77777777" w:rsidR="0097156C" w:rsidRDefault="0097156C" w:rsidP="000C468E">
            <w:pPr>
              <w:adjustRightInd w:val="0"/>
              <w:snapToGrid w:val="0"/>
              <w:jc w:val="left"/>
              <w:rPr>
                <w:rFonts w:hint="eastAsia"/>
              </w:rPr>
            </w:pPr>
            <w:r>
              <w:rPr>
                <w:rFonts w:ascii="Times New Roman" w:hAnsi="Times New Roman"/>
                <w:b/>
                <w:sz w:val="16"/>
              </w:rPr>
              <w:lastRenderedPageBreak/>
              <w:t>Collective action and exclusion</w:t>
            </w:r>
          </w:p>
        </w:tc>
        <w:tc>
          <w:tcPr>
            <w:tcW w:w="2952" w:type="dxa"/>
            <w:shd w:val="clear" w:color="auto" w:fill="auto"/>
            <w:tcMar>
              <w:top w:w="80" w:type="dxa"/>
              <w:left w:w="90" w:type="dxa"/>
              <w:bottom w:w="80" w:type="dxa"/>
              <w:right w:w="90" w:type="dxa"/>
            </w:tcMar>
            <w:vAlign w:val="center"/>
          </w:tcPr>
          <w:p w14:paraId="63CC2D7B" w14:textId="77777777" w:rsidR="0097156C" w:rsidRDefault="0097156C" w:rsidP="000C468E">
            <w:pPr>
              <w:adjustRightInd w:val="0"/>
              <w:snapToGrid w:val="0"/>
              <w:jc w:val="left"/>
              <w:rPr>
                <w:rFonts w:hint="eastAsia"/>
              </w:rPr>
            </w:pPr>
            <w:r>
              <w:rPr>
                <w:rFonts w:ascii="Times New Roman" w:hAnsi="Times New Roman"/>
                <w:sz w:val="16"/>
              </w:rPr>
              <w:t>Political relations and elite influence shape access to welfare and poverty-program benefits (Han and Gao, 2019; Cheng et al., 2021).</w:t>
            </w:r>
          </w:p>
        </w:tc>
        <w:tc>
          <w:tcPr>
            <w:tcW w:w="1872" w:type="dxa"/>
            <w:shd w:val="clear" w:color="auto" w:fill="auto"/>
            <w:tcMar>
              <w:top w:w="80" w:type="dxa"/>
              <w:left w:w="90" w:type="dxa"/>
              <w:bottom w:w="80" w:type="dxa"/>
              <w:right w:w="90" w:type="dxa"/>
            </w:tcMar>
            <w:vAlign w:val="center"/>
          </w:tcPr>
          <w:p w14:paraId="2AF9B4EE" w14:textId="77777777" w:rsidR="0097156C" w:rsidRDefault="0097156C" w:rsidP="000C468E">
            <w:pPr>
              <w:adjustRightInd w:val="0"/>
              <w:snapToGrid w:val="0"/>
              <w:jc w:val="left"/>
              <w:rPr>
                <w:rFonts w:hint="eastAsia"/>
              </w:rPr>
            </w:pPr>
            <w:r>
              <w:rPr>
                <w:rFonts w:ascii="Times New Roman" w:hAnsi="Times New Roman"/>
                <w:sz w:val="16"/>
              </w:rPr>
              <w:t>Poorer or less-connected households may have weaker access and voice.</w:t>
            </w:r>
          </w:p>
        </w:tc>
        <w:tc>
          <w:tcPr>
            <w:tcW w:w="1973" w:type="dxa"/>
            <w:shd w:val="clear" w:color="auto" w:fill="auto"/>
            <w:tcMar>
              <w:top w:w="80" w:type="dxa"/>
              <w:left w:w="90" w:type="dxa"/>
              <w:bottom w:w="80" w:type="dxa"/>
              <w:right w:w="90" w:type="dxa"/>
            </w:tcMar>
            <w:vAlign w:val="center"/>
          </w:tcPr>
          <w:p w14:paraId="489EE1DB" w14:textId="77777777" w:rsidR="0097156C" w:rsidRDefault="0097156C" w:rsidP="000C468E">
            <w:pPr>
              <w:adjustRightInd w:val="0"/>
              <w:snapToGrid w:val="0"/>
              <w:jc w:val="left"/>
              <w:rPr>
                <w:rFonts w:hint="eastAsia"/>
              </w:rPr>
            </w:pPr>
            <w:r>
              <w:rPr>
                <w:rFonts w:ascii="Times New Roman" w:hAnsi="Times New Roman"/>
                <w:sz w:val="16"/>
              </w:rPr>
              <w:t>Who participates, controls information, and can appeal decisions?</w:t>
            </w:r>
          </w:p>
        </w:tc>
      </w:tr>
      <w:tr w:rsidR="0097156C" w14:paraId="6FAB8E43" w14:textId="77777777" w:rsidTr="000C468E">
        <w:trPr>
          <w:cantSplit/>
        </w:trPr>
        <w:tc>
          <w:tcPr>
            <w:tcW w:w="1512" w:type="dxa"/>
            <w:shd w:val="clear" w:color="auto" w:fill="auto"/>
            <w:tcMar>
              <w:top w:w="80" w:type="dxa"/>
              <w:left w:w="90" w:type="dxa"/>
              <w:bottom w:w="80" w:type="dxa"/>
              <w:right w:w="90" w:type="dxa"/>
            </w:tcMar>
            <w:vAlign w:val="center"/>
          </w:tcPr>
          <w:p w14:paraId="72E537BB" w14:textId="77777777" w:rsidR="0097156C" w:rsidRDefault="0097156C" w:rsidP="000C468E">
            <w:pPr>
              <w:adjustRightInd w:val="0"/>
              <w:snapToGrid w:val="0"/>
              <w:jc w:val="left"/>
              <w:rPr>
                <w:rFonts w:hint="eastAsia"/>
              </w:rPr>
            </w:pPr>
            <w:r>
              <w:rPr>
                <w:rFonts w:ascii="Times New Roman" w:hAnsi="Times New Roman"/>
                <w:b/>
                <w:sz w:val="16"/>
              </w:rPr>
              <w:t>State capacity and local flexibility</w:t>
            </w:r>
          </w:p>
        </w:tc>
        <w:tc>
          <w:tcPr>
            <w:tcW w:w="2952" w:type="dxa"/>
            <w:shd w:val="clear" w:color="auto" w:fill="auto"/>
            <w:tcMar>
              <w:top w:w="80" w:type="dxa"/>
              <w:left w:w="90" w:type="dxa"/>
              <w:bottom w:w="80" w:type="dxa"/>
              <w:right w:w="90" w:type="dxa"/>
            </w:tcMar>
            <w:vAlign w:val="center"/>
          </w:tcPr>
          <w:p w14:paraId="5E97FBAA" w14:textId="77777777" w:rsidR="0097156C" w:rsidRDefault="0097156C" w:rsidP="000C468E">
            <w:pPr>
              <w:adjustRightInd w:val="0"/>
              <w:snapToGrid w:val="0"/>
              <w:jc w:val="left"/>
              <w:rPr>
                <w:rFonts w:hint="eastAsia"/>
              </w:rPr>
            </w:pPr>
            <w:r>
              <w:rPr>
                <w:rFonts w:ascii="Times New Roman" w:hAnsi="Times New Roman"/>
                <w:sz w:val="16"/>
              </w:rPr>
              <w:t>Central coordination can accelerate policy diffusion while reducing local variation and experimentation (Luo et al., 2025).</w:t>
            </w:r>
          </w:p>
        </w:tc>
        <w:tc>
          <w:tcPr>
            <w:tcW w:w="1872" w:type="dxa"/>
            <w:shd w:val="clear" w:color="auto" w:fill="auto"/>
            <w:tcMar>
              <w:top w:w="80" w:type="dxa"/>
              <w:left w:w="90" w:type="dxa"/>
              <w:bottom w:w="80" w:type="dxa"/>
              <w:right w:w="90" w:type="dxa"/>
            </w:tcMar>
            <w:vAlign w:val="center"/>
          </w:tcPr>
          <w:p w14:paraId="079E96FB" w14:textId="77777777" w:rsidR="0097156C" w:rsidRDefault="0097156C" w:rsidP="000C468E">
            <w:pPr>
              <w:adjustRightInd w:val="0"/>
              <w:snapToGrid w:val="0"/>
              <w:jc w:val="left"/>
              <w:rPr>
                <w:rFonts w:hint="eastAsia"/>
              </w:rPr>
            </w:pPr>
            <w:r>
              <w:rPr>
                <w:rFonts w:ascii="Times New Roman" w:hAnsi="Times New Roman"/>
                <w:sz w:val="16"/>
              </w:rPr>
              <w:t>Implementation may become less responsive to local knowledge and changing conditions.</w:t>
            </w:r>
          </w:p>
        </w:tc>
        <w:tc>
          <w:tcPr>
            <w:tcW w:w="1973" w:type="dxa"/>
            <w:shd w:val="clear" w:color="auto" w:fill="auto"/>
            <w:tcMar>
              <w:top w:w="80" w:type="dxa"/>
              <w:left w:w="90" w:type="dxa"/>
              <w:bottom w:w="80" w:type="dxa"/>
              <w:right w:w="90" w:type="dxa"/>
            </w:tcMar>
            <w:vAlign w:val="center"/>
          </w:tcPr>
          <w:p w14:paraId="6A12D613" w14:textId="77777777" w:rsidR="0097156C" w:rsidRDefault="0097156C" w:rsidP="000C468E">
            <w:pPr>
              <w:adjustRightInd w:val="0"/>
              <w:snapToGrid w:val="0"/>
              <w:jc w:val="left"/>
              <w:rPr>
                <w:rFonts w:hint="eastAsia"/>
              </w:rPr>
            </w:pPr>
            <w:r>
              <w:rPr>
                <w:rFonts w:ascii="Times New Roman" w:hAnsi="Times New Roman"/>
                <w:sz w:val="16"/>
              </w:rPr>
              <w:t>How is authority divided between minimum standards and local adjustment?</w:t>
            </w:r>
          </w:p>
        </w:tc>
      </w:tr>
      <w:tr w:rsidR="0097156C" w14:paraId="7265D60A" w14:textId="77777777" w:rsidTr="000C468E">
        <w:trPr>
          <w:cantSplit/>
        </w:trPr>
        <w:tc>
          <w:tcPr>
            <w:tcW w:w="1512" w:type="dxa"/>
            <w:tcBorders>
              <w:bottom w:val="single" w:sz="12" w:space="0" w:color="auto"/>
            </w:tcBorders>
            <w:shd w:val="clear" w:color="auto" w:fill="auto"/>
            <w:tcMar>
              <w:top w:w="80" w:type="dxa"/>
              <w:left w:w="90" w:type="dxa"/>
              <w:bottom w:w="80" w:type="dxa"/>
              <w:right w:w="90" w:type="dxa"/>
            </w:tcMar>
            <w:vAlign w:val="center"/>
          </w:tcPr>
          <w:p w14:paraId="237D87BE" w14:textId="77777777" w:rsidR="0097156C" w:rsidRDefault="0097156C" w:rsidP="000C468E">
            <w:pPr>
              <w:adjustRightInd w:val="0"/>
              <w:snapToGrid w:val="0"/>
              <w:jc w:val="left"/>
              <w:rPr>
                <w:rFonts w:hint="eastAsia"/>
              </w:rPr>
            </w:pPr>
            <w:r>
              <w:rPr>
                <w:rFonts w:ascii="Times New Roman" w:hAnsi="Times New Roman"/>
                <w:b/>
                <w:sz w:val="16"/>
              </w:rPr>
              <w:t>Polycentricity and accountability</w:t>
            </w:r>
          </w:p>
        </w:tc>
        <w:tc>
          <w:tcPr>
            <w:tcW w:w="2952" w:type="dxa"/>
            <w:tcBorders>
              <w:bottom w:val="single" w:sz="12" w:space="0" w:color="auto"/>
            </w:tcBorders>
            <w:shd w:val="clear" w:color="auto" w:fill="auto"/>
            <w:tcMar>
              <w:top w:w="80" w:type="dxa"/>
              <w:left w:w="90" w:type="dxa"/>
              <w:bottom w:w="80" w:type="dxa"/>
              <w:right w:w="90" w:type="dxa"/>
            </w:tcMar>
            <w:vAlign w:val="center"/>
          </w:tcPr>
          <w:p w14:paraId="21CD50FA" w14:textId="77777777" w:rsidR="0097156C" w:rsidRDefault="0097156C" w:rsidP="000C468E">
            <w:pPr>
              <w:adjustRightInd w:val="0"/>
              <w:snapToGrid w:val="0"/>
              <w:jc w:val="left"/>
              <w:rPr>
                <w:rFonts w:hint="eastAsia"/>
              </w:rPr>
            </w:pPr>
            <w:r>
              <w:rPr>
                <w:rFonts w:ascii="Times New Roman" w:hAnsi="Times New Roman"/>
                <w:sz w:val="16"/>
              </w:rPr>
              <w:t>Multiple centers can coordinate, learn, and experiment across scales (</w:t>
            </w:r>
            <w:proofErr w:type="spellStart"/>
            <w:r>
              <w:rPr>
                <w:rFonts w:ascii="Times New Roman" w:hAnsi="Times New Roman"/>
                <w:sz w:val="16"/>
              </w:rPr>
              <w:t>Dorsch</w:t>
            </w:r>
            <w:proofErr w:type="spellEnd"/>
            <w:r>
              <w:rPr>
                <w:rFonts w:ascii="Times New Roman" w:hAnsi="Times New Roman"/>
                <w:sz w:val="16"/>
              </w:rPr>
              <w:t xml:space="preserve"> and </w:t>
            </w:r>
            <w:proofErr w:type="spellStart"/>
            <w:r>
              <w:rPr>
                <w:rFonts w:ascii="Times New Roman" w:hAnsi="Times New Roman"/>
                <w:sz w:val="16"/>
              </w:rPr>
              <w:t>Flachsland</w:t>
            </w:r>
            <w:proofErr w:type="spellEnd"/>
            <w:r>
              <w:rPr>
                <w:rFonts w:ascii="Times New Roman" w:hAnsi="Times New Roman"/>
                <w:sz w:val="16"/>
              </w:rPr>
              <w:t>, 2017; Ostrom, 2010).</w:t>
            </w:r>
          </w:p>
        </w:tc>
        <w:tc>
          <w:tcPr>
            <w:tcW w:w="1872" w:type="dxa"/>
            <w:tcBorders>
              <w:bottom w:val="single" w:sz="12" w:space="0" w:color="auto"/>
            </w:tcBorders>
            <w:shd w:val="clear" w:color="auto" w:fill="auto"/>
            <w:tcMar>
              <w:top w:w="80" w:type="dxa"/>
              <w:left w:w="90" w:type="dxa"/>
              <w:bottom w:w="80" w:type="dxa"/>
              <w:right w:w="90" w:type="dxa"/>
            </w:tcMar>
            <w:vAlign w:val="center"/>
          </w:tcPr>
          <w:p w14:paraId="5CA84F33" w14:textId="77777777" w:rsidR="0097156C" w:rsidRDefault="0097156C" w:rsidP="000C468E">
            <w:pPr>
              <w:adjustRightInd w:val="0"/>
              <w:snapToGrid w:val="0"/>
              <w:jc w:val="left"/>
              <w:rPr>
                <w:rFonts w:hint="eastAsia"/>
              </w:rPr>
            </w:pPr>
            <w:r>
              <w:rPr>
                <w:rFonts w:ascii="Times New Roman" w:hAnsi="Times New Roman"/>
                <w:sz w:val="16"/>
              </w:rPr>
              <w:t>Functions are shared, while authority and responsibility may become fragmented.</w:t>
            </w:r>
          </w:p>
        </w:tc>
        <w:tc>
          <w:tcPr>
            <w:tcW w:w="1973" w:type="dxa"/>
            <w:tcBorders>
              <w:bottom w:val="single" w:sz="12" w:space="0" w:color="auto"/>
            </w:tcBorders>
            <w:shd w:val="clear" w:color="auto" w:fill="auto"/>
            <w:tcMar>
              <w:top w:w="80" w:type="dxa"/>
              <w:left w:w="90" w:type="dxa"/>
              <w:bottom w:w="80" w:type="dxa"/>
              <w:right w:w="90" w:type="dxa"/>
            </w:tcMar>
            <w:vAlign w:val="center"/>
          </w:tcPr>
          <w:p w14:paraId="3FF34333" w14:textId="77777777" w:rsidR="0097156C" w:rsidRDefault="0097156C" w:rsidP="000C468E">
            <w:pPr>
              <w:adjustRightInd w:val="0"/>
              <w:snapToGrid w:val="0"/>
              <w:jc w:val="left"/>
              <w:rPr>
                <w:rFonts w:hint="eastAsia"/>
              </w:rPr>
            </w:pPr>
            <w:r>
              <w:rPr>
                <w:rFonts w:ascii="Times New Roman" w:hAnsi="Times New Roman"/>
                <w:sz w:val="16"/>
              </w:rPr>
              <w:t>Who is responsible for decisions, distribution, review, and correction?</w:t>
            </w:r>
          </w:p>
        </w:tc>
      </w:tr>
    </w:tbl>
    <w:p w14:paraId="47D127A8" w14:textId="77777777" w:rsidR="0097156C" w:rsidRDefault="0097156C" w:rsidP="0097156C">
      <w:pPr>
        <w:keepNext/>
        <w:spacing w:before="200" w:after="80"/>
        <w:rPr>
          <w:rFonts w:hint="eastAsia"/>
        </w:rPr>
      </w:pPr>
      <w:r>
        <w:rPr>
          <w:rFonts w:ascii="Times New Roman" w:hAnsi="Times New Roman"/>
          <w:b/>
          <w:sz w:val="24"/>
        </w:rPr>
        <w:t>S6. Boundary conditions and functional transferability</w:t>
      </w:r>
    </w:p>
    <w:p w14:paraId="3DEB32C5" w14:textId="77777777" w:rsidR="0097156C" w:rsidRDefault="0097156C" w:rsidP="0097156C">
      <w:pPr>
        <w:spacing w:after="80" w:line="269" w:lineRule="auto"/>
        <w:ind w:firstLine="317"/>
        <w:rPr>
          <w:rFonts w:hint="eastAsia"/>
        </w:rPr>
      </w:pPr>
      <w:r>
        <w:rPr>
          <w:rFonts w:ascii="Times New Roman" w:hAnsi="Times New Roman"/>
          <w:sz w:val="22"/>
        </w:rPr>
        <w:t xml:space="preserve">The institutional form of the G–C–H relationships </w:t>
      </w:r>
      <w:proofErr w:type="gramStart"/>
      <w:r>
        <w:rPr>
          <w:rFonts w:ascii="Times New Roman" w:hAnsi="Times New Roman"/>
          <w:sz w:val="22"/>
        </w:rPr>
        <w:t>reflects</w:t>
      </w:r>
      <w:proofErr w:type="gramEnd"/>
      <w:r>
        <w:rPr>
          <w:rFonts w:ascii="Times New Roman" w:hAnsi="Times New Roman"/>
          <w:sz w:val="22"/>
        </w:rPr>
        <w:t xml:space="preserve"> China's administrative reach, fiscal capacity, rural organizational structure, and policy coordination. Comparison beyond China requires attention to these boundary conditions. The framework can be applied through the governance functions performed rather than through identical organizational labels. These functions include resource mobilization, cross-scale coordination, technical and climate information, rule-setting and risk reduction, and feedback and adjustment (</w:t>
      </w:r>
      <w:proofErr w:type="spellStart"/>
      <w:r w:rsidRPr="000C468E">
        <w:rPr>
          <w:rFonts w:ascii="Times New Roman" w:hAnsi="Times New Roman"/>
          <w:color w:val="0070C0"/>
          <w:sz w:val="22"/>
        </w:rPr>
        <w:t>Adger</w:t>
      </w:r>
      <w:proofErr w:type="spellEnd"/>
      <w:r w:rsidRPr="000C468E">
        <w:rPr>
          <w:rFonts w:ascii="Times New Roman" w:hAnsi="Times New Roman"/>
          <w:color w:val="0070C0"/>
          <w:sz w:val="22"/>
        </w:rPr>
        <w:t xml:space="preserve"> et al., 2005; Cash et al., 2006</w:t>
      </w:r>
      <w:r>
        <w:rPr>
          <w:rFonts w:ascii="Times New Roman" w:hAnsi="Times New Roman"/>
          <w:sz w:val="22"/>
        </w:rPr>
        <w:t>).</w:t>
      </w:r>
    </w:p>
    <w:p w14:paraId="03078823" w14:textId="77777777" w:rsidR="0097156C" w:rsidRDefault="0097156C" w:rsidP="0097156C">
      <w:pPr>
        <w:keepNext/>
        <w:spacing w:before="200" w:after="80"/>
        <w:rPr>
          <w:rFonts w:hint="eastAsia"/>
        </w:rPr>
      </w:pPr>
      <w:r>
        <w:rPr>
          <w:rFonts w:ascii="Times New Roman" w:hAnsi="Times New Roman"/>
          <w:b/>
          <w:sz w:val="24"/>
        </w:rPr>
        <w:t>S6.1 Administrative and fiscal capacity</w:t>
      </w:r>
    </w:p>
    <w:p w14:paraId="52FE4EA7" w14:textId="77777777" w:rsidR="0097156C" w:rsidRDefault="0097156C" w:rsidP="0097156C">
      <w:pPr>
        <w:spacing w:after="80" w:line="269" w:lineRule="auto"/>
        <w:ind w:firstLine="317"/>
        <w:rPr>
          <w:rFonts w:hint="eastAsia"/>
        </w:rPr>
      </w:pPr>
      <w:r>
        <w:rPr>
          <w:rFonts w:ascii="Times New Roman" w:hAnsi="Times New Roman"/>
          <w:sz w:val="22"/>
        </w:rPr>
        <w:t>Resource mobilization depends on whether adaptation is connected with planning, budgeting, and sectoral coordination. Rural infrastructure, insurance, training, and public services require sustained finance and implementation capacity. The global adaptation finance gap shows how limited funding constrains planning and delivery in many developing contexts (</w:t>
      </w:r>
      <w:r w:rsidRPr="000C468E">
        <w:rPr>
          <w:rFonts w:ascii="Times New Roman" w:hAnsi="Times New Roman"/>
          <w:color w:val="0070C0"/>
          <w:sz w:val="22"/>
        </w:rPr>
        <w:t xml:space="preserve">Bueno </w:t>
      </w:r>
      <w:proofErr w:type="spellStart"/>
      <w:r w:rsidRPr="000C468E">
        <w:rPr>
          <w:rFonts w:ascii="Times New Roman" w:hAnsi="Times New Roman"/>
          <w:color w:val="0070C0"/>
          <w:sz w:val="22"/>
        </w:rPr>
        <w:t>Rubial</w:t>
      </w:r>
      <w:proofErr w:type="spellEnd"/>
      <w:r w:rsidRPr="000C468E">
        <w:rPr>
          <w:rFonts w:ascii="Times New Roman" w:hAnsi="Times New Roman"/>
          <w:color w:val="0070C0"/>
          <w:sz w:val="22"/>
        </w:rPr>
        <w:t xml:space="preserve"> et al., 2024</w:t>
      </w:r>
      <w:r>
        <w:rPr>
          <w:rFonts w:ascii="Times New Roman" w:hAnsi="Times New Roman"/>
          <w:sz w:val="22"/>
        </w:rPr>
        <w:t>). Agricultural adaptation research also emphasizes the need to coordinate technical measures with institutional and policy support (</w:t>
      </w:r>
      <w:r w:rsidRPr="000C468E">
        <w:rPr>
          <w:rFonts w:ascii="Times New Roman" w:hAnsi="Times New Roman"/>
          <w:color w:val="0070C0"/>
          <w:sz w:val="22"/>
        </w:rPr>
        <w:t>Ramirez-Villegas and Khoury, 2013</w:t>
      </w:r>
      <w:r>
        <w:rPr>
          <w:rFonts w:ascii="Times New Roman" w:hAnsi="Times New Roman"/>
          <w:sz w:val="22"/>
        </w:rPr>
        <w:t>). Where public capacity is lower, program continuity and coverage may rely more heavily on donors, non-governmental organizations, or producer organizations. Comparative analysis should therefore record both the amount of support and the institutional capacity to maintain it over time.</w:t>
      </w:r>
    </w:p>
    <w:p w14:paraId="011C2F65" w14:textId="77777777" w:rsidR="0097156C" w:rsidRDefault="0097156C" w:rsidP="0097156C">
      <w:pPr>
        <w:keepNext/>
        <w:spacing w:before="200" w:after="80"/>
        <w:rPr>
          <w:rFonts w:hint="eastAsia"/>
        </w:rPr>
      </w:pPr>
      <w:r>
        <w:rPr>
          <w:rFonts w:ascii="Times New Roman" w:hAnsi="Times New Roman"/>
          <w:b/>
          <w:sz w:val="24"/>
        </w:rPr>
        <w:t>S6.2 Community institutions and bridging actors</w:t>
      </w:r>
    </w:p>
    <w:p w14:paraId="3152EE30" w14:textId="77777777" w:rsidR="0097156C" w:rsidRDefault="0097156C" w:rsidP="0097156C">
      <w:pPr>
        <w:spacing w:after="80" w:line="269" w:lineRule="auto"/>
        <w:ind w:firstLine="317"/>
        <w:rPr>
          <w:rFonts w:hint="eastAsia"/>
        </w:rPr>
      </w:pPr>
      <w:r>
        <w:rPr>
          <w:rFonts w:ascii="Times New Roman" w:hAnsi="Times New Roman"/>
          <w:sz w:val="22"/>
        </w:rPr>
        <w:t>The community component may be performed by village organizations, customary authorities, cooperatives, user associations, faith-based organizations, or other local institutions. Community-based adaptation and co-management research shows that local organizations and bridging institutions can connect external support with locally grounded knowledge and priorities (</w:t>
      </w:r>
      <w:r w:rsidRPr="000C468E">
        <w:rPr>
          <w:rFonts w:ascii="Times New Roman" w:hAnsi="Times New Roman"/>
          <w:color w:val="0070C0"/>
          <w:sz w:val="22"/>
        </w:rPr>
        <w:t>Ayers and Forsyth, 2009; Berkes, 2009</w:t>
      </w:r>
      <w:r>
        <w:rPr>
          <w:rFonts w:ascii="Times New Roman" w:hAnsi="Times New Roman"/>
          <w:sz w:val="22"/>
        </w:rPr>
        <w:t>). Their effectiveness depends on trust, participation, and organizational capacity. Social capital can strengthen community resilience, while weak transparency and exclusion limit who benefits (</w:t>
      </w:r>
      <w:r w:rsidRPr="000C468E">
        <w:rPr>
          <w:rFonts w:ascii="Times New Roman" w:hAnsi="Times New Roman"/>
          <w:color w:val="0070C0"/>
          <w:sz w:val="22"/>
        </w:rPr>
        <w:t>Carmen et al., 2022</w:t>
      </w:r>
      <w:r>
        <w:rPr>
          <w:rFonts w:ascii="Times New Roman" w:hAnsi="Times New Roman"/>
          <w:sz w:val="22"/>
        </w:rPr>
        <w:t xml:space="preserve">). Indigenous and local adaptation studies further show that institutional barriers and external power relations </w:t>
      </w:r>
      <w:r>
        <w:rPr>
          <w:rFonts w:ascii="Times New Roman" w:hAnsi="Times New Roman"/>
          <w:sz w:val="22"/>
        </w:rPr>
        <w:lastRenderedPageBreak/>
        <w:t>shape the scope of community action (</w:t>
      </w:r>
      <w:proofErr w:type="spellStart"/>
      <w:r w:rsidRPr="000C468E">
        <w:rPr>
          <w:rFonts w:ascii="Times New Roman" w:hAnsi="Times New Roman"/>
          <w:color w:val="0070C0"/>
          <w:sz w:val="22"/>
        </w:rPr>
        <w:t>Fayazi</w:t>
      </w:r>
      <w:proofErr w:type="spellEnd"/>
      <w:r w:rsidRPr="000C468E">
        <w:rPr>
          <w:rFonts w:ascii="Times New Roman" w:hAnsi="Times New Roman"/>
          <w:color w:val="0070C0"/>
          <w:sz w:val="22"/>
        </w:rPr>
        <w:t xml:space="preserve"> et al., 2020; </w:t>
      </w:r>
      <w:proofErr w:type="spellStart"/>
      <w:r w:rsidRPr="000C468E">
        <w:rPr>
          <w:rFonts w:ascii="Times New Roman" w:hAnsi="Times New Roman"/>
          <w:color w:val="0070C0"/>
          <w:sz w:val="22"/>
        </w:rPr>
        <w:t>Regmi</w:t>
      </w:r>
      <w:proofErr w:type="spellEnd"/>
      <w:r w:rsidRPr="000C468E">
        <w:rPr>
          <w:rFonts w:ascii="Times New Roman" w:hAnsi="Times New Roman"/>
          <w:color w:val="0070C0"/>
          <w:sz w:val="22"/>
        </w:rPr>
        <w:t xml:space="preserve"> et al., 2016</w:t>
      </w:r>
      <w:r>
        <w:rPr>
          <w:rFonts w:ascii="Times New Roman" w:hAnsi="Times New Roman"/>
          <w:sz w:val="22"/>
        </w:rPr>
        <w:t>). Functional comparison should therefore distinguish organizational presence from the capacity to mediate fairly and effectively.</w:t>
      </w:r>
    </w:p>
    <w:p w14:paraId="55887FA1" w14:textId="77777777" w:rsidR="0097156C" w:rsidRDefault="0097156C" w:rsidP="0097156C">
      <w:pPr>
        <w:keepNext/>
        <w:spacing w:before="200" w:after="80"/>
        <w:rPr>
          <w:rFonts w:hint="eastAsia"/>
        </w:rPr>
      </w:pPr>
      <w:r>
        <w:rPr>
          <w:rFonts w:ascii="Times New Roman" w:hAnsi="Times New Roman"/>
          <w:b/>
          <w:sz w:val="24"/>
        </w:rPr>
        <w:t>S6.3 Distributed providers and cross-scale coordination</w:t>
      </w:r>
    </w:p>
    <w:p w14:paraId="709520CF" w14:textId="77777777" w:rsidR="0097156C" w:rsidRDefault="0097156C" w:rsidP="0097156C">
      <w:pPr>
        <w:spacing w:after="80" w:line="269" w:lineRule="auto"/>
        <w:ind w:firstLine="317"/>
        <w:rPr>
          <w:rFonts w:hint="eastAsia"/>
        </w:rPr>
      </w:pPr>
      <w:r>
        <w:rPr>
          <w:rFonts w:ascii="Times New Roman" w:hAnsi="Times New Roman"/>
          <w:sz w:val="22"/>
        </w:rPr>
        <w:t>In settings without a comparable administrative hierarchy, governance functions may be distributed among public agencies, donor-supported programs, non-governmental organizations, cooperatives, research organizations, and community networks. Top-down planning and bottom-up knowledge can be connected through participatory processes, producer organizations, and boundary or bridging institutions (</w:t>
      </w:r>
      <w:proofErr w:type="spellStart"/>
      <w:r w:rsidRPr="000C468E">
        <w:rPr>
          <w:rFonts w:ascii="Times New Roman" w:hAnsi="Times New Roman"/>
          <w:color w:val="0070C0"/>
          <w:sz w:val="22"/>
        </w:rPr>
        <w:t>Bizikova</w:t>
      </w:r>
      <w:proofErr w:type="spellEnd"/>
      <w:r w:rsidRPr="000C468E">
        <w:rPr>
          <w:rFonts w:ascii="Times New Roman" w:hAnsi="Times New Roman"/>
          <w:color w:val="0070C0"/>
          <w:sz w:val="22"/>
        </w:rPr>
        <w:t xml:space="preserve"> et al., 2020; </w:t>
      </w:r>
      <w:proofErr w:type="spellStart"/>
      <w:r w:rsidRPr="000C468E">
        <w:rPr>
          <w:rFonts w:ascii="Times New Roman" w:hAnsi="Times New Roman"/>
          <w:color w:val="0070C0"/>
          <w:sz w:val="22"/>
        </w:rPr>
        <w:t>Eitzinger</w:t>
      </w:r>
      <w:proofErr w:type="spellEnd"/>
      <w:r w:rsidRPr="000C468E">
        <w:rPr>
          <w:rFonts w:ascii="Times New Roman" w:hAnsi="Times New Roman"/>
          <w:color w:val="0070C0"/>
          <w:sz w:val="22"/>
        </w:rPr>
        <w:t xml:space="preserve"> et al., 2018; Girard et al., 2015</w:t>
      </w:r>
      <w:r>
        <w:rPr>
          <w:rFonts w:ascii="Times New Roman" w:hAnsi="Times New Roman"/>
          <w:sz w:val="22"/>
        </w:rPr>
        <w:t>). Distributed provision can increase flexibility and diversify expertise. It also raises coordination costs and may produce gaps in coverage. The G–C–H categories can be used by identifying which actors mobilize resources, which actors mediate access, and which actors retain authority to revise rules. This mapping makes institutional differences visible without assuming that one organization must perform all governmental functions.</w:t>
      </w:r>
    </w:p>
    <w:p w14:paraId="24189B23" w14:textId="77777777" w:rsidR="0097156C" w:rsidRDefault="0097156C" w:rsidP="0097156C">
      <w:pPr>
        <w:keepNext/>
        <w:spacing w:before="200" w:after="80"/>
        <w:rPr>
          <w:rFonts w:hint="eastAsia"/>
        </w:rPr>
      </w:pPr>
      <w:r>
        <w:rPr>
          <w:rFonts w:ascii="Times New Roman" w:hAnsi="Times New Roman"/>
          <w:b/>
          <w:sz w:val="24"/>
        </w:rPr>
        <w:t>S6.4 Household agency, knowledge, and response</w:t>
      </w:r>
    </w:p>
    <w:p w14:paraId="5F0463F5" w14:textId="77777777" w:rsidR="0097156C" w:rsidRDefault="0097156C" w:rsidP="0097156C">
      <w:pPr>
        <w:spacing w:after="80" w:line="269" w:lineRule="auto"/>
        <w:ind w:firstLine="317"/>
        <w:rPr>
          <w:rFonts w:hint="eastAsia"/>
        </w:rPr>
      </w:pPr>
      <w:r>
        <w:rPr>
          <w:rFonts w:ascii="Times New Roman" w:hAnsi="Times New Roman"/>
          <w:sz w:val="22"/>
        </w:rPr>
        <w:t>Households remain the actors through whom adaptation is tested and revised. Their response depends on risk perception, livelihood resources, learning, and the practical feasibility of available options. Global adaptation evidence emphasizes social limits, local experience, and the need to evaluate whether action reduces vulnerability for different groups (</w:t>
      </w:r>
      <w:proofErr w:type="spellStart"/>
      <w:r w:rsidRPr="000C468E">
        <w:rPr>
          <w:rFonts w:ascii="Times New Roman" w:hAnsi="Times New Roman"/>
          <w:color w:val="0070C0"/>
          <w:sz w:val="22"/>
        </w:rPr>
        <w:t>Adger</w:t>
      </w:r>
      <w:proofErr w:type="spellEnd"/>
      <w:r w:rsidRPr="000C468E">
        <w:rPr>
          <w:rFonts w:ascii="Times New Roman" w:hAnsi="Times New Roman"/>
          <w:color w:val="0070C0"/>
          <w:sz w:val="22"/>
        </w:rPr>
        <w:t xml:space="preserve"> et al., 2009; </w:t>
      </w:r>
      <w:proofErr w:type="spellStart"/>
      <w:r w:rsidRPr="000C468E">
        <w:rPr>
          <w:rFonts w:ascii="Times New Roman" w:hAnsi="Times New Roman"/>
          <w:color w:val="0070C0"/>
          <w:sz w:val="22"/>
        </w:rPr>
        <w:t>Berrang</w:t>
      </w:r>
      <w:proofErr w:type="spellEnd"/>
      <w:r w:rsidRPr="000C468E">
        <w:rPr>
          <w:rFonts w:ascii="Times New Roman" w:hAnsi="Times New Roman"/>
          <w:color w:val="0070C0"/>
          <w:sz w:val="22"/>
        </w:rPr>
        <w:t>-Ford et al., 2021</w:t>
      </w:r>
      <w:r>
        <w:rPr>
          <w:rFonts w:ascii="Times New Roman" w:hAnsi="Times New Roman"/>
          <w:sz w:val="22"/>
        </w:rPr>
        <w:t>). Co-production research also shows the value of connecting scientific and local knowledge (</w:t>
      </w:r>
      <w:r w:rsidRPr="000C468E">
        <w:rPr>
          <w:rFonts w:ascii="Times New Roman" w:hAnsi="Times New Roman"/>
          <w:color w:val="0070C0"/>
          <w:sz w:val="22"/>
        </w:rPr>
        <w:t>Miner et al., 2023</w:t>
      </w:r>
      <w:r>
        <w:rPr>
          <w:rFonts w:ascii="Times New Roman" w:hAnsi="Times New Roman"/>
          <w:sz w:val="22"/>
        </w:rPr>
        <w:t>). In comparative application, household participation should be examined through influence over decisions, capacity to experiment, and the ability to communicate implementation experience. Program attendance or technology uptake alone provides an incomplete measure of agency.</w:t>
      </w:r>
    </w:p>
    <w:p w14:paraId="467B8A77" w14:textId="77777777" w:rsidR="0097156C" w:rsidRDefault="0097156C" w:rsidP="0097156C">
      <w:pPr>
        <w:keepNext/>
        <w:spacing w:before="200" w:after="80"/>
        <w:rPr>
          <w:rFonts w:hint="eastAsia"/>
        </w:rPr>
      </w:pPr>
      <w:r>
        <w:rPr>
          <w:rFonts w:ascii="Times New Roman" w:hAnsi="Times New Roman"/>
          <w:b/>
          <w:sz w:val="24"/>
        </w:rPr>
        <w:t>S6.5 Accountability and comparison boundaries</w:t>
      </w:r>
    </w:p>
    <w:p w14:paraId="0C7BD69E" w14:textId="77777777" w:rsidR="0097156C" w:rsidRDefault="0097156C" w:rsidP="0097156C">
      <w:pPr>
        <w:spacing w:after="80" w:line="269" w:lineRule="auto"/>
        <w:ind w:firstLine="317"/>
        <w:rPr>
          <w:rFonts w:hint="eastAsia"/>
        </w:rPr>
      </w:pPr>
      <w:r>
        <w:rPr>
          <w:rFonts w:ascii="Times New Roman" w:hAnsi="Times New Roman"/>
          <w:sz w:val="22"/>
        </w:rPr>
        <w:t>Functional equivalents are meaningful only when authority, accountability, and distribution are also examined. Community institutions may hold local legitimacy but exclude less-connected households. Non-governmental organizations may provide technical support without long-term finance. Public agencies may supply resources while limiting local discretion. Research on community institutions and collective action shows that participation and organizational plurality do not remove power asymmetries (</w:t>
      </w:r>
      <w:r w:rsidRPr="000C468E">
        <w:rPr>
          <w:rFonts w:ascii="Times New Roman" w:hAnsi="Times New Roman"/>
          <w:color w:val="0070C0"/>
          <w:sz w:val="22"/>
        </w:rPr>
        <w:t>Karim and Thiel, 2017; Matthews et al., 2023</w:t>
      </w:r>
      <w:r>
        <w:rPr>
          <w:rFonts w:ascii="Times New Roman" w:hAnsi="Times New Roman"/>
          <w:sz w:val="22"/>
        </w:rPr>
        <w:t>). External support can also constrain adaptability when it locks households into narrow production or project pathways (</w:t>
      </w:r>
      <w:proofErr w:type="spellStart"/>
      <w:r w:rsidRPr="000C468E">
        <w:rPr>
          <w:rFonts w:ascii="Times New Roman" w:hAnsi="Times New Roman"/>
          <w:color w:val="0070C0"/>
          <w:sz w:val="22"/>
        </w:rPr>
        <w:t>Bitterman</w:t>
      </w:r>
      <w:proofErr w:type="spellEnd"/>
      <w:r w:rsidRPr="000C468E">
        <w:rPr>
          <w:rFonts w:ascii="Times New Roman" w:hAnsi="Times New Roman"/>
          <w:color w:val="0070C0"/>
          <w:sz w:val="22"/>
        </w:rPr>
        <w:t xml:space="preserve"> et al., 2019</w:t>
      </w:r>
      <w:r>
        <w:rPr>
          <w:rFonts w:ascii="Times New Roman" w:hAnsi="Times New Roman"/>
          <w:sz w:val="22"/>
        </w:rPr>
        <w:t>). Cross-context comparison should therefore specify who performs each function, who can demand an explanation or correction, and which groups receive benefits or assume risks.</w:t>
      </w:r>
    </w:p>
    <w:p w14:paraId="05E527A5" w14:textId="0F301248" w:rsidR="0097156C" w:rsidRDefault="0097156C" w:rsidP="0097156C">
      <w:pPr>
        <w:spacing w:after="80" w:line="269" w:lineRule="auto"/>
        <w:ind w:firstLine="317"/>
        <w:rPr>
          <w:rFonts w:hint="eastAsia"/>
        </w:rPr>
      </w:pPr>
      <w:r>
        <w:rPr>
          <w:rFonts w:ascii="Times New Roman" w:hAnsi="Times New Roman"/>
          <w:sz w:val="22"/>
        </w:rPr>
        <w:t xml:space="preserve">These boundary conditions guide empirical use of the framework. Researchers can trace the same sequence of support, mediation, household response, and feedback while allowing the </w:t>
      </w:r>
      <w:r>
        <w:rPr>
          <w:rFonts w:ascii="Times New Roman" w:hAnsi="Times New Roman"/>
          <w:sz w:val="22"/>
        </w:rPr>
        <w:lastRenderedPageBreak/>
        <w:t>responsible organizations to differ across settings. Table S</w:t>
      </w:r>
      <w:r w:rsidR="0062112F">
        <w:rPr>
          <w:rFonts w:ascii="Times New Roman" w:hAnsi="Times New Roman" w:hint="eastAsia"/>
          <w:sz w:val="22"/>
        </w:rPr>
        <w:t>8</w:t>
      </w:r>
      <w:r>
        <w:rPr>
          <w:rFonts w:ascii="Times New Roman" w:hAnsi="Times New Roman"/>
          <w:sz w:val="22"/>
        </w:rPr>
        <w:t xml:space="preserve"> presents the main governance functions, institutional equivalents, and accountability conditions. Comparison then focuses on how the functions are connected and distributed, and on their effects across the five resilience dimensions.</w:t>
      </w:r>
    </w:p>
    <w:p w14:paraId="432E99EA" w14:textId="4A967D3E" w:rsidR="0097156C" w:rsidRDefault="0097156C" w:rsidP="0097156C">
      <w:pPr>
        <w:keepNext/>
        <w:spacing w:before="120" w:after="60"/>
        <w:jc w:val="center"/>
        <w:rPr>
          <w:rFonts w:hint="eastAsia"/>
        </w:rPr>
      </w:pPr>
      <w:r>
        <w:rPr>
          <w:rFonts w:ascii="Times New Roman" w:hAnsi="Times New Roman"/>
          <w:b/>
          <w:sz w:val="22"/>
        </w:rPr>
        <w:t>Table S</w:t>
      </w:r>
      <w:r w:rsidR="0062112F">
        <w:rPr>
          <w:rFonts w:ascii="Times New Roman" w:hAnsi="Times New Roman" w:hint="eastAsia"/>
          <w:b/>
          <w:sz w:val="22"/>
        </w:rPr>
        <w:t>8</w:t>
      </w:r>
      <w:r>
        <w:rPr>
          <w:rFonts w:ascii="Times New Roman" w:hAnsi="Times New Roman"/>
          <w:b/>
          <w:sz w:val="22"/>
        </w:rPr>
        <w:t>. Governance functions, institutional equivalents, and accountability conditions</w:t>
      </w:r>
    </w:p>
    <w:tbl>
      <w:tblPr>
        <w:tblStyle w:val="af2"/>
        <w:tblW w:w="8309"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4"/>
        <w:gridCol w:w="2520"/>
        <w:gridCol w:w="2592"/>
        <w:gridCol w:w="1613"/>
      </w:tblGrid>
      <w:tr w:rsidR="0097156C" w14:paraId="216B4816" w14:textId="77777777" w:rsidTr="000C468E">
        <w:trPr>
          <w:tblHeader/>
        </w:trPr>
        <w:tc>
          <w:tcPr>
            <w:tcW w:w="1584"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6DD38FF4" w14:textId="77777777" w:rsidR="0097156C" w:rsidRDefault="0097156C" w:rsidP="000C468E">
            <w:pPr>
              <w:adjustRightInd w:val="0"/>
              <w:snapToGrid w:val="0"/>
              <w:jc w:val="left"/>
              <w:rPr>
                <w:rFonts w:hint="eastAsia"/>
              </w:rPr>
            </w:pPr>
            <w:r>
              <w:rPr>
                <w:rFonts w:ascii="Times New Roman" w:hAnsi="Times New Roman"/>
                <w:b/>
                <w:sz w:val="16"/>
              </w:rPr>
              <w:t>Governance function</w:t>
            </w:r>
          </w:p>
        </w:tc>
        <w:tc>
          <w:tcPr>
            <w:tcW w:w="2520"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68467DB2" w14:textId="77777777" w:rsidR="0097156C" w:rsidRDefault="0097156C" w:rsidP="000C468E">
            <w:pPr>
              <w:adjustRightInd w:val="0"/>
              <w:snapToGrid w:val="0"/>
              <w:jc w:val="left"/>
              <w:rPr>
                <w:rFonts w:hint="eastAsia"/>
              </w:rPr>
            </w:pPr>
            <w:r>
              <w:rPr>
                <w:rFonts w:ascii="Times New Roman" w:hAnsi="Times New Roman"/>
                <w:b/>
                <w:sz w:val="16"/>
              </w:rPr>
              <w:t>Configuration in the Chinese evidence</w:t>
            </w:r>
          </w:p>
        </w:tc>
        <w:tc>
          <w:tcPr>
            <w:tcW w:w="2592"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735111D1" w14:textId="77777777" w:rsidR="0097156C" w:rsidRDefault="0097156C" w:rsidP="000C468E">
            <w:pPr>
              <w:adjustRightInd w:val="0"/>
              <w:snapToGrid w:val="0"/>
              <w:jc w:val="left"/>
              <w:rPr>
                <w:rFonts w:hint="eastAsia"/>
              </w:rPr>
            </w:pPr>
            <w:r>
              <w:rPr>
                <w:rFonts w:ascii="Times New Roman" w:hAnsi="Times New Roman"/>
                <w:b/>
                <w:sz w:val="16"/>
              </w:rPr>
              <w:t>Possible institutional equivalents</w:t>
            </w:r>
          </w:p>
        </w:tc>
        <w:tc>
          <w:tcPr>
            <w:tcW w:w="1613" w:type="dxa"/>
            <w:tcBorders>
              <w:top w:val="single" w:sz="12" w:space="0" w:color="auto"/>
              <w:bottom w:val="single" w:sz="4" w:space="0" w:color="auto"/>
            </w:tcBorders>
            <w:shd w:val="clear" w:color="auto" w:fill="auto"/>
            <w:tcMar>
              <w:top w:w="80" w:type="dxa"/>
              <w:left w:w="90" w:type="dxa"/>
              <w:bottom w:w="80" w:type="dxa"/>
              <w:right w:w="90" w:type="dxa"/>
            </w:tcMar>
            <w:vAlign w:val="center"/>
          </w:tcPr>
          <w:p w14:paraId="08257E4F" w14:textId="77777777" w:rsidR="0097156C" w:rsidRDefault="0097156C" w:rsidP="000C468E">
            <w:pPr>
              <w:adjustRightInd w:val="0"/>
              <w:snapToGrid w:val="0"/>
              <w:jc w:val="left"/>
              <w:rPr>
                <w:rFonts w:hint="eastAsia"/>
              </w:rPr>
            </w:pPr>
            <w:r>
              <w:rPr>
                <w:rFonts w:ascii="Times New Roman" w:hAnsi="Times New Roman"/>
                <w:b/>
                <w:sz w:val="16"/>
              </w:rPr>
              <w:t>Conditions to assess</w:t>
            </w:r>
          </w:p>
        </w:tc>
      </w:tr>
      <w:tr w:rsidR="0097156C" w14:paraId="7D0800C4" w14:textId="77777777" w:rsidTr="000C468E">
        <w:trPr>
          <w:cantSplit/>
        </w:trPr>
        <w:tc>
          <w:tcPr>
            <w:tcW w:w="1584" w:type="dxa"/>
            <w:tcBorders>
              <w:top w:val="single" w:sz="4" w:space="0" w:color="auto"/>
            </w:tcBorders>
            <w:shd w:val="clear" w:color="auto" w:fill="auto"/>
            <w:tcMar>
              <w:top w:w="80" w:type="dxa"/>
              <w:left w:w="90" w:type="dxa"/>
              <w:bottom w:w="80" w:type="dxa"/>
              <w:right w:w="90" w:type="dxa"/>
            </w:tcMar>
            <w:vAlign w:val="center"/>
          </w:tcPr>
          <w:p w14:paraId="2BB92DFD" w14:textId="77777777" w:rsidR="0097156C" w:rsidRDefault="0097156C" w:rsidP="000C468E">
            <w:pPr>
              <w:adjustRightInd w:val="0"/>
              <w:snapToGrid w:val="0"/>
              <w:jc w:val="left"/>
              <w:rPr>
                <w:rFonts w:hint="eastAsia"/>
              </w:rPr>
            </w:pPr>
            <w:r>
              <w:rPr>
                <w:rFonts w:ascii="Times New Roman" w:hAnsi="Times New Roman"/>
                <w:b/>
                <w:sz w:val="16"/>
              </w:rPr>
              <w:t>Resource mobilization</w:t>
            </w:r>
          </w:p>
        </w:tc>
        <w:tc>
          <w:tcPr>
            <w:tcW w:w="2520" w:type="dxa"/>
            <w:tcBorders>
              <w:top w:val="single" w:sz="4" w:space="0" w:color="auto"/>
            </w:tcBorders>
            <w:shd w:val="clear" w:color="auto" w:fill="auto"/>
            <w:tcMar>
              <w:top w:w="80" w:type="dxa"/>
              <w:left w:w="90" w:type="dxa"/>
              <w:bottom w:w="80" w:type="dxa"/>
              <w:right w:w="90" w:type="dxa"/>
            </w:tcMar>
            <w:vAlign w:val="center"/>
          </w:tcPr>
          <w:p w14:paraId="7A260D03" w14:textId="77777777" w:rsidR="0097156C" w:rsidRDefault="0097156C" w:rsidP="000C468E">
            <w:pPr>
              <w:adjustRightInd w:val="0"/>
              <w:snapToGrid w:val="0"/>
              <w:jc w:val="left"/>
              <w:rPr>
                <w:rFonts w:hint="eastAsia"/>
              </w:rPr>
            </w:pPr>
            <w:r>
              <w:rPr>
                <w:rFonts w:ascii="Times New Roman" w:hAnsi="Times New Roman"/>
                <w:sz w:val="16"/>
              </w:rPr>
              <w:t>Public finance, infrastructure, subsidies, insurance, training, and technical services (He et al., 2022a; Cui et al., 2023).</w:t>
            </w:r>
          </w:p>
        </w:tc>
        <w:tc>
          <w:tcPr>
            <w:tcW w:w="2592" w:type="dxa"/>
            <w:tcBorders>
              <w:top w:val="single" w:sz="4" w:space="0" w:color="auto"/>
            </w:tcBorders>
            <w:shd w:val="clear" w:color="auto" w:fill="auto"/>
            <w:tcMar>
              <w:top w:w="80" w:type="dxa"/>
              <w:left w:w="90" w:type="dxa"/>
              <w:bottom w:w="80" w:type="dxa"/>
              <w:right w:w="90" w:type="dxa"/>
            </w:tcMar>
            <w:vAlign w:val="center"/>
          </w:tcPr>
          <w:p w14:paraId="20CE1E95" w14:textId="77777777" w:rsidR="0097156C" w:rsidRDefault="0097156C" w:rsidP="000C468E">
            <w:pPr>
              <w:adjustRightInd w:val="0"/>
              <w:snapToGrid w:val="0"/>
              <w:jc w:val="left"/>
              <w:rPr>
                <w:rFonts w:hint="eastAsia"/>
              </w:rPr>
            </w:pPr>
            <w:r>
              <w:rPr>
                <w:rFonts w:ascii="Times New Roman" w:hAnsi="Times New Roman"/>
                <w:sz w:val="16"/>
              </w:rPr>
              <w:t>Public agencies, donor programs, non-governmental organizations, cooperatives, and community arrangements (Ayers and Forsyth, 2009).</w:t>
            </w:r>
          </w:p>
        </w:tc>
        <w:tc>
          <w:tcPr>
            <w:tcW w:w="1613" w:type="dxa"/>
            <w:tcBorders>
              <w:top w:val="single" w:sz="4" w:space="0" w:color="auto"/>
            </w:tcBorders>
            <w:shd w:val="clear" w:color="auto" w:fill="auto"/>
            <w:tcMar>
              <w:top w:w="80" w:type="dxa"/>
              <w:left w:w="90" w:type="dxa"/>
              <w:bottom w:w="80" w:type="dxa"/>
              <w:right w:w="90" w:type="dxa"/>
            </w:tcMar>
            <w:vAlign w:val="center"/>
          </w:tcPr>
          <w:p w14:paraId="1E780296" w14:textId="77777777" w:rsidR="0097156C" w:rsidRDefault="0097156C" w:rsidP="000C468E">
            <w:pPr>
              <w:adjustRightInd w:val="0"/>
              <w:snapToGrid w:val="0"/>
              <w:jc w:val="left"/>
              <w:rPr>
                <w:rFonts w:hint="eastAsia"/>
              </w:rPr>
            </w:pPr>
            <w:r>
              <w:rPr>
                <w:rFonts w:ascii="Times New Roman" w:hAnsi="Times New Roman"/>
                <w:sz w:val="16"/>
              </w:rPr>
              <w:t>Transparent allocation, continuity, and access for vulnerable households.</w:t>
            </w:r>
          </w:p>
        </w:tc>
      </w:tr>
      <w:tr w:rsidR="0097156C" w14:paraId="2E1CA7D6" w14:textId="77777777" w:rsidTr="000C468E">
        <w:trPr>
          <w:cantSplit/>
        </w:trPr>
        <w:tc>
          <w:tcPr>
            <w:tcW w:w="1584" w:type="dxa"/>
            <w:shd w:val="clear" w:color="auto" w:fill="auto"/>
            <w:tcMar>
              <w:top w:w="80" w:type="dxa"/>
              <w:left w:w="90" w:type="dxa"/>
              <w:bottom w:w="80" w:type="dxa"/>
              <w:right w:w="90" w:type="dxa"/>
            </w:tcMar>
            <w:vAlign w:val="center"/>
          </w:tcPr>
          <w:p w14:paraId="37125BF6" w14:textId="77777777" w:rsidR="0097156C" w:rsidRDefault="0097156C" w:rsidP="000C468E">
            <w:pPr>
              <w:adjustRightInd w:val="0"/>
              <w:snapToGrid w:val="0"/>
              <w:jc w:val="left"/>
              <w:rPr>
                <w:rFonts w:hint="eastAsia"/>
              </w:rPr>
            </w:pPr>
            <w:r>
              <w:rPr>
                <w:rFonts w:ascii="Times New Roman" w:hAnsi="Times New Roman"/>
                <w:b/>
                <w:sz w:val="16"/>
              </w:rPr>
              <w:t>Cross-scale coordination</w:t>
            </w:r>
          </w:p>
        </w:tc>
        <w:tc>
          <w:tcPr>
            <w:tcW w:w="2520" w:type="dxa"/>
            <w:shd w:val="clear" w:color="auto" w:fill="auto"/>
            <w:tcMar>
              <w:top w:w="80" w:type="dxa"/>
              <w:left w:w="90" w:type="dxa"/>
              <w:bottom w:w="80" w:type="dxa"/>
              <w:right w:w="90" w:type="dxa"/>
            </w:tcMar>
            <w:vAlign w:val="center"/>
          </w:tcPr>
          <w:p w14:paraId="565EB07A" w14:textId="77777777" w:rsidR="0097156C" w:rsidRDefault="0097156C" w:rsidP="000C468E">
            <w:pPr>
              <w:adjustRightInd w:val="0"/>
              <w:snapToGrid w:val="0"/>
              <w:jc w:val="left"/>
              <w:rPr>
                <w:rFonts w:hint="eastAsia"/>
              </w:rPr>
            </w:pPr>
            <w:r>
              <w:rPr>
                <w:rFonts w:ascii="Times New Roman" w:hAnsi="Times New Roman"/>
                <w:sz w:val="16"/>
              </w:rPr>
              <w:t>Vertical administrative alignment and coordination across agricultural, water, financial, and technical sectors.</w:t>
            </w:r>
          </w:p>
        </w:tc>
        <w:tc>
          <w:tcPr>
            <w:tcW w:w="2592" w:type="dxa"/>
            <w:shd w:val="clear" w:color="auto" w:fill="auto"/>
            <w:tcMar>
              <w:top w:w="80" w:type="dxa"/>
              <w:left w:w="90" w:type="dxa"/>
              <w:bottom w:w="80" w:type="dxa"/>
              <w:right w:w="90" w:type="dxa"/>
            </w:tcMar>
            <w:vAlign w:val="center"/>
          </w:tcPr>
          <w:p w14:paraId="09A5166F" w14:textId="77777777" w:rsidR="0097156C" w:rsidRDefault="0097156C" w:rsidP="000C468E">
            <w:pPr>
              <w:adjustRightInd w:val="0"/>
              <w:snapToGrid w:val="0"/>
              <w:jc w:val="left"/>
              <w:rPr>
                <w:rFonts w:hint="eastAsia"/>
              </w:rPr>
            </w:pPr>
            <w:r>
              <w:rPr>
                <w:rFonts w:ascii="Times New Roman" w:hAnsi="Times New Roman"/>
                <w:sz w:val="16"/>
              </w:rPr>
              <w:t>Bridging organizations, co-management bodies, customary authorities, and polycentric networks (Cash et al., 2006; Berkes, 2009; Ostrom, 2010).</w:t>
            </w:r>
          </w:p>
        </w:tc>
        <w:tc>
          <w:tcPr>
            <w:tcW w:w="1613" w:type="dxa"/>
            <w:shd w:val="clear" w:color="auto" w:fill="auto"/>
            <w:tcMar>
              <w:top w:w="80" w:type="dxa"/>
              <w:left w:w="90" w:type="dxa"/>
              <w:bottom w:w="80" w:type="dxa"/>
              <w:right w:w="90" w:type="dxa"/>
            </w:tcMar>
            <w:vAlign w:val="center"/>
          </w:tcPr>
          <w:p w14:paraId="1D5A5932" w14:textId="77777777" w:rsidR="0097156C" w:rsidRDefault="0097156C" w:rsidP="000C468E">
            <w:pPr>
              <w:adjustRightInd w:val="0"/>
              <w:snapToGrid w:val="0"/>
              <w:jc w:val="left"/>
              <w:rPr>
                <w:rFonts w:hint="eastAsia"/>
              </w:rPr>
            </w:pPr>
            <w:r>
              <w:rPr>
                <w:rFonts w:ascii="Times New Roman" w:hAnsi="Times New Roman"/>
                <w:sz w:val="16"/>
              </w:rPr>
              <w:t>Clear responsibilities, local representation, and coordination across levels and sectors.</w:t>
            </w:r>
          </w:p>
        </w:tc>
      </w:tr>
      <w:tr w:rsidR="0097156C" w14:paraId="7112D262" w14:textId="77777777" w:rsidTr="000C468E">
        <w:trPr>
          <w:cantSplit/>
        </w:trPr>
        <w:tc>
          <w:tcPr>
            <w:tcW w:w="1584" w:type="dxa"/>
            <w:shd w:val="clear" w:color="auto" w:fill="auto"/>
            <w:tcMar>
              <w:top w:w="80" w:type="dxa"/>
              <w:left w:w="90" w:type="dxa"/>
              <w:bottom w:w="80" w:type="dxa"/>
              <w:right w:w="90" w:type="dxa"/>
            </w:tcMar>
            <w:vAlign w:val="center"/>
          </w:tcPr>
          <w:p w14:paraId="1C5F79F6" w14:textId="77777777" w:rsidR="0097156C" w:rsidRDefault="0097156C" w:rsidP="000C468E">
            <w:pPr>
              <w:adjustRightInd w:val="0"/>
              <w:snapToGrid w:val="0"/>
              <w:jc w:val="left"/>
              <w:rPr>
                <w:rFonts w:hint="eastAsia"/>
              </w:rPr>
            </w:pPr>
            <w:r>
              <w:rPr>
                <w:rFonts w:ascii="Times New Roman" w:hAnsi="Times New Roman"/>
                <w:b/>
                <w:sz w:val="16"/>
              </w:rPr>
              <w:t>Technical and climate information</w:t>
            </w:r>
          </w:p>
        </w:tc>
        <w:tc>
          <w:tcPr>
            <w:tcW w:w="2520" w:type="dxa"/>
            <w:shd w:val="clear" w:color="auto" w:fill="auto"/>
            <w:tcMar>
              <w:top w:w="80" w:type="dxa"/>
              <w:left w:w="90" w:type="dxa"/>
              <w:bottom w:w="80" w:type="dxa"/>
              <w:right w:w="90" w:type="dxa"/>
            </w:tcMar>
            <w:vAlign w:val="center"/>
          </w:tcPr>
          <w:p w14:paraId="15D69535" w14:textId="77777777" w:rsidR="0097156C" w:rsidRDefault="0097156C" w:rsidP="000C468E">
            <w:pPr>
              <w:adjustRightInd w:val="0"/>
              <w:snapToGrid w:val="0"/>
              <w:jc w:val="left"/>
              <w:rPr>
                <w:rFonts w:hint="eastAsia"/>
              </w:rPr>
            </w:pPr>
            <w:r>
              <w:rPr>
                <w:rFonts w:ascii="Times New Roman" w:hAnsi="Times New Roman"/>
                <w:sz w:val="16"/>
              </w:rPr>
              <w:t>Meteorological services, extension, training, and locally mediated communication (Wang et al., 2015; Xie et al., 2022).</w:t>
            </w:r>
          </w:p>
        </w:tc>
        <w:tc>
          <w:tcPr>
            <w:tcW w:w="2592" w:type="dxa"/>
            <w:shd w:val="clear" w:color="auto" w:fill="auto"/>
            <w:tcMar>
              <w:top w:w="80" w:type="dxa"/>
              <w:left w:w="90" w:type="dxa"/>
              <w:bottom w:w="80" w:type="dxa"/>
              <w:right w:w="90" w:type="dxa"/>
            </w:tcMar>
            <w:vAlign w:val="center"/>
          </w:tcPr>
          <w:p w14:paraId="6426C6A0" w14:textId="77777777" w:rsidR="0097156C" w:rsidRDefault="0097156C" w:rsidP="000C468E">
            <w:pPr>
              <w:adjustRightInd w:val="0"/>
              <w:snapToGrid w:val="0"/>
              <w:jc w:val="left"/>
              <w:rPr>
                <w:rFonts w:hint="eastAsia"/>
              </w:rPr>
            </w:pPr>
            <w:r>
              <w:rPr>
                <w:rFonts w:ascii="Times New Roman" w:hAnsi="Times New Roman"/>
                <w:sz w:val="16"/>
              </w:rPr>
              <w:t>Research and extension organizations, producer groups, community brokers, and bridging institutions (Cash et al., 2006; Berkes, 2009).</w:t>
            </w:r>
          </w:p>
        </w:tc>
        <w:tc>
          <w:tcPr>
            <w:tcW w:w="1613" w:type="dxa"/>
            <w:shd w:val="clear" w:color="auto" w:fill="auto"/>
            <w:tcMar>
              <w:top w:w="80" w:type="dxa"/>
              <w:left w:w="90" w:type="dxa"/>
              <w:bottom w:w="80" w:type="dxa"/>
              <w:right w:w="90" w:type="dxa"/>
            </w:tcMar>
            <w:vAlign w:val="center"/>
          </w:tcPr>
          <w:p w14:paraId="3E9EE70E" w14:textId="77777777" w:rsidR="0097156C" w:rsidRDefault="0097156C" w:rsidP="000C468E">
            <w:pPr>
              <w:adjustRightInd w:val="0"/>
              <w:snapToGrid w:val="0"/>
              <w:jc w:val="left"/>
              <w:rPr>
                <w:rFonts w:hint="eastAsia"/>
              </w:rPr>
            </w:pPr>
            <w:r>
              <w:rPr>
                <w:rFonts w:ascii="Times New Roman" w:hAnsi="Times New Roman"/>
                <w:sz w:val="16"/>
              </w:rPr>
              <w:t>Information is timely, trusted, locally interpretable, and connected to feasible action.</w:t>
            </w:r>
          </w:p>
        </w:tc>
      </w:tr>
      <w:tr w:rsidR="0097156C" w14:paraId="4BA59FB7" w14:textId="77777777" w:rsidTr="000C468E">
        <w:trPr>
          <w:cantSplit/>
        </w:trPr>
        <w:tc>
          <w:tcPr>
            <w:tcW w:w="1584" w:type="dxa"/>
            <w:shd w:val="clear" w:color="auto" w:fill="auto"/>
            <w:tcMar>
              <w:top w:w="80" w:type="dxa"/>
              <w:left w:w="90" w:type="dxa"/>
              <w:bottom w:w="80" w:type="dxa"/>
              <w:right w:w="90" w:type="dxa"/>
            </w:tcMar>
            <w:vAlign w:val="center"/>
          </w:tcPr>
          <w:p w14:paraId="7A1DF2AF" w14:textId="77777777" w:rsidR="0097156C" w:rsidRDefault="0097156C" w:rsidP="000C468E">
            <w:pPr>
              <w:adjustRightInd w:val="0"/>
              <w:snapToGrid w:val="0"/>
              <w:jc w:val="left"/>
              <w:rPr>
                <w:rFonts w:hint="eastAsia"/>
              </w:rPr>
            </w:pPr>
            <w:r>
              <w:rPr>
                <w:rFonts w:ascii="Times New Roman" w:hAnsi="Times New Roman"/>
                <w:b/>
                <w:sz w:val="16"/>
              </w:rPr>
              <w:t>Rule-setting and risk reduction</w:t>
            </w:r>
          </w:p>
        </w:tc>
        <w:tc>
          <w:tcPr>
            <w:tcW w:w="2520" w:type="dxa"/>
            <w:shd w:val="clear" w:color="auto" w:fill="auto"/>
            <w:tcMar>
              <w:top w:w="80" w:type="dxa"/>
              <w:left w:w="90" w:type="dxa"/>
              <w:bottom w:w="80" w:type="dxa"/>
              <w:right w:w="90" w:type="dxa"/>
            </w:tcMar>
            <w:vAlign w:val="center"/>
          </w:tcPr>
          <w:p w14:paraId="69F411CB" w14:textId="77777777" w:rsidR="0097156C" w:rsidRDefault="0097156C" w:rsidP="000C468E">
            <w:pPr>
              <w:adjustRightInd w:val="0"/>
              <w:snapToGrid w:val="0"/>
              <w:jc w:val="left"/>
              <w:rPr>
                <w:rFonts w:hint="eastAsia"/>
              </w:rPr>
            </w:pPr>
            <w:r>
              <w:rPr>
                <w:rFonts w:ascii="Times New Roman" w:hAnsi="Times New Roman"/>
                <w:sz w:val="16"/>
              </w:rPr>
              <w:t>Public regulation interacts with village rules and community institutions in resource access and management.</w:t>
            </w:r>
          </w:p>
        </w:tc>
        <w:tc>
          <w:tcPr>
            <w:tcW w:w="2592" w:type="dxa"/>
            <w:shd w:val="clear" w:color="auto" w:fill="auto"/>
            <w:tcMar>
              <w:top w:w="80" w:type="dxa"/>
              <w:left w:w="90" w:type="dxa"/>
              <w:bottom w:w="80" w:type="dxa"/>
              <w:right w:w="90" w:type="dxa"/>
            </w:tcMar>
            <w:vAlign w:val="center"/>
          </w:tcPr>
          <w:p w14:paraId="535B7A14" w14:textId="77777777" w:rsidR="0097156C" w:rsidRDefault="0097156C" w:rsidP="000C468E">
            <w:pPr>
              <w:adjustRightInd w:val="0"/>
              <w:snapToGrid w:val="0"/>
              <w:jc w:val="left"/>
              <w:rPr>
                <w:rFonts w:hint="eastAsia"/>
              </w:rPr>
            </w:pPr>
            <w:r>
              <w:rPr>
                <w:rFonts w:ascii="Times New Roman" w:hAnsi="Times New Roman"/>
                <w:sz w:val="16"/>
              </w:rPr>
              <w:t>Public authorities, customary institutions, cooperatives, and polycentric or co-management arrangements (</w:t>
            </w:r>
            <w:proofErr w:type="spellStart"/>
            <w:r>
              <w:rPr>
                <w:rFonts w:ascii="Times New Roman" w:hAnsi="Times New Roman"/>
                <w:sz w:val="16"/>
              </w:rPr>
              <w:t>Dorsch</w:t>
            </w:r>
            <w:proofErr w:type="spellEnd"/>
            <w:r>
              <w:rPr>
                <w:rFonts w:ascii="Times New Roman" w:hAnsi="Times New Roman"/>
                <w:sz w:val="16"/>
              </w:rPr>
              <w:t xml:space="preserve"> and </w:t>
            </w:r>
            <w:proofErr w:type="spellStart"/>
            <w:r>
              <w:rPr>
                <w:rFonts w:ascii="Times New Roman" w:hAnsi="Times New Roman"/>
                <w:sz w:val="16"/>
              </w:rPr>
              <w:t>Flachsland</w:t>
            </w:r>
            <w:proofErr w:type="spellEnd"/>
            <w:r>
              <w:rPr>
                <w:rFonts w:ascii="Times New Roman" w:hAnsi="Times New Roman"/>
                <w:sz w:val="16"/>
              </w:rPr>
              <w:t>, 2017; Ostrom, 2010).</w:t>
            </w:r>
          </w:p>
        </w:tc>
        <w:tc>
          <w:tcPr>
            <w:tcW w:w="1613" w:type="dxa"/>
            <w:shd w:val="clear" w:color="auto" w:fill="auto"/>
            <w:tcMar>
              <w:top w:w="80" w:type="dxa"/>
              <w:left w:w="90" w:type="dxa"/>
              <w:bottom w:w="80" w:type="dxa"/>
              <w:right w:w="90" w:type="dxa"/>
            </w:tcMar>
            <w:vAlign w:val="center"/>
          </w:tcPr>
          <w:p w14:paraId="7767293A" w14:textId="77777777" w:rsidR="0097156C" w:rsidRDefault="0097156C" w:rsidP="000C468E">
            <w:pPr>
              <w:adjustRightInd w:val="0"/>
              <w:snapToGrid w:val="0"/>
              <w:jc w:val="left"/>
              <w:rPr>
                <w:rFonts w:hint="eastAsia"/>
              </w:rPr>
            </w:pPr>
            <w:r>
              <w:rPr>
                <w:rFonts w:ascii="Times New Roman" w:hAnsi="Times New Roman"/>
                <w:sz w:val="16"/>
              </w:rPr>
              <w:t>Legitimacy, procedural safeguards, transparent decisions, and mechanisms for appeal.</w:t>
            </w:r>
          </w:p>
        </w:tc>
      </w:tr>
      <w:tr w:rsidR="0097156C" w14:paraId="128D4165" w14:textId="77777777" w:rsidTr="000C468E">
        <w:trPr>
          <w:cantSplit/>
        </w:trPr>
        <w:tc>
          <w:tcPr>
            <w:tcW w:w="1584" w:type="dxa"/>
            <w:tcBorders>
              <w:bottom w:val="single" w:sz="12" w:space="0" w:color="auto"/>
            </w:tcBorders>
            <w:shd w:val="clear" w:color="auto" w:fill="auto"/>
            <w:tcMar>
              <w:top w:w="80" w:type="dxa"/>
              <w:left w:w="90" w:type="dxa"/>
              <w:bottom w:w="80" w:type="dxa"/>
              <w:right w:w="90" w:type="dxa"/>
            </w:tcMar>
            <w:vAlign w:val="center"/>
          </w:tcPr>
          <w:p w14:paraId="2BECFCE2" w14:textId="77777777" w:rsidR="0097156C" w:rsidRDefault="0097156C" w:rsidP="000C468E">
            <w:pPr>
              <w:adjustRightInd w:val="0"/>
              <w:snapToGrid w:val="0"/>
              <w:jc w:val="left"/>
              <w:rPr>
                <w:rFonts w:hint="eastAsia"/>
              </w:rPr>
            </w:pPr>
            <w:r>
              <w:rPr>
                <w:rFonts w:ascii="Times New Roman" w:hAnsi="Times New Roman"/>
                <w:b/>
                <w:sz w:val="16"/>
              </w:rPr>
              <w:t>Feedback and adjustment</w:t>
            </w:r>
          </w:p>
        </w:tc>
        <w:tc>
          <w:tcPr>
            <w:tcW w:w="2520" w:type="dxa"/>
            <w:tcBorders>
              <w:bottom w:val="single" w:sz="12" w:space="0" w:color="auto"/>
            </w:tcBorders>
            <w:shd w:val="clear" w:color="auto" w:fill="auto"/>
            <w:tcMar>
              <w:top w:w="80" w:type="dxa"/>
              <w:left w:w="90" w:type="dxa"/>
              <w:bottom w:w="80" w:type="dxa"/>
              <w:right w:w="90" w:type="dxa"/>
            </w:tcMar>
            <w:vAlign w:val="center"/>
          </w:tcPr>
          <w:p w14:paraId="3DAE35EE" w14:textId="77777777" w:rsidR="0097156C" w:rsidRDefault="0097156C" w:rsidP="000C468E">
            <w:pPr>
              <w:adjustRightInd w:val="0"/>
              <w:snapToGrid w:val="0"/>
              <w:jc w:val="left"/>
              <w:rPr>
                <w:rFonts w:hint="eastAsia"/>
              </w:rPr>
            </w:pPr>
            <w:r>
              <w:rPr>
                <w:rFonts w:ascii="Times New Roman" w:hAnsi="Times New Roman"/>
                <w:sz w:val="16"/>
              </w:rPr>
              <w:t>Village reporting, intermediary organizations, household uptake, and evidence from experienced outcomes (Liao et al., 2020; Zhang et al., 2018).</w:t>
            </w:r>
          </w:p>
        </w:tc>
        <w:tc>
          <w:tcPr>
            <w:tcW w:w="2592" w:type="dxa"/>
            <w:tcBorders>
              <w:bottom w:val="single" w:sz="12" w:space="0" w:color="auto"/>
            </w:tcBorders>
            <w:shd w:val="clear" w:color="auto" w:fill="auto"/>
            <w:tcMar>
              <w:top w:w="80" w:type="dxa"/>
              <w:left w:w="90" w:type="dxa"/>
              <w:bottom w:w="80" w:type="dxa"/>
              <w:right w:w="90" w:type="dxa"/>
            </w:tcMar>
            <w:vAlign w:val="center"/>
          </w:tcPr>
          <w:p w14:paraId="5F57BE68" w14:textId="77777777" w:rsidR="0097156C" w:rsidRDefault="0097156C" w:rsidP="000C468E">
            <w:pPr>
              <w:adjustRightInd w:val="0"/>
              <w:snapToGrid w:val="0"/>
              <w:jc w:val="left"/>
              <w:rPr>
                <w:rFonts w:hint="eastAsia"/>
              </w:rPr>
            </w:pPr>
            <w:r>
              <w:rPr>
                <w:rFonts w:ascii="Times New Roman" w:hAnsi="Times New Roman"/>
                <w:sz w:val="16"/>
              </w:rPr>
              <w:t>Participatory forums, community monitoring, co-management bodies, producer organizations, and local networks (</w:t>
            </w:r>
            <w:proofErr w:type="spellStart"/>
            <w:r>
              <w:rPr>
                <w:rFonts w:ascii="Times New Roman" w:hAnsi="Times New Roman"/>
                <w:sz w:val="16"/>
              </w:rPr>
              <w:t>Adger</w:t>
            </w:r>
            <w:proofErr w:type="spellEnd"/>
            <w:r>
              <w:rPr>
                <w:rFonts w:ascii="Times New Roman" w:hAnsi="Times New Roman"/>
                <w:sz w:val="16"/>
              </w:rPr>
              <w:t xml:space="preserve"> et al., 2005; Cash et al., 2006).</w:t>
            </w:r>
          </w:p>
        </w:tc>
        <w:tc>
          <w:tcPr>
            <w:tcW w:w="1613" w:type="dxa"/>
            <w:tcBorders>
              <w:bottom w:val="single" w:sz="12" w:space="0" w:color="auto"/>
            </w:tcBorders>
            <w:shd w:val="clear" w:color="auto" w:fill="auto"/>
            <w:tcMar>
              <w:top w:w="80" w:type="dxa"/>
              <w:left w:w="90" w:type="dxa"/>
              <w:bottom w:w="80" w:type="dxa"/>
              <w:right w:w="90" w:type="dxa"/>
            </w:tcMar>
            <w:vAlign w:val="center"/>
          </w:tcPr>
          <w:p w14:paraId="4430788B" w14:textId="77777777" w:rsidR="0097156C" w:rsidRDefault="0097156C" w:rsidP="000C468E">
            <w:pPr>
              <w:adjustRightInd w:val="0"/>
              <w:snapToGrid w:val="0"/>
              <w:jc w:val="left"/>
              <w:rPr>
                <w:rFonts w:hint="eastAsia"/>
              </w:rPr>
            </w:pPr>
            <w:r>
              <w:rPr>
                <w:rFonts w:ascii="Times New Roman" w:hAnsi="Times New Roman"/>
                <w:sz w:val="16"/>
              </w:rPr>
              <w:t>Feedback reaches responsible actors and informs implementation, review, and accountability.</w:t>
            </w:r>
          </w:p>
        </w:tc>
      </w:tr>
    </w:tbl>
    <w:p w14:paraId="775A7329" w14:textId="77777777" w:rsidR="00360B64" w:rsidRDefault="00360B64" w:rsidP="0097156C">
      <w:pPr>
        <w:spacing w:after="40"/>
        <w:ind w:left="288" w:hanging="288"/>
        <w:rPr>
          <w:rFonts w:ascii="Times New Roman" w:hAnsi="Times New Roman"/>
          <w:b/>
          <w:sz w:val="22"/>
        </w:rPr>
      </w:pPr>
    </w:p>
    <w:p w14:paraId="6D652F40" w14:textId="71D444A5" w:rsidR="00360B64" w:rsidRDefault="00360B64" w:rsidP="0097156C">
      <w:pPr>
        <w:spacing w:after="40"/>
        <w:ind w:left="288" w:hanging="288"/>
        <w:rPr>
          <w:rFonts w:ascii="Times New Roman" w:hAnsi="Times New Roman"/>
          <w:b/>
          <w:sz w:val="22"/>
        </w:rPr>
      </w:pPr>
      <w:r w:rsidRPr="00360B64">
        <w:rPr>
          <w:rFonts w:ascii="Times New Roman" w:hAnsi="Times New Roman" w:hint="eastAsia"/>
          <w:b/>
          <w:sz w:val="22"/>
        </w:rPr>
        <w:t>References for Supplementary Materials II</w:t>
      </w:r>
      <w:r>
        <w:rPr>
          <w:rFonts w:ascii="Times New Roman" w:hAnsi="Times New Roman" w:hint="eastAsia"/>
          <w:b/>
          <w:sz w:val="22"/>
        </w:rPr>
        <w:t>:</w:t>
      </w:r>
      <w:r w:rsidRPr="00360B64">
        <w:rPr>
          <w:rFonts w:ascii="Times New Roman" w:hAnsi="Times New Roman"/>
          <w:b/>
          <w:sz w:val="22"/>
        </w:rPr>
        <w:t xml:space="preserve"> </w:t>
      </w:r>
    </w:p>
    <w:p w14:paraId="6DB0F79C" w14:textId="63271533" w:rsidR="0097156C" w:rsidRDefault="0097156C" w:rsidP="0097156C">
      <w:pPr>
        <w:spacing w:after="40"/>
        <w:ind w:left="288" w:hanging="288"/>
        <w:rPr>
          <w:rFonts w:hint="eastAsia"/>
        </w:rPr>
      </w:pPr>
      <w:proofErr w:type="spellStart"/>
      <w:r>
        <w:rPr>
          <w:rFonts w:ascii="Times New Roman" w:hAnsi="Times New Roman"/>
          <w:sz w:val="20"/>
        </w:rPr>
        <w:t>Adger</w:t>
      </w:r>
      <w:proofErr w:type="spellEnd"/>
      <w:r>
        <w:rPr>
          <w:rFonts w:ascii="Times New Roman" w:hAnsi="Times New Roman"/>
          <w:sz w:val="20"/>
        </w:rPr>
        <w:t>, W.N., Arnell, N.W., Tompkins, E.L. 2005. Successful adaptation to climate change across scales. Global Environmental Change 15, 77-</w:t>
      </w:r>
      <w:proofErr w:type="gramStart"/>
      <w:r>
        <w:rPr>
          <w:rFonts w:ascii="Times New Roman" w:hAnsi="Times New Roman"/>
          <w:sz w:val="20"/>
        </w:rPr>
        <w:t>86.https://doi.org/10.1016/j.gloenvcha.2004.12.005</w:t>
      </w:r>
      <w:proofErr w:type="gramEnd"/>
    </w:p>
    <w:p w14:paraId="39181DE6" w14:textId="77777777" w:rsidR="0097156C" w:rsidRDefault="0097156C" w:rsidP="0097156C">
      <w:pPr>
        <w:spacing w:after="40"/>
        <w:ind w:left="288" w:hanging="288"/>
        <w:rPr>
          <w:rFonts w:hint="eastAsia"/>
        </w:rPr>
      </w:pPr>
      <w:proofErr w:type="spellStart"/>
      <w:r>
        <w:rPr>
          <w:rFonts w:ascii="Times New Roman" w:hAnsi="Times New Roman"/>
          <w:sz w:val="20"/>
        </w:rPr>
        <w:t>Adger</w:t>
      </w:r>
      <w:proofErr w:type="spellEnd"/>
      <w:r>
        <w:rPr>
          <w:rFonts w:ascii="Times New Roman" w:hAnsi="Times New Roman"/>
          <w:sz w:val="20"/>
        </w:rPr>
        <w:t xml:space="preserve">, W.N., </w:t>
      </w:r>
      <w:proofErr w:type="spellStart"/>
      <w:r>
        <w:rPr>
          <w:rFonts w:ascii="Times New Roman" w:hAnsi="Times New Roman"/>
          <w:sz w:val="20"/>
        </w:rPr>
        <w:t>Dessai</w:t>
      </w:r>
      <w:proofErr w:type="spellEnd"/>
      <w:r>
        <w:rPr>
          <w:rFonts w:ascii="Times New Roman" w:hAnsi="Times New Roman"/>
          <w:sz w:val="20"/>
        </w:rPr>
        <w:t xml:space="preserve">, S., </w:t>
      </w:r>
      <w:proofErr w:type="spellStart"/>
      <w:r>
        <w:rPr>
          <w:rFonts w:ascii="Times New Roman" w:hAnsi="Times New Roman"/>
          <w:sz w:val="20"/>
        </w:rPr>
        <w:t>Goulden</w:t>
      </w:r>
      <w:proofErr w:type="spellEnd"/>
      <w:r>
        <w:rPr>
          <w:rFonts w:ascii="Times New Roman" w:hAnsi="Times New Roman"/>
          <w:sz w:val="20"/>
        </w:rPr>
        <w:t>, M., et al. 2009. Are there social limits to adaptation to climate change? Climatic Change 93, 335-354.10.1007/s10584-008-9520-z</w:t>
      </w:r>
    </w:p>
    <w:p w14:paraId="6D3FCEB4" w14:textId="77777777" w:rsidR="0097156C" w:rsidRDefault="0097156C" w:rsidP="0097156C">
      <w:pPr>
        <w:spacing w:after="40"/>
        <w:ind w:left="288" w:hanging="288"/>
        <w:rPr>
          <w:rFonts w:hint="eastAsia"/>
        </w:rPr>
      </w:pPr>
      <w:r>
        <w:rPr>
          <w:rFonts w:ascii="Times New Roman" w:hAnsi="Times New Roman"/>
          <w:sz w:val="20"/>
        </w:rPr>
        <w:t>Agrawal, A., Mearns, R., Norton, A., (2010) Local institutions and adaptation to climate change, pp. 173-197.</w:t>
      </w:r>
    </w:p>
    <w:p w14:paraId="43E9BA8A" w14:textId="77777777" w:rsidR="0097156C" w:rsidRDefault="0097156C" w:rsidP="0097156C">
      <w:pPr>
        <w:spacing w:after="40"/>
        <w:ind w:left="288" w:hanging="288"/>
        <w:rPr>
          <w:rFonts w:hint="eastAsia"/>
        </w:rPr>
      </w:pPr>
      <w:r>
        <w:rPr>
          <w:rFonts w:ascii="Times New Roman" w:hAnsi="Times New Roman"/>
          <w:sz w:val="20"/>
        </w:rPr>
        <w:t>Ai, X., Zhang, Q. 2025. The nuanced role of social capital in disaster risk perception and preparedness: evidence from China. Environmental Hazards-Human and Policy Dimensions.10.1080/17477891.2025.2599772</w:t>
      </w:r>
    </w:p>
    <w:p w14:paraId="78A61061" w14:textId="77777777" w:rsidR="0097156C" w:rsidRDefault="0097156C" w:rsidP="0097156C">
      <w:pPr>
        <w:spacing w:after="40"/>
        <w:ind w:left="288" w:hanging="288"/>
        <w:rPr>
          <w:rFonts w:hint="eastAsia"/>
        </w:rPr>
      </w:pPr>
      <w:proofErr w:type="spellStart"/>
      <w:r>
        <w:rPr>
          <w:rFonts w:ascii="Times New Roman" w:hAnsi="Times New Roman"/>
          <w:sz w:val="20"/>
        </w:rPr>
        <w:t>Alinovi</w:t>
      </w:r>
      <w:proofErr w:type="spellEnd"/>
      <w:r>
        <w:rPr>
          <w:rFonts w:ascii="Times New Roman" w:hAnsi="Times New Roman"/>
          <w:sz w:val="20"/>
        </w:rPr>
        <w:t>, L., Romano, D., Mane, E. 2008. Towards the Measurement of Household Resilience to Food Insecurity: An Application to Palestinian Households. Deriving Food Security Information from National Household Budget Surveys</w:t>
      </w:r>
    </w:p>
    <w:p w14:paraId="15CF47AF" w14:textId="77777777" w:rsidR="0097156C" w:rsidRDefault="0097156C" w:rsidP="0097156C">
      <w:pPr>
        <w:spacing w:after="40"/>
        <w:ind w:left="288" w:hanging="288"/>
        <w:rPr>
          <w:rFonts w:hint="eastAsia"/>
        </w:rPr>
      </w:pPr>
      <w:r>
        <w:rPr>
          <w:rFonts w:ascii="Times New Roman" w:hAnsi="Times New Roman"/>
          <w:sz w:val="20"/>
        </w:rPr>
        <w:t xml:space="preserve">Arifah, Salman, D., </w:t>
      </w:r>
      <w:proofErr w:type="spellStart"/>
      <w:r>
        <w:rPr>
          <w:rFonts w:ascii="Times New Roman" w:hAnsi="Times New Roman"/>
          <w:sz w:val="20"/>
        </w:rPr>
        <w:t>Yassi</w:t>
      </w:r>
      <w:proofErr w:type="spellEnd"/>
      <w:r>
        <w:rPr>
          <w:rFonts w:ascii="Times New Roman" w:hAnsi="Times New Roman"/>
          <w:sz w:val="20"/>
        </w:rPr>
        <w:t>, A., et al. 2022. Livelihood vulnerability of smallholder farmers to climate change: A comparative analysis based on irrigation access in South Sulawesi, Indonesia. Regional Sustainability 3, 244-253.https://doi.org/10.1016/j.regsus.2022.10.002</w:t>
      </w:r>
    </w:p>
    <w:p w14:paraId="4BFDD486" w14:textId="77777777" w:rsidR="0097156C" w:rsidRDefault="0097156C" w:rsidP="0097156C">
      <w:pPr>
        <w:spacing w:after="40"/>
        <w:ind w:left="288" w:hanging="288"/>
        <w:rPr>
          <w:rFonts w:hint="eastAsia"/>
        </w:rPr>
      </w:pPr>
      <w:r>
        <w:rPr>
          <w:rFonts w:ascii="Times New Roman" w:hAnsi="Times New Roman"/>
          <w:sz w:val="20"/>
        </w:rPr>
        <w:lastRenderedPageBreak/>
        <w:t>Ayers, J., Forsyth, T. 2009. Community-Based Adaptation to Climate Change. Environment: Science and Policy for Sustainable Development 51, 22-31.10.3200/ENV.51.4.22-31</w:t>
      </w:r>
    </w:p>
    <w:p w14:paraId="63CEEB40" w14:textId="77777777" w:rsidR="0097156C" w:rsidRDefault="0097156C" w:rsidP="0097156C">
      <w:pPr>
        <w:spacing w:after="40"/>
        <w:ind w:left="288" w:hanging="288"/>
        <w:rPr>
          <w:rFonts w:hint="eastAsia"/>
        </w:rPr>
      </w:pPr>
      <w:r>
        <w:rPr>
          <w:rFonts w:ascii="Times New Roman" w:hAnsi="Times New Roman"/>
          <w:sz w:val="20"/>
        </w:rPr>
        <w:t>Berkes, F. 2009. Evolution of co-management: Role of knowledge generation, bridging organizations and social learning. Journal of Environmental Management 90, 1692-1702.https://doi.org/10.1016/j.jenvman.2008.12.001</w:t>
      </w:r>
    </w:p>
    <w:p w14:paraId="1423D689" w14:textId="77777777" w:rsidR="0097156C" w:rsidRDefault="0097156C" w:rsidP="0097156C">
      <w:pPr>
        <w:spacing w:after="40"/>
        <w:ind w:left="288" w:hanging="288"/>
        <w:rPr>
          <w:rFonts w:hint="eastAsia"/>
        </w:rPr>
      </w:pPr>
      <w:proofErr w:type="spellStart"/>
      <w:r>
        <w:rPr>
          <w:rFonts w:ascii="Times New Roman" w:hAnsi="Times New Roman"/>
          <w:sz w:val="20"/>
        </w:rPr>
        <w:t>Berrang</w:t>
      </w:r>
      <w:proofErr w:type="spellEnd"/>
      <w:r>
        <w:rPr>
          <w:rFonts w:ascii="Times New Roman" w:hAnsi="Times New Roman"/>
          <w:sz w:val="20"/>
        </w:rPr>
        <w:t xml:space="preserve">-Ford, L., Siders, A.R., </w:t>
      </w:r>
      <w:proofErr w:type="spellStart"/>
      <w:r>
        <w:rPr>
          <w:rFonts w:ascii="Times New Roman" w:hAnsi="Times New Roman"/>
          <w:sz w:val="20"/>
        </w:rPr>
        <w:t>Lesnikowski</w:t>
      </w:r>
      <w:proofErr w:type="spellEnd"/>
      <w:r>
        <w:rPr>
          <w:rFonts w:ascii="Times New Roman" w:hAnsi="Times New Roman"/>
          <w:sz w:val="20"/>
        </w:rPr>
        <w:t xml:space="preserve">, A., et al. 2021. A systematic global </w:t>
      </w:r>
      <w:proofErr w:type="spellStart"/>
      <w:r>
        <w:rPr>
          <w:rFonts w:ascii="Times New Roman" w:hAnsi="Times New Roman"/>
          <w:sz w:val="20"/>
        </w:rPr>
        <w:t>stocktake</w:t>
      </w:r>
      <w:proofErr w:type="spellEnd"/>
      <w:r>
        <w:rPr>
          <w:rFonts w:ascii="Times New Roman" w:hAnsi="Times New Roman"/>
          <w:sz w:val="20"/>
        </w:rPr>
        <w:t xml:space="preserve"> of evidence on human adaptation to climate change. Nature Climate Change 11, 989-1000.10.1038/s41558-021-01170-y</w:t>
      </w:r>
    </w:p>
    <w:p w14:paraId="3DEA08E8" w14:textId="77777777" w:rsidR="0097156C" w:rsidRDefault="0097156C" w:rsidP="0097156C">
      <w:pPr>
        <w:spacing w:after="40"/>
        <w:ind w:left="288" w:hanging="288"/>
        <w:rPr>
          <w:rFonts w:hint="eastAsia"/>
        </w:rPr>
      </w:pPr>
      <w:r w:rsidRPr="003308FC">
        <w:rPr>
          <w:rFonts w:ascii="Times New Roman" w:hAnsi="Times New Roman"/>
          <w:sz w:val="20"/>
          <w:lang w:val="de-DE"/>
        </w:rPr>
        <w:t xml:space="preserve">Bitterman, P., Bennett, D.A., Secchi, S. 2019. </w:t>
      </w:r>
      <w:r>
        <w:rPr>
          <w:rFonts w:ascii="Times New Roman" w:hAnsi="Times New Roman"/>
          <w:sz w:val="20"/>
        </w:rPr>
        <w:t>Constraints on farmer adaptability in the Iowa-Cedar River Basin. Environmental Science &amp; Policy 92, 9-</w:t>
      </w:r>
      <w:proofErr w:type="gramStart"/>
      <w:r>
        <w:rPr>
          <w:rFonts w:ascii="Times New Roman" w:hAnsi="Times New Roman"/>
          <w:sz w:val="20"/>
        </w:rPr>
        <w:t>16.https://doi.org/10.1016/j.envsci.2018.11.004</w:t>
      </w:r>
      <w:proofErr w:type="gramEnd"/>
    </w:p>
    <w:p w14:paraId="56647C87" w14:textId="77777777" w:rsidR="0097156C" w:rsidRDefault="0097156C" w:rsidP="0097156C">
      <w:pPr>
        <w:spacing w:after="40"/>
        <w:ind w:left="288" w:hanging="288"/>
        <w:rPr>
          <w:rFonts w:hint="eastAsia"/>
        </w:rPr>
      </w:pPr>
      <w:r w:rsidRPr="003308FC">
        <w:rPr>
          <w:rFonts w:ascii="Times New Roman" w:hAnsi="Times New Roman"/>
          <w:sz w:val="20"/>
          <w:lang w:val="de-DE"/>
        </w:rPr>
        <w:t xml:space="preserve">Bizikova, L., Nkonya, E., Minah, M., et al. 2020. </w:t>
      </w:r>
      <w:r>
        <w:rPr>
          <w:rFonts w:ascii="Times New Roman" w:hAnsi="Times New Roman"/>
          <w:sz w:val="20"/>
        </w:rPr>
        <w:t>A scoping review of the contributions of farmers’ organizations to smallholder agriculture. Nature Food 1, 620-630.10.1038/s43016-020-00164-x</w:t>
      </w:r>
    </w:p>
    <w:p w14:paraId="680A357C" w14:textId="77777777" w:rsidR="0097156C" w:rsidRDefault="0097156C" w:rsidP="0097156C">
      <w:pPr>
        <w:spacing w:after="40"/>
        <w:ind w:left="288" w:hanging="288"/>
        <w:rPr>
          <w:rFonts w:hint="eastAsia"/>
        </w:rPr>
      </w:pPr>
      <w:r>
        <w:rPr>
          <w:rFonts w:ascii="Times New Roman" w:hAnsi="Times New Roman"/>
          <w:sz w:val="20"/>
        </w:rPr>
        <w:t xml:space="preserve">Bueno </w:t>
      </w:r>
      <w:proofErr w:type="spellStart"/>
      <w:r>
        <w:rPr>
          <w:rFonts w:ascii="Times New Roman" w:hAnsi="Times New Roman"/>
          <w:sz w:val="20"/>
        </w:rPr>
        <w:t>Rubial</w:t>
      </w:r>
      <w:proofErr w:type="spellEnd"/>
      <w:r>
        <w:rPr>
          <w:rFonts w:ascii="Times New Roman" w:hAnsi="Times New Roman"/>
          <w:sz w:val="20"/>
        </w:rPr>
        <w:t xml:space="preserve">, </w:t>
      </w:r>
      <w:proofErr w:type="spellStart"/>
      <w:r>
        <w:rPr>
          <w:rFonts w:ascii="Times New Roman" w:hAnsi="Times New Roman"/>
          <w:sz w:val="20"/>
        </w:rPr>
        <w:t>M.d.P</w:t>
      </w:r>
      <w:proofErr w:type="spellEnd"/>
      <w:r>
        <w:rPr>
          <w:rFonts w:ascii="Times New Roman" w:hAnsi="Times New Roman"/>
          <w:sz w:val="20"/>
        </w:rPr>
        <w:t xml:space="preserve">., </w:t>
      </w:r>
      <w:proofErr w:type="spellStart"/>
      <w:r>
        <w:rPr>
          <w:rFonts w:ascii="Times New Roman" w:hAnsi="Times New Roman"/>
          <w:sz w:val="20"/>
        </w:rPr>
        <w:t>Magnan</w:t>
      </w:r>
      <w:proofErr w:type="spellEnd"/>
      <w:r>
        <w:rPr>
          <w:rFonts w:ascii="Times New Roman" w:hAnsi="Times New Roman"/>
          <w:sz w:val="20"/>
        </w:rPr>
        <w:t>, A., Christiansen, L., et al. (2024) Adaptation Gap Report 2024: Come hell and high water - As fires and floods hit the poor hardest, it is time for the world to step up adaptation actions.</w:t>
      </w:r>
    </w:p>
    <w:p w14:paraId="6AB2CC35" w14:textId="77777777" w:rsidR="0097156C" w:rsidRDefault="0097156C" w:rsidP="0097156C">
      <w:pPr>
        <w:spacing w:after="40"/>
        <w:ind w:left="288" w:hanging="288"/>
        <w:rPr>
          <w:rFonts w:hint="eastAsia"/>
        </w:rPr>
      </w:pPr>
      <w:r>
        <w:rPr>
          <w:rFonts w:ascii="Times New Roman" w:hAnsi="Times New Roman"/>
          <w:sz w:val="20"/>
        </w:rPr>
        <w:t>Burnham, M., Ma, Z. 2018. Multi-Scalar Pathways to Smallholder Adaptation. World Development 108, 249-262.https://doi.org/10.1016/j.worlddev.2017.08.005</w:t>
      </w:r>
    </w:p>
    <w:p w14:paraId="6850F840" w14:textId="77777777" w:rsidR="0097156C" w:rsidRDefault="0097156C" w:rsidP="0097156C">
      <w:pPr>
        <w:spacing w:after="40"/>
        <w:ind w:left="288" w:hanging="288"/>
        <w:rPr>
          <w:rFonts w:hint="eastAsia"/>
        </w:rPr>
      </w:pPr>
      <w:r>
        <w:rPr>
          <w:rFonts w:ascii="Times New Roman" w:hAnsi="Times New Roman"/>
          <w:sz w:val="20"/>
        </w:rPr>
        <w:t xml:space="preserve">Carmen, E., </w:t>
      </w:r>
      <w:proofErr w:type="spellStart"/>
      <w:r>
        <w:rPr>
          <w:rFonts w:ascii="Times New Roman" w:hAnsi="Times New Roman"/>
          <w:sz w:val="20"/>
        </w:rPr>
        <w:t>Fazey</w:t>
      </w:r>
      <w:proofErr w:type="spellEnd"/>
      <w:r>
        <w:rPr>
          <w:rFonts w:ascii="Times New Roman" w:hAnsi="Times New Roman"/>
          <w:sz w:val="20"/>
        </w:rPr>
        <w:t xml:space="preserve">, I., Ross, H., et al. 2022. Building community resilience in a context of climate change: The role of social capital. </w:t>
      </w:r>
      <w:proofErr w:type="spellStart"/>
      <w:r>
        <w:rPr>
          <w:rFonts w:ascii="Times New Roman" w:hAnsi="Times New Roman"/>
          <w:sz w:val="20"/>
        </w:rPr>
        <w:t>Ambio</w:t>
      </w:r>
      <w:proofErr w:type="spellEnd"/>
      <w:r>
        <w:rPr>
          <w:rFonts w:ascii="Times New Roman" w:hAnsi="Times New Roman"/>
          <w:sz w:val="20"/>
        </w:rPr>
        <w:t xml:space="preserve"> 51, 1371-1387.10.1007/s13280-021-01678-9</w:t>
      </w:r>
    </w:p>
    <w:p w14:paraId="055097C7" w14:textId="77777777" w:rsidR="0097156C" w:rsidRDefault="0097156C" w:rsidP="0097156C">
      <w:pPr>
        <w:spacing w:after="40"/>
        <w:ind w:left="288" w:hanging="288"/>
        <w:rPr>
          <w:rFonts w:hint="eastAsia"/>
        </w:rPr>
      </w:pPr>
      <w:r>
        <w:rPr>
          <w:rFonts w:ascii="Times New Roman" w:hAnsi="Times New Roman"/>
          <w:sz w:val="20"/>
        </w:rPr>
        <w:t xml:space="preserve">Cash, D., </w:t>
      </w:r>
      <w:proofErr w:type="spellStart"/>
      <w:r>
        <w:rPr>
          <w:rFonts w:ascii="Times New Roman" w:hAnsi="Times New Roman"/>
          <w:sz w:val="20"/>
        </w:rPr>
        <w:t>Adger</w:t>
      </w:r>
      <w:proofErr w:type="spellEnd"/>
      <w:r>
        <w:rPr>
          <w:rFonts w:ascii="Times New Roman" w:hAnsi="Times New Roman"/>
          <w:sz w:val="20"/>
        </w:rPr>
        <w:t>, W., Berkes, F., et al. 2006. Scale and Cross-Scale Dynamics: Governance and Information in a Multilevel World. Ecology and Society 11.10.5751/ES-01759-110208</w:t>
      </w:r>
    </w:p>
    <w:p w14:paraId="7FDB6FAD" w14:textId="77777777" w:rsidR="0097156C" w:rsidRDefault="0097156C" w:rsidP="0097156C">
      <w:pPr>
        <w:spacing w:after="40"/>
        <w:ind w:left="288" w:hanging="288"/>
        <w:rPr>
          <w:rFonts w:hint="eastAsia"/>
        </w:rPr>
      </w:pPr>
      <w:r>
        <w:rPr>
          <w:rFonts w:ascii="Times New Roman" w:hAnsi="Times New Roman"/>
          <w:sz w:val="20"/>
        </w:rPr>
        <w:t>Chambers, R., Conway, G. (1992) Sustainable rural livelihoods: practical concepts for the 21st century. Institute of Development Studies (UK).</w:t>
      </w:r>
    </w:p>
    <w:p w14:paraId="20583D81" w14:textId="77777777" w:rsidR="0097156C" w:rsidRPr="004B58A0" w:rsidRDefault="0097156C" w:rsidP="0097156C">
      <w:pPr>
        <w:spacing w:after="40"/>
        <w:ind w:left="288" w:hanging="288"/>
        <w:rPr>
          <w:rFonts w:hint="eastAsia"/>
          <w:lang w:val="de-DE"/>
        </w:rPr>
      </w:pPr>
      <w:r>
        <w:rPr>
          <w:rFonts w:ascii="Times New Roman" w:hAnsi="Times New Roman"/>
          <w:sz w:val="20"/>
        </w:rPr>
        <w:t xml:space="preserve">Cheng, L., Sun, X. 2025. Beyond Displacement? Examining the impact of China's yellow river floodplain resettlement on farmers' livelihood resilience: A case study from Jinan, Shandong Province. </w:t>
      </w:r>
      <w:r w:rsidRPr="004B58A0">
        <w:rPr>
          <w:rFonts w:ascii="Times New Roman" w:hAnsi="Times New Roman"/>
          <w:sz w:val="20"/>
          <w:lang w:val="de-DE"/>
        </w:rPr>
        <w:t>Habitat International 165, 103538.https://doi.org/10.1016/j.habitatint.2025.103538</w:t>
      </w:r>
    </w:p>
    <w:p w14:paraId="743C48DD" w14:textId="77777777" w:rsidR="0097156C" w:rsidRDefault="0097156C" w:rsidP="0097156C">
      <w:pPr>
        <w:spacing w:after="40"/>
        <w:ind w:left="288" w:hanging="288"/>
        <w:rPr>
          <w:rFonts w:hint="eastAsia"/>
        </w:rPr>
      </w:pPr>
      <w:r w:rsidRPr="004B58A0">
        <w:rPr>
          <w:rFonts w:ascii="Times New Roman" w:hAnsi="Times New Roman"/>
          <w:sz w:val="20"/>
          <w:lang w:val="de-DE"/>
        </w:rPr>
        <w:t xml:space="preserve">Cheng, X.-y., Wang, J.-y., Chen, K.Z. 2021. </w:t>
      </w:r>
      <w:r>
        <w:rPr>
          <w:rFonts w:ascii="Times New Roman" w:hAnsi="Times New Roman"/>
          <w:sz w:val="20"/>
        </w:rPr>
        <w:t>Elite capture, the “follow-up checks” policy, and the targeted poverty alleviation program: Evidence from rural western China. Journal of Integrative Agriculture 20, 880-890.https://doi.org/10.1016/S2095-3119(20)63444-X</w:t>
      </w:r>
    </w:p>
    <w:p w14:paraId="47C43FAB" w14:textId="77777777" w:rsidR="0097156C" w:rsidRDefault="0097156C" w:rsidP="0097156C">
      <w:pPr>
        <w:spacing w:after="40"/>
        <w:ind w:left="288" w:hanging="288"/>
        <w:rPr>
          <w:rFonts w:hint="eastAsia"/>
        </w:rPr>
      </w:pPr>
      <w:r>
        <w:rPr>
          <w:rFonts w:ascii="Times New Roman" w:hAnsi="Times New Roman"/>
          <w:sz w:val="20"/>
        </w:rPr>
        <w:t xml:space="preserve">Cui, Z., Li, E., Li, Y., et al. 2023. The impact of poverty alleviation policies on rural economic resilience in impoverished areas: A case study of </w:t>
      </w:r>
      <w:proofErr w:type="spellStart"/>
      <w:r>
        <w:rPr>
          <w:rFonts w:ascii="Times New Roman" w:hAnsi="Times New Roman"/>
          <w:sz w:val="20"/>
        </w:rPr>
        <w:t>Lankao</w:t>
      </w:r>
      <w:proofErr w:type="spellEnd"/>
      <w:r>
        <w:rPr>
          <w:rFonts w:ascii="Times New Roman" w:hAnsi="Times New Roman"/>
          <w:sz w:val="20"/>
        </w:rPr>
        <w:t xml:space="preserve"> County, China. Journal of Rural Studies 99, 92-106.https://doi.org/10.1016/j.jrurstud.2023.03.007</w:t>
      </w:r>
    </w:p>
    <w:p w14:paraId="4ECB66DA" w14:textId="77777777" w:rsidR="0097156C" w:rsidRDefault="0097156C" w:rsidP="0097156C">
      <w:pPr>
        <w:spacing w:after="40"/>
        <w:ind w:left="288" w:hanging="288"/>
        <w:rPr>
          <w:rFonts w:hint="eastAsia"/>
        </w:rPr>
      </w:pPr>
      <w:r>
        <w:rPr>
          <w:rFonts w:ascii="Times New Roman" w:hAnsi="Times New Roman"/>
          <w:sz w:val="20"/>
        </w:rPr>
        <w:t>DFID, (1999) Sustainable livelihoods guidance sheets.</w:t>
      </w:r>
    </w:p>
    <w:p w14:paraId="6C3589F7" w14:textId="77777777" w:rsidR="0097156C" w:rsidRDefault="0097156C" w:rsidP="0097156C">
      <w:pPr>
        <w:spacing w:after="40"/>
        <w:ind w:left="288" w:hanging="288"/>
        <w:rPr>
          <w:rFonts w:hint="eastAsia"/>
        </w:rPr>
      </w:pPr>
      <w:r w:rsidRPr="004B58A0">
        <w:rPr>
          <w:rFonts w:ascii="Times New Roman" w:hAnsi="Times New Roman"/>
          <w:sz w:val="20"/>
          <w:lang w:val="de-DE"/>
        </w:rPr>
        <w:t xml:space="preserve">Dorsch, M.J., Flachsland, C. 2017. </w:t>
      </w:r>
      <w:r>
        <w:rPr>
          <w:rFonts w:ascii="Times New Roman" w:hAnsi="Times New Roman"/>
          <w:sz w:val="20"/>
        </w:rPr>
        <w:t>A Polycentric Approach to Global Climate Governance. Global Environmental Politics 17, 45-64.10.1162/GLEP_a_00400</w:t>
      </w:r>
    </w:p>
    <w:p w14:paraId="5CFAC197" w14:textId="77777777" w:rsidR="0097156C" w:rsidRDefault="0097156C" w:rsidP="0097156C">
      <w:pPr>
        <w:spacing w:after="40"/>
        <w:ind w:left="288" w:hanging="288"/>
        <w:rPr>
          <w:rFonts w:hint="eastAsia"/>
        </w:rPr>
      </w:pPr>
      <w:proofErr w:type="spellStart"/>
      <w:r>
        <w:rPr>
          <w:rFonts w:ascii="Times New Roman" w:hAnsi="Times New Roman"/>
          <w:sz w:val="20"/>
        </w:rPr>
        <w:t>Eitzinger</w:t>
      </w:r>
      <w:proofErr w:type="spellEnd"/>
      <w:r>
        <w:rPr>
          <w:rFonts w:ascii="Times New Roman" w:hAnsi="Times New Roman"/>
          <w:sz w:val="20"/>
        </w:rPr>
        <w:t>, A., Binder, C.R., Meyer, M.A. 2018. Risk perception and decision-making: do farmers consider risks from climate change? Climatic Change 151, 507-524.10.1007/s10584-018-2320-1</w:t>
      </w:r>
    </w:p>
    <w:p w14:paraId="1AE1973F" w14:textId="77777777" w:rsidR="0097156C" w:rsidRDefault="0097156C" w:rsidP="0097156C">
      <w:pPr>
        <w:spacing w:after="40"/>
        <w:ind w:left="288" w:hanging="288"/>
        <w:rPr>
          <w:rFonts w:hint="eastAsia"/>
        </w:rPr>
      </w:pPr>
      <w:r>
        <w:rPr>
          <w:rFonts w:ascii="Times New Roman" w:hAnsi="Times New Roman"/>
          <w:sz w:val="20"/>
        </w:rPr>
        <w:t>Eriksen, S., Schipper, E.L.F., Scoville-Simonds, M., et al. 2021. Adaptation interventions and their effect on vulnerability in developing countries: Help, hindrance or irrelevance? World Development 141, 105383.https://doi.org/10.1016/j.worlddev.2020.105383</w:t>
      </w:r>
    </w:p>
    <w:p w14:paraId="5B741A1C" w14:textId="77777777" w:rsidR="0097156C" w:rsidRDefault="0097156C" w:rsidP="0097156C">
      <w:pPr>
        <w:spacing w:after="40"/>
        <w:ind w:left="288" w:hanging="288"/>
        <w:rPr>
          <w:rFonts w:hint="eastAsia"/>
        </w:rPr>
      </w:pPr>
      <w:r>
        <w:rPr>
          <w:rFonts w:ascii="Times New Roman" w:hAnsi="Times New Roman"/>
          <w:sz w:val="20"/>
        </w:rPr>
        <w:t xml:space="preserve">FAO. 2016. </w:t>
      </w:r>
      <w:proofErr w:type="spellStart"/>
      <w:r>
        <w:rPr>
          <w:rFonts w:ascii="Times New Roman" w:hAnsi="Times New Roman"/>
          <w:sz w:val="20"/>
        </w:rPr>
        <w:t>Analysing</w:t>
      </w:r>
      <w:proofErr w:type="spellEnd"/>
      <w:r>
        <w:rPr>
          <w:rFonts w:ascii="Times New Roman" w:hAnsi="Times New Roman"/>
          <w:sz w:val="20"/>
        </w:rPr>
        <w:t xml:space="preserve"> resilience for better targeting and action. Food and Agriculture Organization of the United Nations Rome, Italy. https://www.fao.org/agrifood-economics/areas-of-work/rima/en/</w:t>
      </w:r>
    </w:p>
    <w:p w14:paraId="101A964A" w14:textId="77777777" w:rsidR="0097156C" w:rsidRDefault="0097156C" w:rsidP="0097156C">
      <w:pPr>
        <w:spacing w:after="40"/>
        <w:ind w:left="288" w:hanging="288"/>
        <w:rPr>
          <w:rFonts w:hint="eastAsia"/>
        </w:rPr>
      </w:pPr>
      <w:r>
        <w:rPr>
          <w:rFonts w:ascii="Times New Roman" w:hAnsi="Times New Roman"/>
          <w:sz w:val="20"/>
        </w:rPr>
        <w:lastRenderedPageBreak/>
        <w:t>FAO. 2022. Shiny RIMA. Rome.www.fao.org/agrifood-economics/areas-of-work/rima/shiny</w:t>
      </w:r>
    </w:p>
    <w:p w14:paraId="670460DC" w14:textId="77777777" w:rsidR="0097156C" w:rsidRDefault="0097156C" w:rsidP="0097156C">
      <w:pPr>
        <w:spacing w:after="40"/>
        <w:ind w:left="288" w:hanging="288"/>
        <w:rPr>
          <w:rFonts w:hint="eastAsia"/>
        </w:rPr>
      </w:pPr>
      <w:r w:rsidRPr="004B58A0">
        <w:rPr>
          <w:rFonts w:ascii="Times New Roman" w:hAnsi="Times New Roman"/>
          <w:sz w:val="20"/>
          <w:lang w:val="de-DE"/>
        </w:rPr>
        <w:t xml:space="preserve">Fayazi, M., Bisson, I.-A., Nicholas, E. 2020. </w:t>
      </w:r>
      <w:r>
        <w:rPr>
          <w:rFonts w:ascii="Times New Roman" w:hAnsi="Times New Roman"/>
          <w:sz w:val="20"/>
        </w:rPr>
        <w:t xml:space="preserve">Barriers to climate change adaptation in indigenous communities: A case study on the mohawk community of </w:t>
      </w:r>
      <w:proofErr w:type="spellStart"/>
      <w:r>
        <w:rPr>
          <w:rFonts w:ascii="Times New Roman" w:hAnsi="Times New Roman"/>
          <w:sz w:val="20"/>
        </w:rPr>
        <w:t>Kanesatake</w:t>
      </w:r>
      <w:proofErr w:type="spellEnd"/>
      <w:r>
        <w:rPr>
          <w:rFonts w:ascii="Times New Roman" w:hAnsi="Times New Roman"/>
          <w:sz w:val="20"/>
        </w:rPr>
        <w:t>, Canada. International Journal of Disaster Risk Reduction 49, 101750.https://doi.org/10.1016/j.ijdrr.2020.101750</w:t>
      </w:r>
    </w:p>
    <w:p w14:paraId="2E04B8CE" w14:textId="77777777" w:rsidR="0097156C" w:rsidRDefault="0097156C" w:rsidP="0097156C">
      <w:pPr>
        <w:spacing w:after="40"/>
        <w:ind w:left="288" w:hanging="288"/>
        <w:rPr>
          <w:rFonts w:hint="eastAsia"/>
        </w:rPr>
      </w:pPr>
      <w:r>
        <w:rPr>
          <w:rFonts w:ascii="Times New Roman" w:hAnsi="Times New Roman"/>
          <w:sz w:val="20"/>
        </w:rPr>
        <w:t xml:space="preserve">Girard, C., Pulido-Velazquez, M., </w:t>
      </w:r>
      <w:proofErr w:type="spellStart"/>
      <w:r>
        <w:rPr>
          <w:rFonts w:ascii="Times New Roman" w:hAnsi="Times New Roman"/>
          <w:sz w:val="20"/>
        </w:rPr>
        <w:t>Rinaudo</w:t>
      </w:r>
      <w:proofErr w:type="spellEnd"/>
      <w:r>
        <w:rPr>
          <w:rFonts w:ascii="Times New Roman" w:hAnsi="Times New Roman"/>
          <w:sz w:val="20"/>
        </w:rPr>
        <w:t>, J.-D., et al. 2015. Integrating top–down and bottom–up approaches to design global change adaptation at the river basin scale. Global Environmental Change 34, 132-146.https://doi.org/10.1016/j.gloenvcha.2015.07.002</w:t>
      </w:r>
    </w:p>
    <w:p w14:paraId="06328B5C" w14:textId="77777777" w:rsidR="0097156C" w:rsidRDefault="0097156C" w:rsidP="0097156C">
      <w:pPr>
        <w:spacing w:after="40"/>
        <w:ind w:left="288" w:hanging="288"/>
        <w:rPr>
          <w:rFonts w:hint="eastAsia"/>
        </w:rPr>
      </w:pPr>
      <w:r>
        <w:rPr>
          <w:rFonts w:ascii="Times New Roman" w:hAnsi="Times New Roman"/>
          <w:sz w:val="20"/>
        </w:rPr>
        <w:t xml:space="preserve">Gong, Y., Li, H., Parks, M., et al. 2018. The role of social capital for farmers’ climate change adaptation in </w:t>
      </w:r>
      <w:proofErr w:type="spellStart"/>
      <w:r>
        <w:rPr>
          <w:rFonts w:ascii="Times New Roman" w:hAnsi="Times New Roman"/>
          <w:sz w:val="20"/>
        </w:rPr>
        <w:t>Lancang</w:t>
      </w:r>
      <w:proofErr w:type="spellEnd"/>
      <w:r>
        <w:rPr>
          <w:rFonts w:ascii="Times New Roman" w:hAnsi="Times New Roman"/>
          <w:sz w:val="20"/>
        </w:rPr>
        <w:t xml:space="preserve"> River basin in China. Climatic Change 149, 75-89.10.1007/s10584-017-2057-2</w:t>
      </w:r>
    </w:p>
    <w:p w14:paraId="5C18F7B3" w14:textId="77777777" w:rsidR="0097156C" w:rsidRDefault="0097156C" w:rsidP="0097156C">
      <w:pPr>
        <w:spacing w:after="40"/>
        <w:ind w:left="288" w:hanging="288"/>
        <w:rPr>
          <w:rFonts w:hint="eastAsia"/>
        </w:rPr>
      </w:pPr>
      <w:proofErr w:type="spellStart"/>
      <w:r>
        <w:rPr>
          <w:rFonts w:ascii="Times New Roman" w:hAnsi="Times New Roman"/>
          <w:sz w:val="20"/>
        </w:rPr>
        <w:t>Gongbuzeren</w:t>
      </w:r>
      <w:proofErr w:type="spellEnd"/>
      <w:r>
        <w:rPr>
          <w:rFonts w:ascii="Times New Roman" w:hAnsi="Times New Roman"/>
          <w:sz w:val="20"/>
        </w:rPr>
        <w:t>, Zhuang, M., Li, W. 2016. Market-based grazing land transfers and customary institutions in the management of rangelands: Two case studies on the Qinghai-Tibetan Plateau. Land Use Policy 57, 287-295.https://doi.org/10.1016/j.landusepol.2016.05.035</w:t>
      </w:r>
    </w:p>
    <w:p w14:paraId="44E37F78" w14:textId="77777777" w:rsidR="0097156C" w:rsidRDefault="0097156C" w:rsidP="0097156C">
      <w:pPr>
        <w:spacing w:after="40"/>
        <w:ind w:left="288" w:hanging="288"/>
        <w:rPr>
          <w:rFonts w:hint="eastAsia"/>
        </w:rPr>
      </w:pPr>
      <w:proofErr w:type="spellStart"/>
      <w:r>
        <w:rPr>
          <w:rFonts w:ascii="Times New Roman" w:hAnsi="Times New Roman"/>
          <w:sz w:val="20"/>
        </w:rPr>
        <w:t>Grecksch</w:t>
      </w:r>
      <w:proofErr w:type="spellEnd"/>
      <w:r>
        <w:rPr>
          <w:rFonts w:ascii="Times New Roman" w:hAnsi="Times New Roman"/>
          <w:sz w:val="20"/>
        </w:rPr>
        <w:t xml:space="preserve">, K., </w:t>
      </w:r>
      <w:proofErr w:type="spellStart"/>
      <w:r>
        <w:rPr>
          <w:rFonts w:ascii="Times New Roman" w:hAnsi="Times New Roman"/>
          <w:sz w:val="20"/>
        </w:rPr>
        <w:t>Klöck</w:t>
      </w:r>
      <w:proofErr w:type="spellEnd"/>
      <w:r>
        <w:rPr>
          <w:rFonts w:ascii="Times New Roman" w:hAnsi="Times New Roman"/>
          <w:sz w:val="20"/>
        </w:rPr>
        <w:t>, C. 2020. Access and allocation in climate change adaptation. International Environmental Agreements: Politics, Law and Economics 20, 271-286.10.1007/s10784-020-09477-5</w:t>
      </w:r>
    </w:p>
    <w:p w14:paraId="669DF895" w14:textId="77777777" w:rsidR="0097156C" w:rsidRDefault="0097156C" w:rsidP="0097156C">
      <w:pPr>
        <w:spacing w:after="40"/>
        <w:ind w:left="288" w:hanging="288"/>
        <w:rPr>
          <w:rFonts w:hint="eastAsia"/>
        </w:rPr>
      </w:pPr>
      <w:r>
        <w:rPr>
          <w:rFonts w:ascii="Times New Roman" w:hAnsi="Times New Roman"/>
          <w:sz w:val="20"/>
        </w:rPr>
        <w:t>Han, H., Gao, Q. 2019. Community-based welfare targeting and political elite capture: Evidence from rural China. World Development 115, 145-159.https://doi.org/10.1016/j.worlddev.2018.11.010</w:t>
      </w:r>
    </w:p>
    <w:p w14:paraId="55564BBD" w14:textId="77777777" w:rsidR="0097156C" w:rsidRDefault="0097156C" w:rsidP="0097156C">
      <w:pPr>
        <w:spacing w:after="40"/>
        <w:ind w:left="288" w:hanging="288"/>
        <w:rPr>
          <w:rFonts w:hint="eastAsia"/>
        </w:rPr>
      </w:pPr>
      <w:r>
        <w:rPr>
          <w:rFonts w:ascii="Times New Roman" w:hAnsi="Times New Roman"/>
          <w:sz w:val="20"/>
        </w:rPr>
        <w:t>He, X., Yan, J., Yang, L.E., et al. 2022a. Climate change adaptation of smallholders on the Tibetan plateau under government interventions. Journal of Cleaner Production 381.10.1016/j.jclepro.2022.135171</w:t>
      </w:r>
    </w:p>
    <w:p w14:paraId="6AA462CE" w14:textId="77777777" w:rsidR="0097156C" w:rsidRDefault="0097156C" w:rsidP="0097156C">
      <w:pPr>
        <w:spacing w:after="40"/>
        <w:ind w:left="288" w:hanging="288"/>
        <w:rPr>
          <w:rFonts w:hint="eastAsia"/>
        </w:rPr>
      </w:pPr>
      <w:r>
        <w:rPr>
          <w:rFonts w:ascii="Times New Roman" w:hAnsi="Times New Roman"/>
          <w:sz w:val="20"/>
        </w:rPr>
        <w:t>He, X., Yan, J., Yang, L.E., et al. 2022b. The role of government interventions in household climate adaptation on the Tibetan Plateau. Journal of Rural Studies 95, 544-559.10.1016/j.jrurstud.2022.10.003</w:t>
      </w:r>
    </w:p>
    <w:p w14:paraId="3F6F6E2D" w14:textId="77777777" w:rsidR="0097156C" w:rsidRDefault="0097156C" w:rsidP="0097156C">
      <w:pPr>
        <w:spacing w:after="40"/>
        <w:ind w:left="288" w:hanging="288"/>
        <w:rPr>
          <w:rFonts w:hint="eastAsia"/>
        </w:rPr>
      </w:pPr>
      <w:proofErr w:type="spellStart"/>
      <w:r>
        <w:rPr>
          <w:rFonts w:ascii="Times New Roman" w:hAnsi="Times New Roman"/>
          <w:sz w:val="20"/>
        </w:rPr>
        <w:t>Ifejika</w:t>
      </w:r>
      <w:proofErr w:type="spellEnd"/>
      <w:r>
        <w:rPr>
          <w:rFonts w:ascii="Times New Roman" w:hAnsi="Times New Roman"/>
          <w:sz w:val="20"/>
        </w:rPr>
        <w:t xml:space="preserve"> Speranza, C., </w:t>
      </w:r>
      <w:proofErr w:type="spellStart"/>
      <w:r>
        <w:rPr>
          <w:rFonts w:ascii="Times New Roman" w:hAnsi="Times New Roman"/>
          <w:sz w:val="20"/>
        </w:rPr>
        <w:t>Wiesmann</w:t>
      </w:r>
      <w:proofErr w:type="spellEnd"/>
      <w:r>
        <w:rPr>
          <w:rFonts w:ascii="Times New Roman" w:hAnsi="Times New Roman"/>
          <w:sz w:val="20"/>
        </w:rPr>
        <w:t>, U., Rist, S. 2014. An indicator framework for assessing livelihood resilience in the context of social–ecological dynamics. Global Environmental Change 28, 109-119.https://doi.org/10.1016/j.gloenvcha.2014.06.005</w:t>
      </w:r>
    </w:p>
    <w:p w14:paraId="30E2790F" w14:textId="77777777" w:rsidR="0097156C" w:rsidRDefault="0097156C" w:rsidP="0097156C">
      <w:pPr>
        <w:spacing w:after="40"/>
        <w:ind w:left="288" w:hanging="288"/>
        <w:rPr>
          <w:rFonts w:hint="eastAsia"/>
        </w:rPr>
      </w:pPr>
      <w:r>
        <w:rPr>
          <w:rFonts w:ascii="Times New Roman" w:hAnsi="Times New Roman"/>
          <w:sz w:val="20"/>
        </w:rPr>
        <w:t xml:space="preserve">Jin, J., </w:t>
      </w:r>
      <w:proofErr w:type="spellStart"/>
      <w:r>
        <w:rPr>
          <w:rFonts w:ascii="Times New Roman" w:hAnsi="Times New Roman"/>
          <w:sz w:val="20"/>
        </w:rPr>
        <w:t>Kuang</w:t>
      </w:r>
      <w:proofErr w:type="spellEnd"/>
      <w:r>
        <w:rPr>
          <w:rFonts w:ascii="Times New Roman" w:hAnsi="Times New Roman"/>
          <w:sz w:val="20"/>
        </w:rPr>
        <w:t xml:space="preserve">, F., Wan, X., et al. 2021. Exploring the effects of </w:t>
      </w:r>
      <w:proofErr w:type="spellStart"/>
      <w:r>
        <w:rPr>
          <w:rFonts w:ascii="Times New Roman" w:hAnsi="Times New Roman"/>
          <w:sz w:val="20"/>
        </w:rPr>
        <w:t>sociocognitive</w:t>
      </w:r>
      <w:proofErr w:type="spellEnd"/>
      <w:r>
        <w:rPr>
          <w:rFonts w:ascii="Times New Roman" w:hAnsi="Times New Roman"/>
          <w:sz w:val="20"/>
        </w:rPr>
        <w:t xml:space="preserve"> factors on the adaptation </w:t>
      </w:r>
      <w:proofErr w:type="spellStart"/>
      <w:r>
        <w:rPr>
          <w:rFonts w:ascii="Times New Roman" w:hAnsi="Times New Roman"/>
          <w:sz w:val="20"/>
        </w:rPr>
        <w:t>behaviour</w:t>
      </w:r>
      <w:proofErr w:type="spellEnd"/>
      <w:r>
        <w:rPr>
          <w:rFonts w:ascii="Times New Roman" w:hAnsi="Times New Roman"/>
          <w:sz w:val="20"/>
        </w:rPr>
        <w:t xml:space="preserve"> of farmers in rural Southwest China. Climate and Development 13, 164-172.10.1080/17565529.2020.1740078</w:t>
      </w:r>
    </w:p>
    <w:p w14:paraId="7B4AFD93" w14:textId="77777777" w:rsidR="0097156C" w:rsidRDefault="0097156C" w:rsidP="0097156C">
      <w:pPr>
        <w:spacing w:after="40"/>
        <w:ind w:left="288" w:hanging="288"/>
        <w:rPr>
          <w:rFonts w:hint="eastAsia"/>
        </w:rPr>
      </w:pPr>
      <w:r>
        <w:rPr>
          <w:rFonts w:ascii="Times New Roman" w:hAnsi="Times New Roman"/>
          <w:sz w:val="20"/>
        </w:rPr>
        <w:t>Karim, M.R., Thiel, A. 2017. Role of community based local institution for climate change adaptation in the Teesta riverine area of Bangladesh. Climate Risk Management 17, 92-103.https://doi.org/10.1016/j.crm.2017.06.002</w:t>
      </w:r>
    </w:p>
    <w:p w14:paraId="06EEFB66" w14:textId="77777777" w:rsidR="0097156C" w:rsidRDefault="0097156C" w:rsidP="0097156C">
      <w:pPr>
        <w:spacing w:after="40"/>
        <w:ind w:left="288" w:hanging="288"/>
        <w:rPr>
          <w:rFonts w:hint="eastAsia"/>
        </w:rPr>
      </w:pPr>
      <w:proofErr w:type="spellStart"/>
      <w:r>
        <w:rPr>
          <w:rFonts w:ascii="Times New Roman" w:hAnsi="Times New Roman"/>
          <w:sz w:val="20"/>
        </w:rPr>
        <w:t>Kibue</w:t>
      </w:r>
      <w:proofErr w:type="spellEnd"/>
      <w:r>
        <w:rPr>
          <w:rFonts w:ascii="Times New Roman" w:hAnsi="Times New Roman"/>
          <w:sz w:val="20"/>
        </w:rPr>
        <w:t>, G.W., Liu, X., Zheng, J., et al. 2016. Farmers’ Perceptions of Climate Variability and Factors Influencing Adaptation: Evidence from Anhui and Jiangsu, China. Environmental Management 57, 976-986.10.1007/s00267-016-0661-y</w:t>
      </w:r>
    </w:p>
    <w:p w14:paraId="192F296F" w14:textId="77777777" w:rsidR="0097156C" w:rsidRDefault="0097156C" w:rsidP="0097156C">
      <w:pPr>
        <w:spacing w:after="40"/>
        <w:ind w:left="288" w:hanging="288"/>
        <w:rPr>
          <w:rFonts w:hint="eastAsia"/>
        </w:rPr>
      </w:pPr>
      <w:r>
        <w:rPr>
          <w:rFonts w:ascii="Times New Roman" w:hAnsi="Times New Roman"/>
          <w:sz w:val="20"/>
        </w:rPr>
        <w:t>Kong, Q., Li, R., Peng, D.A.N., et al. 2021. DOES THE POLICY OF FINANCIAL SUBSIDIES FOR AGRICULTURAL INSURANCE CONTRIBUTE TO ENSURING FOOD SECURITY FOR POVERTY ALLEVIATION? EVIDENCE FROM CHINA. The Singapore Economic Review 68, 1303-1322.10.1142/S0217590821440045</w:t>
      </w:r>
    </w:p>
    <w:p w14:paraId="415555B3" w14:textId="77777777" w:rsidR="0097156C" w:rsidRDefault="0097156C" w:rsidP="0097156C">
      <w:pPr>
        <w:spacing w:after="40"/>
        <w:ind w:left="288" w:hanging="288"/>
        <w:rPr>
          <w:rFonts w:hint="eastAsia"/>
        </w:rPr>
      </w:pPr>
      <w:proofErr w:type="spellStart"/>
      <w:r>
        <w:rPr>
          <w:rFonts w:ascii="Times New Roman" w:hAnsi="Times New Roman"/>
          <w:sz w:val="20"/>
        </w:rPr>
        <w:t>Kopytko</w:t>
      </w:r>
      <w:proofErr w:type="spellEnd"/>
      <w:r>
        <w:rPr>
          <w:rFonts w:ascii="Times New Roman" w:hAnsi="Times New Roman"/>
          <w:sz w:val="20"/>
        </w:rPr>
        <w:t>, N. 2018. What role can a livelihood strategy play in addressing climate change? Lessons in improving social capital from an agricultural cooperative in Ukraine. Climate and Development 10, 717-728.10.1080/17565529.2018.1442787</w:t>
      </w:r>
    </w:p>
    <w:p w14:paraId="01C58DB8" w14:textId="77777777" w:rsidR="0097156C" w:rsidRDefault="0097156C" w:rsidP="0097156C">
      <w:pPr>
        <w:spacing w:after="40"/>
        <w:ind w:left="288" w:hanging="288"/>
        <w:rPr>
          <w:rFonts w:hint="eastAsia"/>
        </w:rPr>
      </w:pPr>
      <w:proofErr w:type="spellStart"/>
      <w:r>
        <w:rPr>
          <w:rFonts w:ascii="Times New Roman" w:hAnsi="Times New Roman"/>
          <w:sz w:val="20"/>
        </w:rPr>
        <w:t>Kuang</w:t>
      </w:r>
      <w:proofErr w:type="spellEnd"/>
      <w:r>
        <w:rPr>
          <w:rFonts w:ascii="Times New Roman" w:hAnsi="Times New Roman"/>
          <w:sz w:val="20"/>
        </w:rPr>
        <w:t xml:space="preserve">, F., Jin, J., He, R., et al. 2020. Farmers' livelihood risks, livelihood assets and adaptation strategies </w:t>
      </w:r>
      <w:r>
        <w:rPr>
          <w:rFonts w:ascii="Times New Roman" w:hAnsi="Times New Roman"/>
          <w:sz w:val="20"/>
        </w:rPr>
        <w:lastRenderedPageBreak/>
        <w:t xml:space="preserve">in </w:t>
      </w:r>
      <w:proofErr w:type="spellStart"/>
      <w:r>
        <w:rPr>
          <w:rFonts w:ascii="Times New Roman" w:hAnsi="Times New Roman"/>
          <w:sz w:val="20"/>
        </w:rPr>
        <w:t>Rugao</w:t>
      </w:r>
      <w:proofErr w:type="spellEnd"/>
      <w:r>
        <w:rPr>
          <w:rFonts w:ascii="Times New Roman" w:hAnsi="Times New Roman"/>
          <w:sz w:val="20"/>
        </w:rPr>
        <w:t xml:space="preserve"> City, China. Journal of Environmental Management 264, 110463.https://doi.org/10.1016/j.jenvman.2020.110463</w:t>
      </w:r>
    </w:p>
    <w:p w14:paraId="12DA8F95" w14:textId="77777777" w:rsidR="0097156C" w:rsidRDefault="0097156C" w:rsidP="0097156C">
      <w:pPr>
        <w:spacing w:after="40"/>
        <w:ind w:left="288" w:hanging="288"/>
        <w:rPr>
          <w:rFonts w:hint="eastAsia"/>
        </w:rPr>
      </w:pPr>
      <w:r>
        <w:rPr>
          <w:rFonts w:ascii="Times New Roman" w:hAnsi="Times New Roman"/>
          <w:sz w:val="20"/>
        </w:rPr>
        <w:t>Li, A., Gao, L., Chen, S., et al. 2021a. Financial inclusion may limit sustainable development under economic globalization and climate change. Environmental Research Letters 16.10.1088/1748-9326/abf465</w:t>
      </w:r>
    </w:p>
    <w:p w14:paraId="65C30266" w14:textId="77777777" w:rsidR="0097156C" w:rsidRDefault="0097156C" w:rsidP="0097156C">
      <w:pPr>
        <w:spacing w:after="40"/>
        <w:ind w:left="288" w:hanging="288"/>
        <w:rPr>
          <w:rFonts w:hint="eastAsia"/>
        </w:rPr>
      </w:pPr>
      <w:r>
        <w:rPr>
          <w:rFonts w:ascii="Times New Roman" w:hAnsi="Times New Roman"/>
          <w:sz w:val="20"/>
        </w:rPr>
        <w:t xml:space="preserve">Li, Q., Zander, P. 2020. Resilience building of rural livelihoods in PES </w:t>
      </w:r>
      <w:proofErr w:type="spellStart"/>
      <w:r>
        <w:rPr>
          <w:rFonts w:ascii="Times New Roman" w:hAnsi="Times New Roman"/>
          <w:sz w:val="20"/>
        </w:rPr>
        <w:t>programmes</w:t>
      </w:r>
      <w:proofErr w:type="spellEnd"/>
      <w:r>
        <w:rPr>
          <w:rFonts w:ascii="Times New Roman" w:hAnsi="Times New Roman"/>
          <w:sz w:val="20"/>
        </w:rPr>
        <w:t xml:space="preserve">: A case study in China’s Loess Hills. </w:t>
      </w:r>
      <w:proofErr w:type="spellStart"/>
      <w:r>
        <w:rPr>
          <w:rFonts w:ascii="Times New Roman" w:hAnsi="Times New Roman"/>
          <w:sz w:val="20"/>
        </w:rPr>
        <w:t>Ambio</w:t>
      </w:r>
      <w:proofErr w:type="spellEnd"/>
      <w:r>
        <w:rPr>
          <w:rFonts w:ascii="Times New Roman" w:hAnsi="Times New Roman"/>
          <w:sz w:val="20"/>
        </w:rPr>
        <w:t xml:space="preserve"> 49, 962-985.10.1007/s13280-019-01236-4</w:t>
      </w:r>
    </w:p>
    <w:p w14:paraId="053FE78A" w14:textId="77777777" w:rsidR="0097156C" w:rsidRDefault="0097156C" w:rsidP="0097156C">
      <w:pPr>
        <w:spacing w:after="40"/>
        <w:ind w:left="288" w:hanging="288"/>
        <w:rPr>
          <w:rFonts w:hint="eastAsia"/>
        </w:rPr>
      </w:pPr>
      <w:r>
        <w:rPr>
          <w:rFonts w:ascii="Times New Roman" w:hAnsi="Times New Roman"/>
          <w:sz w:val="20"/>
        </w:rPr>
        <w:t>Li, W., Ruiz-</w:t>
      </w:r>
      <w:proofErr w:type="spellStart"/>
      <w:r>
        <w:rPr>
          <w:rFonts w:ascii="Times New Roman" w:hAnsi="Times New Roman"/>
          <w:sz w:val="20"/>
        </w:rPr>
        <w:t>Menjivar</w:t>
      </w:r>
      <w:proofErr w:type="spellEnd"/>
      <w:r>
        <w:rPr>
          <w:rFonts w:ascii="Times New Roman" w:hAnsi="Times New Roman"/>
          <w:sz w:val="20"/>
        </w:rPr>
        <w:t>, J., Zhang, L., et al. 2021b. Climate change perceptions and the adoption of low-carbon agricultural technologies: Evidence from rice production systems in the Yangtze River Basin. Science of The Total Environment 759, 143554.https://doi.org/10.1016/j.scitotenv.2020.143554</w:t>
      </w:r>
    </w:p>
    <w:p w14:paraId="7FA23C7F" w14:textId="77777777" w:rsidR="0097156C" w:rsidRDefault="0097156C" w:rsidP="0097156C">
      <w:pPr>
        <w:spacing w:after="40"/>
        <w:ind w:left="288" w:hanging="288"/>
        <w:rPr>
          <w:rFonts w:hint="eastAsia"/>
        </w:rPr>
      </w:pPr>
      <w:r>
        <w:rPr>
          <w:rFonts w:ascii="Times New Roman" w:hAnsi="Times New Roman"/>
          <w:sz w:val="20"/>
        </w:rPr>
        <w:t xml:space="preserve">Liao, X., Tsai, W.-H., Lin, Z.-W. 2020. Penetrating the Grassroots: First-Secretaries-in-Residence and Rural Politics in Contemporary China. Problems of </w:t>
      </w:r>
      <w:proofErr w:type="gramStart"/>
      <w:r>
        <w:rPr>
          <w:rFonts w:ascii="Times New Roman" w:hAnsi="Times New Roman"/>
          <w:sz w:val="20"/>
        </w:rPr>
        <w:t>Post-Communism</w:t>
      </w:r>
      <w:proofErr w:type="gramEnd"/>
      <w:r>
        <w:rPr>
          <w:rFonts w:ascii="Times New Roman" w:hAnsi="Times New Roman"/>
          <w:sz w:val="20"/>
        </w:rPr>
        <w:t xml:space="preserve"> 67, 169-179.10.1080/10758216.2019.1625711</w:t>
      </w:r>
    </w:p>
    <w:p w14:paraId="0DF7CA27" w14:textId="77777777" w:rsidR="0097156C" w:rsidRDefault="0097156C" w:rsidP="0097156C">
      <w:pPr>
        <w:spacing w:after="40"/>
        <w:ind w:left="288" w:hanging="288"/>
        <w:rPr>
          <w:rFonts w:hint="eastAsia"/>
        </w:rPr>
      </w:pPr>
      <w:r>
        <w:rPr>
          <w:rFonts w:ascii="Times New Roman" w:hAnsi="Times New Roman"/>
          <w:sz w:val="20"/>
        </w:rPr>
        <w:t>Liu, N., Wang, G. 2024. Targeted Poverty Alleviation in China: The Policy Perspective of the Communist Party of China. Science &amp; Society 88, 250-271.10.1521/siso.2024.88.2.250</w:t>
      </w:r>
    </w:p>
    <w:p w14:paraId="7612F0F0" w14:textId="77777777" w:rsidR="0097156C" w:rsidRDefault="0097156C" w:rsidP="0097156C">
      <w:pPr>
        <w:spacing w:after="40"/>
        <w:ind w:left="288" w:hanging="288"/>
        <w:rPr>
          <w:rFonts w:hint="eastAsia"/>
        </w:rPr>
      </w:pPr>
      <w:r>
        <w:rPr>
          <w:rFonts w:ascii="Times New Roman" w:hAnsi="Times New Roman"/>
          <w:sz w:val="20"/>
        </w:rPr>
        <w:t>Liu, W., Li, J., Ren, L., et al. 2020a. Exploring Livelihood Resilience and Its Impact on Livelihood Strategy in Rural China. Social Indicators Research 150, 977-998.10.1007/s11205-020-02347-2</w:t>
      </w:r>
    </w:p>
    <w:p w14:paraId="4FB21EEC" w14:textId="77777777" w:rsidR="0097156C" w:rsidRDefault="0097156C" w:rsidP="0097156C">
      <w:pPr>
        <w:spacing w:after="40"/>
        <w:ind w:left="288" w:hanging="288"/>
        <w:rPr>
          <w:rFonts w:hint="eastAsia"/>
        </w:rPr>
      </w:pPr>
      <w:r>
        <w:rPr>
          <w:rFonts w:ascii="Times New Roman" w:hAnsi="Times New Roman"/>
          <w:sz w:val="20"/>
        </w:rPr>
        <w:t>Liu, W., Li, J., Xu, J. 2020b. Effects of disaster-related resettlement on the livelihood resilience of rural households in China. International Journal of Disaster Risk Reduction 49, 101649.https://doi.org/10.1016/j.ijdrr.2020.101649</w:t>
      </w:r>
    </w:p>
    <w:p w14:paraId="7F5927C3" w14:textId="77777777" w:rsidR="0097156C" w:rsidRDefault="0097156C" w:rsidP="0097156C">
      <w:pPr>
        <w:spacing w:after="40"/>
        <w:ind w:left="288" w:hanging="288"/>
        <w:rPr>
          <w:rFonts w:hint="eastAsia"/>
        </w:rPr>
      </w:pPr>
      <w:r>
        <w:rPr>
          <w:rFonts w:ascii="Times New Roman" w:hAnsi="Times New Roman"/>
          <w:sz w:val="20"/>
        </w:rPr>
        <w:t>Liu, Z., Yan, J., Dong, H., et al. 2024. The impact of policy measures on livelihood diversification of smallholders: empirical evidence from the Tibetan Plateau, China. Mitigation and Adaptation Strategies for Global Change 29.10.1007/s11027-024-10182-w</w:t>
      </w:r>
    </w:p>
    <w:p w14:paraId="1A57507D" w14:textId="77777777" w:rsidR="0097156C" w:rsidRDefault="0097156C" w:rsidP="0097156C">
      <w:pPr>
        <w:spacing w:after="40"/>
        <w:ind w:left="288" w:hanging="288"/>
        <w:rPr>
          <w:rFonts w:hint="eastAsia"/>
        </w:rPr>
      </w:pPr>
      <w:r>
        <w:rPr>
          <w:rFonts w:ascii="Times New Roman" w:hAnsi="Times New Roman"/>
          <w:sz w:val="20"/>
        </w:rPr>
        <w:t>Luo, K. C., Wang, S. D., Yang, D. Y. 2025 Laboratories of Autocracy: Landscape of Central–Local Dynamics in China’s Policy Universe. NBER Working Paper 34219, https://doi.org/10.3386/w34219.</w:t>
      </w:r>
    </w:p>
    <w:p w14:paraId="22B78D93" w14:textId="77777777" w:rsidR="0097156C" w:rsidRDefault="0097156C" w:rsidP="0097156C">
      <w:pPr>
        <w:spacing w:after="40"/>
        <w:ind w:left="288" w:hanging="288"/>
        <w:rPr>
          <w:rFonts w:hint="eastAsia"/>
        </w:rPr>
      </w:pPr>
      <w:r>
        <w:rPr>
          <w:rFonts w:ascii="Times New Roman" w:hAnsi="Times New Roman"/>
          <w:sz w:val="20"/>
        </w:rPr>
        <w:t>Mao, H., Liu, M., Tang, H., et al. 2025. Aging of agricultural labor and the adoption of improved crop varieties: A study based on rural China. Journal of Rural Studies 119, 103769.https://doi.org/10.1016/j.jrurstud.2025.103769</w:t>
      </w:r>
    </w:p>
    <w:p w14:paraId="76BF02C9" w14:textId="77777777" w:rsidR="0097156C" w:rsidRDefault="0097156C" w:rsidP="0097156C">
      <w:pPr>
        <w:spacing w:after="40"/>
        <w:ind w:left="288" w:hanging="288"/>
        <w:rPr>
          <w:rFonts w:hint="eastAsia"/>
        </w:rPr>
      </w:pPr>
      <w:r>
        <w:rPr>
          <w:rFonts w:ascii="Times New Roman" w:hAnsi="Times New Roman"/>
          <w:sz w:val="20"/>
        </w:rPr>
        <w:t>Matthews, L.J., Clark-Ginsberg, A., Scobie, M., et al. 2023. Collective action by community groups: solutions for climate change or different players in the same game? Climate and Development 15, 679-691.10.1080/17565529.2022.2149254</w:t>
      </w:r>
    </w:p>
    <w:p w14:paraId="18DAD6AD" w14:textId="77777777" w:rsidR="0097156C" w:rsidRDefault="0097156C" w:rsidP="0097156C">
      <w:pPr>
        <w:spacing w:after="40"/>
        <w:ind w:left="288" w:hanging="288"/>
        <w:rPr>
          <w:rFonts w:hint="eastAsia"/>
        </w:rPr>
      </w:pPr>
      <w:r>
        <w:rPr>
          <w:rFonts w:ascii="Times New Roman" w:hAnsi="Times New Roman"/>
          <w:sz w:val="20"/>
        </w:rPr>
        <w:t xml:space="preserve">Miner, K., </w:t>
      </w:r>
      <w:proofErr w:type="spellStart"/>
      <w:r>
        <w:rPr>
          <w:rFonts w:ascii="Times New Roman" w:hAnsi="Times New Roman"/>
          <w:sz w:val="20"/>
        </w:rPr>
        <w:t>Canavera</w:t>
      </w:r>
      <w:proofErr w:type="spellEnd"/>
      <w:r>
        <w:rPr>
          <w:rFonts w:ascii="Times New Roman" w:hAnsi="Times New Roman"/>
          <w:sz w:val="20"/>
        </w:rPr>
        <w:t xml:space="preserve">, L., </w:t>
      </w:r>
      <w:proofErr w:type="spellStart"/>
      <w:r>
        <w:rPr>
          <w:rFonts w:ascii="Times New Roman" w:hAnsi="Times New Roman"/>
          <w:sz w:val="20"/>
        </w:rPr>
        <w:t>Gonet</w:t>
      </w:r>
      <w:proofErr w:type="spellEnd"/>
      <w:r>
        <w:rPr>
          <w:rFonts w:ascii="Times New Roman" w:hAnsi="Times New Roman"/>
          <w:sz w:val="20"/>
        </w:rPr>
        <w:t>, J., et al. 2023. The co-production of knowledge for climate science. Nature Climate Change 13, 307-308.10.1038/s41558-023-01633-4</w:t>
      </w:r>
    </w:p>
    <w:p w14:paraId="1E6A75DA" w14:textId="77777777" w:rsidR="0097156C" w:rsidRDefault="0097156C" w:rsidP="0097156C">
      <w:pPr>
        <w:spacing w:after="40"/>
        <w:ind w:left="288" w:hanging="288"/>
        <w:rPr>
          <w:rFonts w:hint="eastAsia"/>
        </w:rPr>
      </w:pPr>
      <w:r>
        <w:rPr>
          <w:rFonts w:ascii="Times New Roman" w:hAnsi="Times New Roman"/>
          <w:sz w:val="20"/>
        </w:rPr>
        <w:t xml:space="preserve">Morrison, T.H., </w:t>
      </w:r>
      <w:proofErr w:type="spellStart"/>
      <w:r>
        <w:rPr>
          <w:rFonts w:ascii="Times New Roman" w:hAnsi="Times New Roman"/>
          <w:sz w:val="20"/>
        </w:rPr>
        <w:t>Adger</w:t>
      </w:r>
      <w:proofErr w:type="spellEnd"/>
      <w:r>
        <w:rPr>
          <w:rFonts w:ascii="Times New Roman" w:hAnsi="Times New Roman"/>
          <w:sz w:val="20"/>
        </w:rPr>
        <w:t>, W.N., Brown, K., et al. 2019. The black box of power in polycentric environmental governance. Global Environmental Change 57, 101934.https://doi.org/10.1016/j.gloenvcha.2019.101934</w:t>
      </w:r>
    </w:p>
    <w:p w14:paraId="7537FF37" w14:textId="77777777" w:rsidR="0097156C" w:rsidRDefault="0097156C" w:rsidP="0097156C">
      <w:pPr>
        <w:spacing w:after="40"/>
        <w:ind w:left="288" w:hanging="288"/>
        <w:rPr>
          <w:rFonts w:hint="eastAsia"/>
        </w:rPr>
      </w:pPr>
      <w:r>
        <w:rPr>
          <w:rFonts w:ascii="Times New Roman" w:hAnsi="Times New Roman"/>
          <w:sz w:val="20"/>
        </w:rPr>
        <w:t xml:space="preserve">Moser, S.C., </w:t>
      </w:r>
      <w:proofErr w:type="spellStart"/>
      <w:r>
        <w:rPr>
          <w:rFonts w:ascii="Times New Roman" w:hAnsi="Times New Roman"/>
          <w:sz w:val="20"/>
        </w:rPr>
        <w:t>Ekstrom</w:t>
      </w:r>
      <w:proofErr w:type="spellEnd"/>
      <w:r>
        <w:rPr>
          <w:rFonts w:ascii="Times New Roman" w:hAnsi="Times New Roman"/>
          <w:sz w:val="20"/>
        </w:rPr>
        <w:t>, J.A. 2010. A framework to diagnose barriers to climate change adaptation. Proceedings of the National Academy of Sciences 107, 22026-22031.10.1073/pnas.1007887107</w:t>
      </w:r>
    </w:p>
    <w:p w14:paraId="0046C4B7" w14:textId="77777777" w:rsidR="0097156C" w:rsidRDefault="0097156C" w:rsidP="0097156C">
      <w:pPr>
        <w:spacing w:after="40"/>
        <w:ind w:left="288" w:hanging="288"/>
        <w:rPr>
          <w:rFonts w:hint="eastAsia"/>
        </w:rPr>
      </w:pPr>
      <w:r>
        <w:rPr>
          <w:rFonts w:ascii="Times New Roman" w:hAnsi="Times New Roman"/>
          <w:sz w:val="20"/>
        </w:rPr>
        <w:t xml:space="preserve">Nightingale, A.J. 2017. Power and politics in climate change adaptation efforts: Struggles over authority and recognition in the context of political instability. </w:t>
      </w:r>
      <w:proofErr w:type="spellStart"/>
      <w:r>
        <w:rPr>
          <w:rFonts w:ascii="Times New Roman" w:hAnsi="Times New Roman"/>
          <w:sz w:val="20"/>
        </w:rPr>
        <w:t>Geoforum</w:t>
      </w:r>
      <w:proofErr w:type="spellEnd"/>
      <w:r>
        <w:rPr>
          <w:rFonts w:ascii="Times New Roman" w:hAnsi="Times New Roman"/>
          <w:sz w:val="20"/>
        </w:rPr>
        <w:t xml:space="preserve"> 84, 11-</w:t>
      </w:r>
      <w:proofErr w:type="gramStart"/>
      <w:r>
        <w:rPr>
          <w:rFonts w:ascii="Times New Roman" w:hAnsi="Times New Roman"/>
          <w:sz w:val="20"/>
        </w:rPr>
        <w:t>20.https://doi.org/10.1016/j.geoforum.2017.05.011</w:t>
      </w:r>
      <w:proofErr w:type="gramEnd"/>
    </w:p>
    <w:p w14:paraId="35F54AF7" w14:textId="77777777" w:rsidR="0097156C" w:rsidRDefault="0097156C" w:rsidP="0097156C">
      <w:pPr>
        <w:spacing w:after="40"/>
        <w:ind w:left="288" w:hanging="288"/>
        <w:rPr>
          <w:rFonts w:hint="eastAsia"/>
        </w:rPr>
      </w:pPr>
      <w:r>
        <w:rPr>
          <w:rFonts w:ascii="Times New Roman" w:hAnsi="Times New Roman"/>
          <w:sz w:val="20"/>
        </w:rPr>
        <w:t xml:space="preserve">Ostrom, E. 2010. Polycentric systems for coping with collective action and global environmental change. </w:t>
      </w:r>
      <w:r>
        <w:rPr>
          <w:rFonts w:ascii="Times New Roman" w:hAnsi="Times New Roman"/>
          <w:sz w:val="20"/>
        </w:rPr>
        <w:lastRenderedPageBreak/>
        <w:t>Global Environmental Change 20, 550-557.https://doi.org/10.1016/j.gloenvcha.2010.07.004</w:t>
      </w:r>
    </w:p>
    <w:p w14:paraId="1E49BF33" w14:textId="77777777" w:rsidR="0097156C" w:rsidRDefault="0097156C" w:rsidP="0097156C">
      <w:pPr>
        <w:spacing w:after="40"/>
        <w:ind w:left="288" w:hanging="288"/>
        <w:rPr>
          <w:rFonts w:hint="eastAsia"/>
        </w:rPr>
      </w:pPr>
      <w:proofErr w:type="spellStart"/>
      <w:r>
        <w:rPr>
          <w:rFonts w:ascii="Times New Roman" w:hAnsi="Times New Roman"/>
          <w:sz w:val="20"/>
        </w:rPr>
        <w:t>Qiao</w:t>
      </w:r>
      <w:proofErr w:type="spellEnd"/>
      <w:r>
        <w:rPr>
          <w:rFonts w:ascii="Times New Roman" w:hAnsi="Times New Roman"/>
          <w:sz w:val="20"/>
        </w:rPr>
        <w:t>, G., Zhao, L., Klein, K.K. 2009. Water user associations in Inner Mongolia: Factors that influence farmers to join. Agricultural Water Management 96, 822-830.https://doi.org/10.1016/j.agwat.2008.11.001</w:t>
      </w:r>
    </w:p>
    <w:p w14:paraId="0E38C4BF" w14:textId="77777777" w:rsidR="0097156C" w:rsidRDefault="0097156C" w:rsidP="0097156C">
      <w:pPr>
        <w:spacing w:after="40"/>
        <w:ind w:left="288" w:hanging="288"/>
        <w:rPr>
          <w:rFonts w:hint="eastAsia"/>
        </w:rPr>
      </w:pPr>
      <w:r w:rsidRPr="00360B64">
        <w:rPr>
          <w:rFonts w:ascii="Times New Roman" w:hAnsi="Times New Roman"/>
          <w:sz w:val="20"/>
        </w:rPr>
        <w:t xml:space="preserve">Rahman, H.M.T., Hickey, G.M. 2019. </w:t>
      </w:r>
      <w:r>
        <w:rPr>
          <w:rFonts w:ascii="Times New Roman" w:hAnsi="Times New Roman"/>
          <w:sz w:val="20"/>
        </w:rPr>
        <w:t>What Does Autonomous Adaptation to Climate Change Have to Teach Public Policy and Planning About Avoiding the Risks of Maladaptation in Bangladesh? Frontiers in Environmental Science Volume 7 - 2019.10.3389/fenvs.2019.00002</w:t>
      </w:r>
    </w:p>
    <w:p w14:paraId="32E09639" w14:textId="77777777" w:rsidR="0097156C" w:rsidRDefault="0097156C" w:rsidP="0097156C">
      <w:pPr>
        <w:spacing w:after="40"/>
        <w:ind w:left="288" w:hanging="288"/>
        <w:rPr>
          <w:rFonts w:hint="eastAsia"/>
        </w:rPr>
      </w:pPr>
      <w:r>
        <w:rPr>
          <w:rFonts w:ascii="Times New Roman" w:hAnsi="Times New Roman"/>
          <w:sz w:val="20"/>
        </w:rPr>
        <w:t>Ramirez-Villegas, J., Khoury, C.K. 2013. Reconciling approaches to climate change adaptation for Colombian agriculture. Climatic Change 119, 575-583.10.1007/s10584-013-0792-6</w:t>
      </w:r>
    </w:p>
    <w:p w14:paraId="6CEFE371" w14:textId="77777777" w:rsidR="0097156C" w:rsidRDefault="0097156C" w:rsidP="0097156C">
      <w:pPr>
        <w:spacing w:after="40"/>
        <w:ind w:left="288" w:hanging="288"/>
        <w:rPr>
          <w:rFonts w:hint="eastAsia"/>
        </w:rPr>
      </w:pPr>
      <w:proofErr w:type="spellStart"/>
      <w:r>
        <w:rPr>
          <w:rFonts w:ascii="Times New Roman" w:hAnsi="Times New Roman"/>
          <w:sz w:val="20"/>
        </w:rPr>
        <w:t>Regmi</w:t>
      </w:r>
      <w:proofErr w:type="spellEnd"/>
      <w:r>
        <w:rPr>
          <w:rFonts w:ascii="Times New Roman" w:hAnsi="Times New Roman"/>
          <w:sz w:val="20"/>
        </w:rPr>
        <w:t>, B.R., Star, C., Leal Filho, W. 2016. Effectiveness of the Local Adaptation Plan of Action to support climate change adaptation in Nepal. Mitigation and Adaptation Strategies for Global Change 21, 461-478.10.1007/s11027-014-9610-3</w:t>
      </w:r>
    </w:p>
    <w:p w14:paraId="49F564FB" w14:textId="77777777" w:rsidR="0097156C" w:rsidRDefault="0097156C" w:rsidP="0097156C">
      <w:pPr>
        <w:spacing w:after="40"/>
        <w:ind w:left="288" w:hanging="288"/>
        <w:rPr>
          <w:rFonts w:hint="eastAsia"/>
        </w:rPr>
      </w:pPr>
      <w:proofErr w:type="spellStart"/>
      <w:r>
        <w:rPr>
          <w:rFonts w:ascii="Times New Roman" w:hAnsi="Times New Roman"/>
          <w:sz w:val="20"/>
        </w:rPr>
        <w:t>Ricart</w:t>
      </w:r>
      <w:proofErr w:type="spellEnd"/>
      <w:r>
        <w:rPr>
          <w:rFonts w:ascii="Times New Roman" w:hAnsi="Times New Roman"/>
          <w:sz w:val="20"/>
        </w:rPr>
        <w:t xml:space="preserve">, S., </w:t>
      </w:r>
      <w:proofErr w:type="spellStart"/>
      <w:r>
        <w:rPr>
          <w:rFonts w:ascii="Times New Roman" w:hAnsi="Times New Roman"/>
          <w:sz w:val="20"/>
        </w:rPr>
        <w:t>Castelletti</w:t>
      </w:r>
      <w:proofErr w:type="spellEnd"/>
      <w:r>
        <w:rPr>
          <w:rFonts w:ascii="Times New Roman" w:hAnsi="Times New Roman"/>
          <w:sz w:val="20"/>
        </w:rPr>
        <w:t>, A., Gandolfi, C. 2022. On farmers’ perceptions of climate change and its nexus with climate data and adaptive capacity. A comprehensive review. Environmental Research Letters 17, 083002.10.1088/1748-9326/ac810f</w:t>
      </w:r>
    </w:p>
    <w:p w14:paraId="662FBFA2" w14:textId="77777777" w:rsidR="0097156C" w:rsidRDefault="0097156C" w:rsidP="0097156C">
      <w:pPr>
        <w:spacing w:after="40"/>
        <w:ind w:left="288" w:hanging="288"/>
        <w:rPr>
          <w:rFonts w:hint="eastAsia"/>
        </w:rPr>
      </w:pPr>
      <w:r>
        <w:rPr>
          <w:rFonts w:ascii="Times New Roman" w:hAnsi="Times New Roman"/>
          <w:sz w:val="20"/>
        </w:rPr>
        <w:t>Schipper, E.L.F. 2020. Maladaptation: When Adaptation to Climate Change Goes Very Wrong. One Earth 3, 409-414.https://doi.org/10.1016/j.oneear.2020.09.014</w:t>
      </w:r>
    </w:p>
    <w:p w14:paraId="50D78A82" w14:textId="77777777" w:rsidR="0097156C" w:rsidRDefault="0097156C" w:rsidP="0097156C">
      <w:pPr>
        <w:spacing w:after="40"/>
        <w:ind w:left="288" w:hanging="288"/>
        <w:rPr>
          <w:rFonts w:hint="eastAsia"/>
        </w:rPr>
      </w:pPr>
      <w:r>
        <w:rPr>
          <w:rFonts w:ascii="Times New Roman" w:hAnsi="Times New Roman"/>
          <w:sz w:val="20"/>
        </w:rPr>
        <w:t>Song, H., Zhu, Z. 2025. Farmers' adaptive behaviors to climate change and their influencing factors: evidence from the Guanzhong Region of Shaanxi, China. Frontiers in Sustainable Food Systems 9.10.3389/fsufs.2025.1648301</w:t>
      </w:r>
    </w:p>
    <w:p w14:paraId="77E98333" w14:textId="77777777" w:rsidR="0097156C" w:rsidRDefault="0097156C" w:rsidP="0097156C">
      <w:pPr>
        <w:spacing w:after="40"/>
        <w:ind w:left="288" w:hanging="288"/>
        <w:rPr>
          <w:rFonts w:hint="eastAsia"/>
        </w:rPr>
      </w:pPr>
      <w:r w:rsidRPr="00360B64">
        <w:rPr>
          <w:rFonts w:ascii="Times New Roman" w:hAnsi="Times New Roman"/>
          <w:sz w:val="20"/>
        </w:rPr>
        <w:t xml:space="preserve">Su, Y., Zeng, Q., Shu, Q. 2025. </w:t>
      </w:r>
      <w:r>
        <w:rPr>
          <w:rFonts w:ascii="Times New Roman" w:hAnsi="Times New Roman"/>
          <w:sz w:val="20"/>
        </w:rPr>
        <w:t>The Impact of Disasters on Adaptive Collective Action Among Farmers: Evidence from China's Border Regions. Systems 13.10.3390/systems13121065</w:t>
      </w:r>
    </w:p>
    <w:p w14:paraId="545B43E5" w14:textId="77777777" w:rsidR="0097156C" w:rsidRDefault="0097156C" w:rsidP="0097156C">
      <w:pPr>
        <w:spacing w:after="40"/>
        <w:ind w:left="288" w:hanging="288"/>
        <w:rPr>
          <w:rFonts w:hint="eastAsia"/>
        </w:rPr>
      </w:pPr>
      <w:r>
        <w:rPr>
          <w:rFonts w:ascii="Times New Roman" w:hAnsi="Times New Roman"/>
          <w:sz w:val="20"/>
        </w:rPr>
        <w:t xml:space="preserve">Tan, Y., Liu, X. 2017. Water shortage and inequality in arid </w:t>
      </w:r>
      <w:proofErr w:type="spellStart"/>
      <w:r>
        <w:rPr>
          <w:rFonts w:ascii="Times New Roman" w:hAnsi="Times New Roman"/>
          <w:sz w:val="20"/>
        </w:rPr>
        <w:t>Minqin</w:t>
      </w:r>
      <w:proofErr w:type="spellEnd"/>
      <w:r>
        <w:rPr>
          <w:rFonts w:ascii="Times New Roman" w:hAnsi="Times New Roman"/>
          <w:sz w:val="20"/>
        </w:rPr>
        <w:t xml:space="preserve"> oasis of northwest China: adaptive policies and farmers’ perceptions. Local Environment 22, 934-951.10.1080/13549839.2017.1309368</w:t>
      </w:r>
    </w:p>
    <w:p w14:paraId="4C489882" w14:textId="77777777" w:rsidR="0097156C" w:rsidRDefault="0097156C" w:rsidP="0097156C">
      <w:pPr>
        <w:spacing w:after="40"/>
        <w:ind w:left="288" w:hanging="288"/>
        <w:rPr>
          <w:rFonts w:hint="eastAsia"/>
        </w:rPr>
      </w:pPr>
      <w:r w:rsidRPr="00360B64">
        <w:rPr>
          <w:rFonts w:ascii="Times New Roman" w:hAnsi="Times New Roman"/>
          <w:sz w:val="20"/>
        </w:rPr>
        <w:t xml:space="preserve">Tang, L., Xu, Y., Wang, W., et al. 2023. </w:t>
      </w:r>
      <w:r>
        <w:rPr>
          <w:rFonts w:ascii="Times New Roman" w:hAnsi="Times New Roman"/>
          <w:sz w:val="20"/>
        </w:rPr>
        <w:t>Impact of livelihood capital and rural site conditions on livelihood resilience of farm households: evidence from contiguous poverty–stricken areas in China. Environmental Science and Pollution Research 30, 123808-123826.10.1007/s11356-023-30426-7</w:t>
      </w:r>
    </w:p>
    <w:p w14:paraId="180F97C8" w14:textId="77777777" w:rsidR="0097156C" w:rsidRDefault="0097156C" w:rsidP="0097156C">
      <w:pPr>
        <w:spacing w:after="40"/>
        <w:ind w:left="288" w:hanging="288"/>
        <w:rPr>
          <w:rFonts w:hint="eastAsia"/>
        </w:rPr>
      </w:pPr>
      <w:r w:rsidRPr="00360B64">
        <w:rPr>
          <w:rFonts w:ascii="Times New Roman" w:hAnsi="Times New Roman"/>
          <w:sz w:val="20"/>
        </w:rPr>
        <w:t xml:space="preserve">Wang, J., Yang, Y., Huang, J., et al. 2015. </w:t>
      </w:r>
      <w:r>
        <w:rPr>
          <w:rFonts w:ascii="Times New Roman" w:hAnsi="Times New Roman"/>
          <w:sz w:val="20"/>
        </w:rPr>
        <w:t>Information provision, policy support, and farmers’ adaptive responses against drought: An empirical study in the North China Plain. Ecological Modelling 318, 275-282.https://doi.org/10.1016/j.ecolmodel.2014.12.013</w:t>
      </w:r>
    </w:p>
    <w:p w14:paraId="293EA45B" w14:textId="77777777" w:rsidR="0097156C" w:rsidRDefault="0097156C" w:rsidP="0097156C">
      <w:pPr>
        <w:spacing w:after="40"/>
        <w:ind w:left="288" w:hanging="288"/>
        <w:rPr>
          <w:rFonts w:hint="eastAsia"/>
        </w:rPr>
      </w:pPr>
      <w:r w:rsidRPr="00360B64">
        <w:rPr>
          <w:rFonts w:ascii="Times New Roman" w:hAnsi="Times New Roman"/>
          <w:sz w:val="20"/>
        </w:rPr>
        <w:t xml:space="preserve">Wang, W., Zhao, X., Li, H., et al. 2021. </w:t>
      </w:r>
      <w:r>
        <w:rPr>
          <w:rFonts w:ascii="Times New Roman" w:hAnsi="Times New Roman"/>
          <w:sz w:val="20"/>
        </w:rPr>
        <w:t>Will social capital affect farmers? choices of climate change adaptation strategies? Evidences from rural households in the Qinghai-Tibetan Plateau, China. Journal of Rural Studies 83, 127-137.10.1016/j.jrurstud.2021.02.006</w:t>
      </w:r>
    </w:p>
    <w:p w14:paraId="63340296" w14:textId="77777777" w:rsidR="0097156C" w:rsidRDefault="0097156C" w:rsidP="0097156C">
      <w:pPr>
        <w:spacing w:after="40"/>
        <w:ind w:left="288" w:hanging="288"/>
        <w:rPr>
          <w:rFonts w:hint="eastAsia"/>
        </w:rPr>
      </w:pPr>
      <w:r w:rsidRPr="00360B64">
        <w:rPr>
          <w:rFonts w:ascii="Times New Roman" w:hAnsi="Times New Roman"/>
          <w:sz w:val="20"/>
        </w:rPr>
        <w:t xml:space="preserve">Wang, Y., Wang, J., Li, S., et al. 2014. </w:t>
      </w:r>
      <w:r>
        <w:rPr>
          <w:rFonts w:ascii="Times New Roman" w:hAnsi="Times New Roman"/>
          <w:sz w:val="20"/>
        </w:rPr>
        <w:t>Vulnerability of the Tibetan Pastoral Systems to Climate and Global Change. Ecology and Society 19.10.5751/es-06803-190408</w:t>
      </w:r>
    </w:p>
    <w:p w14:paraId="5D5411ED" w14:textId="77777777" w:rsidR="0097156C" w:rsidRDefault="0097156C" w:rsidP="0097156C">
      <w:pPr>
        <w:spacing w:after="40"/>
        <w:ind w:left="288" w:hanging="288"/>
        <w:rPr>
          <w:rFonts w:hint="eastAsia"/>
        </w:rPr>
      </w:pPr>
      <w:r w:rsidRPr="00360B64">
        <w:rPr>
          <w:rFonts w:ascii="Times New Roman" w:hAnsi="Times New Roman"/>
          <w:sz w:val="20"/>
        </w:rPr>
        <w:t xml:space="preserve">Wu, J., Zhang, J., Yang, H. 2022. </w:t>
      </w:r>
      <w:r>
        <w:rPr>
          <w:rFonts w:ascii="Times New Roman" w:hAnsi="Times New Roman"/>
          <w:sz w:val="20"/>
        </w:rPr>
        <w:t>Impact of relocation in response to climate change on farmers’ livelihood capital in minority areas: a case study of Yunnan Province. International Journal of Climate Change Strategies and Management 15, 790-809.https://doi.org/10.1108/IJCCSM-03-2023-0044</w:t>
      </w:r>
    </w:p>
    <w:p w14:paraId="7D409E57" w14:textId="77777777" w:rsidR="0097156C" w:rsidRDefault="0097156C" w:rsidP="0097156C">
      <w:pPr>
        <w:spacing w:after="40"/>
        <w:ind w:left="288" w:hanging="288"/>
        <w:rPr>
          <w:rFonts w:hint="eastAsia"/>
        </w:rPr>
      </w:pPr>
      <w:r w:rsidRPr="004B58A0">
        <w:rPr>
          <w:rFonts w:ascii="Times New Roman" w:hAnsi="Times New Roman"/>
          <w:sz w:val="20"/>
          <w:lang w:val="de-DE"/>
        </w:rPr>
        <w:t xml:space="preserve">Wu, S., Liao, C., Yu, L. 2025. </w:t>
      </w:r>
      <w:r>
        <w:rPr>
          <w:rFonts w:ascii="Times New Roman" w:hAnsi="Times New Roman"/>
          <w:sz w:val="20"/>
        </w:rPr>
        <w:t>The potential of collective action in promoting sustainable rangeland management: evidence from pastoral China. Ecology and Society 30.10.5751/ES-16584-300339</w:t>
      </w:r>
    </w:p>
    <w:p w14:paraId="3307695D" w14:textId="77777777" w:rsidR="0097156C" w:rsidRDefault="0097156C" w:rsidP="0097156C">
      <w:pPr>
        <w:spacing w:after="40"/>
        <w:ind w:left="288" w:hanging="288"/>
        <w:rPr>
          <w:rFonts w:hint="eastAsia"/>
        </w:rPr>
      </w:pPr>
      <w:r>
        <w:rPr>
          <w:rFonts w:ascii="Times New Roman" w:hAnsi="Times New Roman"/>
          <w:sz w:val="20"/>
        </w:rPr>
        <w:t xml:space="preserve">Xie, S., Ding, W., Ye, W., et al. 2022. </w:t>
      </w:r>
      <w:proofErr w:type="spellStart"/>
      <w:r>
        <w:rPr>
          <w:rFonts w:ascii="Times New Roman" w:hAnsi="Times New Roman"/>
          <w:sz w:val="20"/>
        </w:rPr>
        <w:t>Agro</w:t>
      </w:r>
      <w:proofErr w:type="spellEnd"/>
      <w:r>
        <w:rPr>
          <w:rFonts w:ascii="Times New Roman" w:hAnsi="Times New Roman"/>
          <w:sz w:val="20"/>
        </w:rPr>
        <w:t>-pastoralists’ perception of climate change and adaptation in the Qilian Mountains of northwest China. Scientific Reports 12, 12689.10.1038/s41598-022-17040-</w:t>
      </w:r>
      <w:r>
        <w:rPr>
          <w:rFonts w:ascii="Times New Roman" w:hAnsi="Times New Roman"/>
          <w:sz w:val="20"/>
        </w:rPr>
        <w:lastRenderedPageBreak/>
        <w:t>2</w:t>
      </w:r>
    </w:p>
    <w:p w14:paraId="3E61F512" w14:textId="77777777" w:rsidR="0097156C" w:rsidRDefault="0097156C" w:rsidP="0097156C">
      <w:pPr>
        <w:spacing w:after="40"/>
        <w:ind w:left="288" w:hanging="288"/>
        <w:rPr>
          <w:rFonts w:hint="eastAsia"/>
        </w:rPr>
      </w:pPr>
      <w:r w:rsidRPr="00360B64">
        <w:rPr>
          <w:rFonts w:ascii="Times New Roman" w:hAnsi="Times New Roman"/>
          <w:sz w:val="20"/>
        </w:rPr>
        <w:t xml:space="preserve">Yang, X., Qiu, X., Zhu, F., et al. 2024. </w:t>
      </w:r>
      <w:r>
        <w:rPr>
          <w:rFonts w:ascii="Times New Roman" w:hAnsi="Times New Roman"/>
          <w:sz w:val="20"/>
        </w:rPr>
        <w:t>Follow-up supportive policies and risk perception influence livelihood adaptation of anti-poverty relocated households in ethnic mountains of southwest China. Scientific Reports 14, 30008.10.1038/s41598-024-81820-1</w:t>
      </w:r>
    </w:p>
    <w:p w14:paraId="4F0376AD" w14:textId="77777777" w:rsidR="0097156C" w:rsidRDefault="0097156C" w:rsidP="0097156C">
      <w:pPr>
        <w:spacing w:after="40"/>
        <w:ind w:left="288" w:hanging="288"/>
        <w:rPr>
          <w:rFonts w:hint="eastAsia"/>
        </w:rPr>
      </w:pPr>
      <w:r w:rsidRPr="00360B64">
        <w:rPr>
          <w:rFonts w:ascii="Times New Roman" w:hAnsi="Times New Roman"/>
          <w:sz w:val="20"/>
        </w:rPr>
        <w:t xml:space="preserve">Yu, L., Qiu, S., Chen, Q., et al. 2025. </w:t>
      </w:r>
      <w:r>
        <w:rPr>
          <w:rFonts w:ascii="Times New Roman" w:hAnsi="Times New Roman"/>
          <w:sz w:val="20"/>
        </w:rPr>
        <w:t>Beyond property rights: all roads lead to sustainable grassland management. Global Environmental Change 94, 103029.https://doi.org/10.1016/j.gloenvcha.2025.103029</w:t>
      </w:r>
    </w:p>
    <w:p w14:paraId="52EC9B18" w14:textId="77777777" w:rsidR="0097156C" w:rsidRDefault="0097156C" w:rsidP="0097156C">
      <w:pPr>
        <w:spacing w:after="40"/>
        <w:ind w:left="288" w:hanging="288"/>
        <w:rPr>
          <w:rFonts w:hint="eastAsia"/>
        </w:rPr>
      </w:pPr>
      <w:r>
        <w:rPr>
          <w:rFonts w:ascii="Times New Roman" w:hAnsi="Times New Roman"/>
          <w:sz w:val="20"/>
        </w:rPr>
        <w:t xml:space="preserve">Zhang, L., Hu, J., Li, Y., et al. 2018. Public-private partnership in enhancing farmers' adaptation to drought: Insights from the </w:t>
      </w:r>
      <w:proofErr w:type="spellStart"/>
      <w:r>
        <w:rPr>
          <w:rFonts w:ascii="Times New Roman" w:hAnsi="Times New Roman"/>
          <w:sz w:val="20"/>
        </w:rPr>
        <w:t>Lujiang</w:t>
      </w:r>
      <w:proofErr w:type="spellEnd"/>
      <w:r>
        <w:rPr>
          <w:rFonts w:ascii="Times New Roman" w:hAnsi="Times New Roman"/>
          <w:sz w:val="20"/>
        </w:rPr>
        <w:t xml:space="preserve"> Flatland in the Nu River (Upper Salween) valley, China. Land Use Policy 71, 138-145.10.1016/j.landusepol.2017.11.034</w:t>
      </w:r>
    </w:p>
    <w:p w14:paraId="5A06D629" w14:textId="77777777" w:rsidR="0097156C" w:rsidRDefault="0097156C" w:rsidP="0097156C">
      <w:pPr>
        <w:spacing w:after="40"/>
        <w:ind w:left="288" w:hanging="288"/>
        <w:rPr>
          <w:rFonts w:hint="eastAsia"/>
        </w:rPr>
      </w:pPr>
      <w:r>
        <w:rPr>
          <w:rFonts w:ascii="Times New Roman" w:hAnsi="Times New Roman"/>
          <w:sz w:val="20"/>
        </w:rPr>
        <w:t xml:space="preserve">Zhang, Y., Wu, Y., Yan, J., et al. 2022. How does rural labor migration affect crop diversification for adapting to climate change in the </w:t>
      </w:r>
      <w:proofErr w:type="spellStart"/>
      <w:r>
        <w:rPr>
          <w:rFonts w:ascii="Times New Roman" w:hAnsi="Times New Roman"/>
          <w:sz w:val="20"/>
        </w:rPr>
        <w:t>Hehuang</w:t>
      </w:r>
      <w:proofErr w:type="spellEnd"/>
      <w:r>
        <w:rPr>
          <w:rFonts w:ascii="Times New Roman" w:hAnsi="Times New Roman"/>
          <w:sz w:val="20"/>
        </w:rPr>
        <w:t xml:space="preserve"> Valley, Tibetan Plateau? Land Use Policy 113.10.1016/j.landusepol.2021.105928</w:t>
      </w:r>
    </w:p>
    <w:p w14:paraId="5352D90E" w14:textId="77777777" w:rsidR="0097156C" w:rsidRDefault="0097156C" w:rsidP="0097156C">
      <w:pPr>
        <w:spacing w:after="40"/>
        <w:ind w:left="288" w:hanging="288"/>
        <w:rPr>
          <w:rFonts w:hint="eastAsia"/>
        </w:rPr>
      </w:pPr>
      <w:r>
        <w:rPr>
          <w:rFonts w:ascii="Times New Roman" w:hAnsi="Times New Roman"/>
          <w:sz w:val="20"/>
        </w:rPr>
        <w:t>Zhang, Y., Zhang, Y., Wu, Y., et al. 2024. Policy measures mitigate the adoption of crop diversification strategies by farmers: insights from the Tibetan Plateau. Environment Development and Sustainability.10.1007/s10668-024-05093-4</w:t>
      </w:r>
    </w:p>
    <w:p w14:paraId="2C5DD916" w14:textId="77777777" w:rsidR="0097156C" w:rsidRDefault="0097156C" w:rsidP="0097156C">
      <w:pPr>
        <w:spacing w:after="40"/>
        <w:ind w:left="288" w:hanging="288"/>
        <w:rPr>
          <w:rFonts w:hint="eastAsia"/>
        </w:rPr>
      </w:pPr>
      <w:r>
        <w:rPr>
          <w:rFonts w:ascii="Times New Roman" w:hAnsi="Times New Roman"/>
          <w:sz w:val="20"/>
        </w:rPr>
        <w:t xml:space="preserve">Zheng, Y., </w:t>
      </w:r>
      <w:proofErr w:type="spellStart"/>
      <w:r>
        <w:rPr>
          <w:rFonts w:ascii="Times New Roman" w:hAnsi="Times New Roman"/>
          <w:sz w:val="20"/>
        </w:rPr>
        <w:t>Dallimer</w:t>
      </w:r>
      <w:proofErr w:type="spellEnd"/>
      <w:r>
        <w:rPr>
          <w:rFonts w:ascii="Times New Roman" w:hAnsi="Times New Roman"/>
          <w:sz w:val="20"/>
        </w:rPr>
        <w:t>, M. 2016. What motivates rural households to adapt to climate change? Climate and Development 8, 110-121.10.1080/17565529.2015.1005037</w:t>
      </w:r>
    </w:p>
    <w:p w14:paraId="275DE328" w14:textId="77777777" w:rsidR="0097156C" w:rsidRDefault="0097156C" w:rsidP="0097156C">
      <w:pPr>
        <w:spacing w:after="40"/>
        <w:ind w:left="288" w:hanging="288"/>
        <w:rPr>
          <w:rFonts w:hint="eastAsia"/>
        </w:rPr>
      </w:pPr>
      <w:r>
        <w:rPr>
          <w:rFonts w:ascii="Times New Roman" w:hAnsi="Times New Roman"/>
          <w:sz w:val="20"/>
        </w:rPr>
        <w:t>Zhong, B., Wu, S., Sun, G., et al. 2022. Farmers' Strategies to Climate Change and Urbanization: Potential of Ecosystem-Based Adaptation in Rural Chengdu, Southwest China. International Journal of Environmental Research and Public Health 19.10.3390/ijerph19020952</w:t>
      </w:r>
    </w:p>
    <w:p w14:paraId="57E037EB" w14:textId="77777777" w:rsidR="0097156C" w:rsidRDefault="0097156C" w:rsidP="0097156C">
      <w:pPr>
        <w:spacing w:after="40"/>
        <w:ind w:left="288" w:hanging="288"/>
        <w:rPr>
          <w:rFonts w:hint="eastAsia"/>
        </w:rPr>
      </w:pPr>
      <w:r>
        <w:rPr>
          <w:rFonts w:ascii="Times New Roman" w:hAnsi="Times New Roman"/>
          <w:sz w:val="20"/>
        </w:rPr>
        <w:t>Zhou, D., Aoyagi, M., Okayasu, T., et al. 2015. Resilience of traditional rice-dominated agricultural communities to precipitation variability in the North China Plain. Climate Research 62, 149-161.10.3354/cr01264</w:t>
      </w:r>
    </w:p>
    <w:p w14:paraId="4FCE09A9" w14:textId="77777777" w:rsidR="0097156C" w:rsidRDefault="0097156C" w:rsidP="0097156C">
      <w:pPr>
        <w:spacing w:after="40"/>
        <w:ind w:left="288" w:hanging="288"/>
        <w:rPr>
          <w:rFonts w:hint="eastAsia"/>
        </w:rPr>
      </w:pPr>
      <w:r>
        <w:rPr>
          <w:rFonts w:ascii="Times New Roman" w:hAnsi="Times New Roman"/>
          <w:sz w:val="20"/>
        </w:rPr>
        <w:t>Zhu, Y., Yang, Q., Zhang, C. 2021. Adaptation strategies and land productivity of banana farmers under climate change in China. Climate Risk Management 34, 100368.https://doi.org/10.1016/j.crm.2021.100368 https://doi.org/10.1038/s41477-020-00783-z.</w:t>
      </w:r>
    </w:p>
    <w:p w14:paraId="53095A49" w14:textId="28D994C9" w:rsidR="0097156C" w:rsidRPr="0097156C" w:rsidRDefault="0062112F" w:rsidP="0062112F">
      <w:pPr>
        <w:widowControl/>
        <w:jc w:val="left"/>
        <w:rPr>
          <w:rFonts w:ascii="Times New Roman" w:hAnsi="Times New Roman" w:cs="Times New Roman"/>
          <w:b/>
          <w:color w:val="0070C0"/>
          <w:sz w:val="32"/>
          <w:szCs w:val="36"/>
        </w:rPr>
      </w:pPr>
      <w:r>
        <w:rPr>
          <w:rFonts w:ascii="Times New Roman" w:hAnsi="Times New Roman" w:cs="Times New Roman"/>
          <w:b/>
          <w:color w:val="0070C0"/>
          <w:sz w:val="32"/>
          <w:szCs w:val="36"/>
        </w:rPr>
        <w:br w:type="page"/>
      </w:r>
    </w:p>
    <w:p w14:paraId="400E46A8" w14:textId="38069423" w:rsidR="004E26E0" w:rsidRDefault="004E26E0" w:rsidP="004E26E0">
      <w:pPr>
        <w:jc w:val="center"/>
        <w:rPr>
          <w:rFonts w:ascii="Times New Roman" w:hAnsi="Times New Roman" w:cs="Times New Roman"/>
          <w:b/>
          <w:color w:val="0070C0"/>
          <w:sz w:val="32"/>
          <w:szCs w:val="36"/>
        </w:rPr>
      </w:pPr>
      <w:r w:rsidRPr="006B5CE9">
        <w:rPr>
          <w:rFonts w:ascii="Times New Roman" w:hAnsi="Times New Roman" w:cs="Times New Roman"/>
          <w:b/>
          <w:color w:val="0070C0"/>
          <w:sz w:val="32"/>
          <w:szCs w:val="36"/>
        </w:rPr>
        <w:lastRenderedPageBreak/>
        <w:t>Supplementary Materials</w:t>
      </w:r>
      <w:r>
        <w:rPr>
          <w:rFonts w:ascii="Times New Roman" w:hAnsi="Times New Roman" w:cs="Times New Roman" w:hint="eastAsia"/>
          <w:b/>
          <w:color w:val="0070C0"/>
          <w:sz w:val="32"/>
          <w:szCs w:val="36"/>
        </w:rPr>
        <w:t xml:space="preserve"> II</w:t>
      </w:r>
      <w:r w:rsidR="0097156C">
        <w:rPr>
          <w:rFonts w:ascii="Times New Roman" w:hAnsi="Times New Roman" w:cs="Times New Roman" w:hint="eastAsia"/>
          <w:b/>
          <w:color w:val="0070C0"/>
          <w:sz w:val="32"/>
          <w:szCs w:val="36"/>
        </w:rPr>
        <w:t>I</w:t>
      </w:r>
    </w:p>
    <w:p w14:paraId="6B1B9706" w14:textId="7431391D" w:rsidR="004E26E0" w:rsidRDefault="004E26E0" w:rsidP="004E26E0">
      <w:pPr>
        <w:jc w:val="center"/>
        <w:rPr>
          <w:rFonts w:ascii="Times New Roman" w:hAnsi="Times New Roman" w:cs="Times New Roman"/>
          <w:b/>
          <w:bCs/>
          <w:sz w:val="24"/>
          <w:szCs w:val="28"/>
        </w:rPr>
      </w:pPr>
      <w:r w:rsidRPr="004E26E0">
        <w:rPr>
          <w:rFonts w:ascii="Times New Roman" w:hAnsi="Times New Roman" w:cs="Times New Roman"/>
          <w:b/>
          <w:bCs/>
          <w:sz w:val="24"/>
          <w:szCs w:val="28"/>
        </w:rPr>
        <w:t>A framework-based interpretation of rangeland governance on the Qinghai–Tibetan Plateau</w:t>
      </w:r>
    </w:p>
    <w:p w14:paraId="3F7E1DD7" w14:textId="58632B3D" w:rsidR="00266275" w:rsidRPr="00266275" w:rsidRDefault="00266275" w:rsidP="00266275">
      <w:pPr>
        <w:rPr>
          <w:rFonts w:ascii="Times New Roman" w:hAnsi="Times New Roman" w:cs="Times New Roman"/>
          <w:b/>
          <w:bCs/>
          <w:sz w:val="24"/>
          <w:szCs w:val="28"/>
        </w:rPr>
      </w:pPr>
      <w:r>
        <w:rPr>
          <w:rFonts w:ascii="Times New Roman" w:hAnsi="Times New Roman" w:cs="Times New Roman" w:hint="eastAsia"/>
          <w:b/>
          <w:bCs/>
          <w:sz w:val="24"/>
          <w:szCs w:val="28"/>
        </w:rPr>
        <w:t xml:space="preserve">S1. </w:t>
      </w:r>
      <w:r w:rsidRPr="00266275">
        <w:rPr>
          <w:rFonts w:ascii="Times New Roman" w:hAnsi="Times New Roman" w:cs="Times New Roman"/>
          <w:b/>
          <w:bCs/>
          <w:sz w:val="24"/>
          <w:szCs w:val="28"/>
        </w:rPr>
        <w:t>Purpose and scope</w:t>
      </w:r>
    </w:p>
    <w:p w14:paraId="29B3E2F0" w14:textId="62795926" w:rsidR="00160AD7" w:rsidRPr="00160AD7" w:rsidRDefault="00160AD7" w:rsidP="00160AD7">
      <w:pPr>
        <w:ind w:firstLineChars="200" w:firstLine="420"/>
        <w:rPr>
          <w:rFonts w:ascii="Times New Roman" w:hAnsi="Times New Roman" w:cs="Times New Roman"/>
        </w:rPr>
      </w:pPr>
      <w:r w:rsidRPr="00160AD7">
        <w:rPr>
          <w:rFonts w:ascii="Times New Roman" w:hAnsi="Times New Roman" w:cs="Times New Roman" w:hint="eastAsia"/>
        </w:rPr>
        <w:t>This supplementary note applies the proposed government</w:t>
      </w:r>
      <w:r w:rsidRPr="00160AD7">
        <w:rPr>
          <w:rFonts w:ascii="Times New Roman" w:hAnsi="Times New Roman" w:cs="Times New Roman" w:hint="eastAsia"/>
        </w:rPr>
        <w:t>–</w:t>
      </w:r>
      <w:r w:rsidRPr="00160AD7">
        <w:rPr>
          <w:rFonts w:ascii="Times New Roman" w:hAnsi="Times New Roman" w:cs="Times New Roman" w:hint="eastAsia"/>
        </w:rPr>
        <w:t>community</w:t>
      </w:r>
      <w:r w:rsidRPr="00160AD7">
        <w:rPr>
          <w:rFonts w:ascii="Times New Roman" w:hAnsi="Times New Roman" w:cs="Times New Roman" w:hint="eastAsia"/>
        </w:rPr>
        <w:t>–</w:t>
      </w:r>
      <w:r w:rsidRPr="00160AD7">
        <w:rPr>
          <w:rFonts w:ascii="Times New Roman" w:hAnsi="Times New Roman" w:cs="Times New Roman" w:hint="eastAsia"/>
        </w:rPr>
        <w:t>household (G</w:t>
      </w:r>
      <w:r w:rsidRPr="00160AD7">
        <w:rPr>
          <w:rFonts w:ascii="Times New Roman" w:hAnsi="Times New Roman" w:cs="Times New Roman" w:hint="eastAsia"/>
        </w:rPr>
        <w:t>–</w:t>
      </w:r>
      <w:r w:rsidRPr="00160AD7">
        <w:rPr>
          <w:rFonts w:ascii="Times New Roman" w:hAnsi="Times New Roman" w:cs="Times New Roman" w:hint="eastAsia"/>
        </w:rPr>
        <w:t>C</w:t>
      </w:r>
      <w:r w:rsidRPr="00160AD7">
        <w:rPr>
          <w:rFonts w:ascii="Times New Roman" w:hAnsi="Times New Roman" w:cs="Times New Roman" w:hint="eastAsia"/>
        </w:rPr>
        <w:t>–</w:t>
      </w:r>
      <w:r w:rsidRPr="00160AD7">
        <w:rPr>
          <w:rFonts w:ascii="Times New Roman" w:hAnsi="Times New Roman" w:cs="Times New Roman" w:hint="eastAsia"/>
        </w:rPr>
        <w:t xml:space="preserve">H) framework to a published empirical case drawn from the citation-traced supporting evidence base. The purpose is to demonstrate how the framework can be used as an analytical tool for organizing case evidence, tracing cross-scale governance pathways, and generating diagnostic outputs. The selected case is </w:t>
      </w:r>
      <w:proofErr w:type="spellStart"/>
      <w:r w:rsidRPr="00160AD7">
        <w:rPr>
          <w:rFonts w:ascii="Times New Roman" w:hAnsi="Times New Roman" w:cs="Times New Roman" w:hint="eastAsia"/>
        </w:rPr>
        <w:t>Gongbuzeren</w:t>
      </w:r>
      <w:proofErr w:type="spellEnd"/>
      <w:r w:rsidRPr="00160AD7">
        <w:rPr>
          <w:rFonts w:ascii="Times New Roman" w:hAnsi="Times New Roman" w:cs="Times New Roman" w:hint="eastAsia"/>
        </w:rPr>
        <w:t xml:space="preserve"> et al.</w:t>
      </w:r>
      <w:r w:rsidRPr="00160AD7">
        <w:rPr>
          <w:rFonts w:ascii="Times New Roman" w:hAnsi="Times New Roman" w:cs="Times New Roman" w:hint="eastAsia"/>
        </w:rPr>
        <w:t>’</w:t>
      </w:r>
      <w:r w:rsidRPr="00160AD7">
        <w:rPr>
          <w:rFonts w:ascii="Times New Roman" w:hAnsi="Times New Roman" w:cs="Times New Roman" w:hint="eastAsia"/>
        </w:rPr>
        <w:t>s (</w:t>
      </w:r>
      <w:r w:rsidRPr="0097156C">
        <w:rPr>
          <w:rFonts w:ascii="Times New Roman" w:hAnsi="Times New Roman" w:cs="Times New Roman" w:hint="eastAsia"/>
          <w:color w:val="0070C0"/>
        </w:rPr>
        <w:t>2016</w:t>
      </w:r>
      <w:r w:rsidRPr="00160AD7">
        <w:rPr>
          <w:rFonts w:ascii="Times New Roman" w:hAnsi="Times New Roman" w:cs="Times New Roman" w:hint="eastAsia"/>
        </w:rPr>
        <w:t xml:space="preserve">) comparative study of rangeland transfer and customary institutions in </w:t>
      </w:r>
      <w:proofErr w:type="spellStart"/>
      <w:r w:rsidRPr="00160AD7">
        <w:rPr>
          <w:rFonts w:ascii="Times New Roman" w:hAnsi="Times New Roman" w:cs="Times New Roman" w:hint="eastAsia"/>
        </w:rPr>
        <w:t>Axi</w:t>
      </w:r>
      <w:proofErr w:type="spellEnd"/>
      <w:r w:rsidRPr="00160AD7">
        <w:rPr>
          <w:rFonts w:ascii="Times New Roman" w:hAnsi="Times New Roman" w:cs="Times New Roman" w:hint="eastAsia"/>
        </w:rPr>
        <w:t xml:space="preserve"> and </w:t>
      </w:r>
      <w:proofErr w:type="spellStart"/>
      <w:r w:rsidRPr="00160AD7">
        <w:rPr>
          <w:rFonts w:ascii="Times New Roman" w:hAnsi="Times New Roman" w:cs="Times New Roman" w:hint="eastAsia"/>
        </w:rPr>
        <w:t>Xiareer</w:t>
      </w:r>
      <w:proofErr w:type="spellEnd"/>
      <w:r w:rsidRPr="00160AD7">
        <w:rPr>
          <w:rFonts w:ascii="Times New Roman" w:hAnsi="Times New Roman" w:cs="Times New Roman" w:hint="eastAsia"/>
        </w:rPr>
        <w:t xml:space="preserve"> villages on the Qinghai</w:t>
      </w:r>
      <w:r w:rsidRPr="00160AD7">
        <w:rPr>
          <w:rFonts w:ascii="Times New Roman" w:hAnsi="Times New Roman" w:cs="Times New Roman" w:hint="eastAsia"/>
        </w:rPr>
        <w:t>–</w:t>
      </w:r>
      <w:r w:rsidRPr="00160AD7">
        <w:rPr>
          <w:rFonts w:ascii="Times New Roman" w:hAnsi="Times New Roman" w:cs="Times New Roman" w:hint="eastAsia"/>
        </w:rPr>
        <w:t>Tibetan Plateau.</w:t>
      </w:r>
    </w:p>
    <w:p w14:paraId="40DAC63D" w14:textId="463A525F" w:rsidR="00266275" w:rsidRDefault="00160AD7" w:rsidP="00160AD7">
      <w:pPr>
        <w:ind w:firstLineChars="200" w:firstLine="420"/>
        <w:rPr>
          <w:rFonts w:ascii="Times New Roman" w:hAnsi="Times New Roman" w:cs="Times New Roman"/>
        </w:rPr>
      </w:pPr>
      <w:r w:rsidRPr="00160AD7">
        <w:rPr>
          <w:rFonts w:ascii="Times New Roman" w:hAnsi="Times New Roman" w:cs="Times New Roman" w:hint="eastAsia"/>
        </w:rPr>
        <w:t xml:space="preserve">This case is suitable for a framework-guided diagnosis because it contains a clear policy intervention, contrasting community institutional arrangements, observable household livelihood responses, and evidence of both enabling and constraining mechanisms. </w:t>
      </w:r>
      <w:r w:rsidR="002F1263" w:rsidRPr="002F1263">
        <w:rPr>
          <w:rFonts w:ascii="Times New Roman" w:hAnsi="Times New Roman" w:cs="Times New Roman" w:hint="eastAsia"/>
        </w:rPr>
        <w:t>This worked example applies the framework to the published case to trace support pathways, community mediation, household responses, resilience dimensions, and governance bottlenecks</w:t>
      </w:r>
      <w:r w:rsidRPr="00160AD7">
        <w:rPr>
          <w:rFonts w:ascii="Times New Roman" w:hAnsi="Times New Roman" w:cs="Times New Roman" w:hint="eastAsia"/>
        </w:rPr>
        <w:t>.</w:t>
      </w:r>
    </w:p>
    <w:p w14:paraId="4B93D2A2" w14:textId="1A8362D1" w:rsidR="00266275" w:rsidRPr="00266275" w:rsidRDefault="00266275" w:rsidP="00266275">
      <w:pPr>
        <w:rPr>
          <w:rFonts w:ascii="Times New Roman" w:hAnsi="Times New Roman" w:cs="Times New Roman"/>
          <w:b/>
          <w:bCs/>
          <w:sz w:val="24"/>
          <w:szCs w:val="28"/>
        </w:rPr>
      </w:pPr>
      <w:r w:rsidRPr="00266275">
        <w:rPr>
          <w:rFonts w:ascii="Times New Roman" w:hAnsi="Times New Roman" w:cs="Times New Roman" w:hint="eastAsia"/>
          <w:b/>
          <w:bCs/>
          <w:sz w:val="24"/>
          <w:szCs w:val="28"/>
        </w:rPr>
        <w:t xml:space="preserve">S2. </w:t>
      </w:r>
      <w:r w:rsidRPr="00266275">
        <w:rPr>
          <w:rFonts w:ascii="Times New Roman" w:hAnsi="Times New Roman" w:cs="Times New Roman"/>
          <w:b/>
          <w:bCs/>
          <w:sz w:val="24"/>
          <w:szCs w:val="28"/>
        </w:rPr>
        <w:t>Case background</w:t>
      </w:r>
    </w:p>
    <w:p w14:paraId="32C29488" w14:textId="534B21AE" w:rsidR="00160AD7" w:rsidRPr="00160AD7" w:rsidRDefault="00160AD7" w:rsidP="00160AD7">
      <w:pPr>
        <w:ind w:firstLineChars="200" w:firstLine="420"/>
        <w:rPr>
          <w:rFonts w:ascii="Times New Roman" w:hAnsi="Times New Roman" w:cs="Times New Roman"/>
        </w:rPr>
      </w:pPr>
      <w:proofErr w:type="spellStart"/>
      <w:r w:rsidRPr="00160AD7">
        <w:rPr>
          <w:rFonts w:ascii="Times New Roman" w:hAnsi="Times New Roman" w:cs="Times New Roman" w:hint="eastAsia"/>
        </w:rPr>
        <w:t>Gongbuzeren</w:t>
      </w:r>
      <w:proofErr w:type="spellEnd"/>
      <w:r w:rsidRPr="00160AD7">
        <w:rPr>
          <w:rFonts w:ascii="Times New Roman" w:hAnsi="Times New Roman" w:cs="Times New Roman" w:hint="eastAsia"/>
        </w:rPr>
        <w:t xml:space="preserve"> et al. (2016) compare two rangeland governance arrangements that emerged under China</w:t>
      </w:r>
      <w:r w:rsidRPr="00160AD7">
        <w:rPr>
          <w:rFonts w:ascii="Times New Roman" w:hAnsi="Times New Roman" w:cs="Times New Roman" w:hint="eastAsia"/>
        </w:rPr>
        <w:t>’</w:t>
      </w:r>
      <w:r w:rsidRPr="00160AD7">
        <w:rPr>
          <w:rFonts w:ascii="Times New Roman" w:hAnsi="Times New Roman" w:cs="Times New Roman" w:hint="eastAsia"/>
        </w:rPr>
        <w:t xml:space="preserve">s rangeland reform context. In </w:t>
      </w:r>
      <w:proofErr w:type="spellStart"/>
      <w:r w:rsidRPr="00160AD7">
        <w:rPr>
          <w:rFonts w:ascii="Times New Roman" w:hAnsi="Times New Roman" w:cs="Times New Roman" w:hint="eastAsia"/>
        </w:rPr>
        <w:t>Axi</w:t>
      </w:r>
      <w:proofErr w:type="spellEnd"/>
      <w:r w:rsidRPr="00160AD7">
        <w:rPr>
          <w:rFonts w:ascii="Times New Roman" w:hAnsi="Times New Roman" w:cs="Times New Roman" w:hint="eastAsia"/>
        </w:rPr>
        <w:t xml:space="preserve"> Village, market-based rangeland </w:t>
      </w:r>
      <w:proofErr w:type="gramStart"/>
      <w:r w:rsidRPr="00160AD7">
        <w:rPr>
          <w:rFonts w:ascii="Times New Roman" w:hAnsi="Times New Roman" w:cs="Times New Roman" w:hint="eastAsia"/>
        </w:rPr>
        <w:t>transfer</w:t>
      </w:r>
      <w:proofErr w:type="gramEnd"/>
      <w:r w:rsidRPr="00160AD7">
        <w:rPr>
          <w:rFonts w:ascii="Times New Roman" w:hAnsi="Times New Roman" w:cs="Times New Roman" w:hint="eastAsia"/>
        </w:rPr>
        <w:t xml:space="preserve"> largely replaced customary community institutions. Access to grazing mobility became increasingly dependent on households</w:t>
      </w:r>
      <w:proofErr w:type="gramStart"/>
      <w:r w:rsidRPr="00160AD7">
        <w:rPr>
          <w:rFonts w:ascii="Times New Roman" w:hAnsi="Times New Roman" w:cs="Times New Roman" w:hint="eastAsia"/>
        </w:rPr>
        <w:t>’</w:t>
      </w:r>
      <w:proofErr w:type="gramEnd"/>
      <w:r w:rsidRPr="00160AD7">
        <w:rPr>
          <w:rFonts w:ascii="Times New Roman" w:hAnsi="Times New Roman" w:cs="Times New Roman" w:hint="eastAsia"/>
        </w:rPr>
        <w:t xml:space="preserve"> ability to rent additional rangeland. This arrangement was associated with higher livestock mortality, lower livestock productivity, rising production costs, and greater household asset differentiation.</w:t>
      </w:r>
    </w:p>
    <w:p w14:paraId="66EF7F74" w14:textId="0457E110" w:rsidR="00266275" w:rsidRDefault="00160AD7" w:rsidP="00160AD7">
      <w:pPr>
        <w:ind w:firstLineChars="200" w:firstLine="420"/>
        <w:rPr>
          <w:rFonts w:ascii="Times New Roman" w:hAnsi="Times New Roman" w:cs="Times New Roman"/>
        </w:rPr>
      </w:pPr>
      <w:r w:rsidRPr="00160AD7">
        <w:rPr>
          <w:rFonts w:ascii="Times New Roman" w:hAnsi="Times New Roman" w:cs="Times New Roman" w:hint="eastAsia"/>
        </w:rPr>
        <w:t xml:space="preserve">In </w:t>
      </w:r>
      <w:proofErr w:type="spellStart"/>
      <w:r w:rsidRPr="00160AD7">
        <w:rPr>
          <w:rFonts w:ascii="Times New Roman" w:hAnsi="Times New Roman" w:cs="Times New Roman" w:hint="eastAsia"/>
        </w:rPr>
        <w:t>Xiareer</w:t>
      </w:r>
      <w:proofErr w:type="spellEnd"/>
      <w:r w:rsidRPr="00160AD7">
        <w:rPr>
          <w:rFonts w:ascii="Times New Roman" w:hAnsi="Times New Roman" w:cs="Times New Roman" w:hint="eastAsia"/>
        </w:rPr>
        <w:t xml:space="preserve"> Village, by contrast, market mechanisms were embedded within customary community institutions through a community-based grazing quota system and livestock loan arrangements. This arrangement enabled more equal opportunities to access rangeland resources, retained collective regulation of grazing behavior, and supported pastoral production without rapid wealth differentiation. The contrast between the two villages provides a useful basis for applying the G</w:t>
      </w:r>
      <w:r w:rsidRPr="00160AD7">
        <w:rPr>
          <w:rFonts w:ascii="Times New Roman" w:hAnsi="Times New Roman" w:cs="Times New Roman" w:hint="eastAsia"/>
        </w:rPr>
        <w:t>–</w:t>
      </w:r>
      <w:r w:rsidRPr="00160AD7">
        <w:rPr>
          <w:rFonts w:ascii="Times New Roman" w:hAnsi="Times New Roman" w:cs="Times New Roman" w:hint="eastAsia"/>
        </w:rPr>
        <w:t>C</w:t>
      </w:r>
      <w:r w:rsidRPr="00160AD7">
        <w:rPr>
          <w:rFonts w:ascii="Times New Roman" w:hAnsi="Times New Roman" w:cs="Times New Roman" w:hint="eastAsia"/>
        </w:rPr>
        <w:t>–</w:t>
      </w:r>
      <w:r w:rsidRPr="00160AD7">
        <w:rPr>
          <w:rFonts w:ascii="Times New Roman" w:hAnsi="Times New Roman" w:cs="Times New Roman" w:hint="eastAsia"/>
        </w:rPr>
        <w:t>H framework because it shows how similar policy environments can generate different livelihood resilience implications depending on whether community mediation is weakened or incorporated into governance arrangements.</w:t>
      </w:r>
    </w:p>
    <w:p w14:paraId="217E80B6" w14:textId="366B53C5" w:rsidR="00266275" w:rsidRPr="00266275" w:rsidRDefault="00266275" w:rsidP="00266275">
      <w:pPr>
        <w:rPr>
          <w:rFonts w:ascii="Times New Roman" w:hAnsi="Times New Roman" w:cs="Times New Roman"/>
          <w:b/>
          <w:bCs/>
          <w:sz w:val="24"/>
          <w:szCs w:val="28"/>
        </w:rPr>
      </w:pPr>
      <w:r w:rsidRPr="00266275">
        <w:rPr>
          <w:rFonts w:ascii="Times New Roman" w:hAnsi="Times New Roman" w:cs="Times New Roman" w:hint="eastAsia"/>
          <w:b/>
          <w:bCs/>
          <w:sz w:val="24"/>
          <w:szCs w:val="28"/>
        </w:rPr>
        <w:t xml:space="preserve">S3. </w:t>
      </w:r>
      <w:r w:rsidR="00160AD7" w:rsidRPr="00160AD7">
        <w:rPr>
          <w:rFonts w:ascii="Times New Roman" w:hAnsi="Times New Roman" w:cs="Times New Roman" w:hint="eastAsia"/>
          <w:b/>
          <w:bCs/>
          <w:sz w:val="24"/>
          <w:szCs w:val="28"/>
        </w:rPr>
        <w:t>Applying the</w:t>
      </w:r>
      <w:r w:rsidRPr="00266275">
        <w:rPr>
          <w:rFonts w:ascii="Times New Roman" w:hAnsi="Times New Roman" w:cs="Times New Roman"/>
          <w:b/>
          <w:bCs/>
          <w:sz w:val="24"/>
          <w:szCs w:val="28"/>
        </w:rPr>
        <w:t xml:space="preserve"> G–C–H framework</w:t>
      </w:r>
    </w:p>
    <w:p w14:paraId="1F3F53FC" w14:textId="3347F89B" w:rsidR="00160AD7" w:rsidRPr="00160AD7" w:rsidRDefault="00160AD7" w:rsidP="00160AD7">
      <w:pPr>
        <w:ind w:firstLineChars="200" w:firstLine="420"/>
        <w:rPr>
          <w:rFonts w:ascii="Times New Roman" w:hAnsi="Times New Roman" w:cs="Times New Roman"/>
        </w:rPr>
      </w:pPr>
      <w:r w:rsidRPr="00160AD7">
        <w:rPr>
          <w:rFonts w:ascii="Times New Roman" w:hAnsi="Times New Roman" w:cs="Times New Roman" w:hint="eastAsia"/>
        </w:rPr>
        <w:t>The framework was applied through six analytical operations. First, the policy intervention was identified by examining how rangeland reform reshaped land-use rights and transfer arrangements. Second, the community mediation mechanism was assessed by comparing whether customary institutions were replaced, weakened, or incorporated into the new governance arrangement. Third, household response was traced through changes in grazing mobility, livestock production, and access to rangeland resources. Fourth, the observed outcomes were mapped onto the resilience dimensions in the framework, especially self-organization, strategy adjustment, and buffering capacity. Fifth, enabling and constraining mechanisms were identified by comparing whether the governance arrangement preserved reciprocity, reduced production costs, limited wealth differentiation, or created new forms of exclusion. Finally, diagnostic outputs were derived by asking what the framework reveals about the links among policy design, community mediation, household adaptation, and livelihood resilience.</w:t>
      </w:r>
    </w:p>
    <w:p w14:paraId="1E74C963" w14:textId="5B85B39A" w:rsidR="00266275" w:rsidRDefault="00160AD7" w:rsidP="00160AD7">
      <w:pPr>
        <w:ind w:firstLineChars="200" w:firstLine="420"/>
        <w:rPr>
          <w:rFonts w:ascii="Times New Roman" w:hAnsi="Times New Roman" w:cs="Times New Roman"/>
        </w:rPr>
      </w:pPr>
      <w:r w:rsidRPr="00160AD7">
        <w:rPr>
          <w:rFonts w:ascii="Times New Roman" w:hAnsi="Times New Roman" w:cs="Times New Roman" w:hint="eastAsia"/>
        </w:rPr>
        <w:lastRenderedPageBreak/>
        <w:t>This procedure demonstrates how the framework can move beyond a descriptive representation of actors. It provides a structured way to examine how public intervention is organized, how community institutions mediate or fail to mediate that intervention, how households adjust livelihood behavior, which resilience dimensions are strengthened or weakened, and where exclusion, dependence, or feedback loss may emerge.</w:t>
      </w:r>
    </w:p>
    <w:p w14:paraId="400A3C1D" w14:textId="2A08ADC9" w:rsidR="00160AD7" w:rsidRPr="00160AD7" w:rsidRDefault="00160AD7" w:rsidP="00160AD7">
      <w:pPr>
        <w:jc w:val="center"/>
        <w:rPr>
          <w:rFonts w:ascii="Times New Roman" w:hAnsi="Times New Roman" w:cs="Times New Roman"/>
          <w:b/>
          <w:bCs/>
        </w:rPr>
      </w:pPr>
      <w:r w:rsidRPr="00160AD7">
        <w:rPr>
          <w:rFonts w:ascii="Times New Roman" w:hAnsi="Times New Roman" w:cs="Times New Roman"/>
          <w:b/>
          <w:bCs/>
        </w:rPr>
        <w:t>Table S</w:t>
      </w:r>
      <w:r w:rsidR="0062112F">
        <w:rPr>
          <w:rFonts w:ascii="Times New Roman" w:hAnsi="Times New Roman" w:cs="Times New Roman" w:hint="eastAsia"/>
          <w:b/>
          <w:bCs/>
        </w:rPr>
        <w:t>9</w:t>
      </w:r>
      <w:r w:rsidRPr="00160AD7">
        <w:rPr>
          <w:rFonts w:ascii="Times New Roman" w:hAnsi="Times New Roman" w:cs="Times New Roman"/>
          <w:b/>
          <w:bCs/>
        </w:rPr>
        <w:t xml:space="preserve">. Operational diagnosis of the </w:t>
      </w:r>
      <w:proofErr w:type="spellStart"/>
      <w:r w:rsidRPr="00160AD7">
        <w:rPr>
          <w:rFonts w:ascii="Times New Roman" w:hAnsi="Times New Roman" w:cs="Times New Roman"/>
          <w:b/>
          <w:bCs/>
        </w:rPr>
        <w:t>Axi</w:t>
      </w:r>
      <w:proofErr w:type="spellEnd"/>
      <w:r w:rsidRPr="00160AD7">
        <w:rPr>
          <w:rFonts w:ascii="Times New Roman" w:hAnsi="Times New Roman" w:cs="Times New Roman"/>
          <w:b/>
          <w:bCs/>
        </w:rPr>
        <w:t xml:space="preserve"> and </w:t>
      </w:r>
      <w:proofErr w:type="spellStart"/>
      <w:r w:rsidRPr="00160AD7">
        <w:rPr>
          <w:rFonts w:ascii="Times New Roman" w:hAnsi="Times New Roman" w:cs="Times New Roman"/>
          <w:b/>
          <w:bCs/>
        </w:rPr>
        <w:t>Xiareer</w:t>
      </w:r>
      <w:proofErr w:type="spellEnd"/>
      <w:r w:rsidRPr="00160AD7">
        <w:rPr>
          <w:rFonts w:ascii="Times New Roman" w:hAnsi="Times New Roman" w:cs="Times New Roman"/>
          <w:b/>
          <w:bCs/>
        </w:rPr>
        <w:t xml:space="preserve"> rangeland governance case through the G–C–H framework</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1477"/>
        <w:gridCol w:w="2126"/>
        <w:gridCol w:w="1928"/>
        <w:gridCol w:w="1705"/>
      </w:tblGrid>
      <w:tr w:rsidR="00160AD7" w:rsidRPr="00BD52DD" w14:paraId="226C2BD3" w14:textId="77777777" w:rsidTr="009715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tcBorders>
              <w:top w:val="single" w:sz="12" w:space="0" w:color="auto"/>
              <w:bottom w:val="single" w:sz="4" w:space="0" w:color="auto"/>
            </w:tcBorders>
            <w:shd w:val="clear" w:color="auto" w:fill="auto"/>
            <w:vAlign w:val="center"/>
            <w:hideMark/>
          </w:tcPr>
          <w:p w14:paraId="17C09C41" w14:textId="4C68A870" w:rsidR="00160AD7" w:rsidRPr="00266275" w:rsidRDefault="00160AD7" w:rsidP="00160AD7">
            <w:pPr>
              <w:adjustRightInd w:val="0"/>
              <w:snapToGrid w:val="0"/>
              <w:rPr>
                <w:rFonts w:ascii="Times New Roman" w:hAnsi="Times New Roman" w:cs="Times New Roman"/>
                <w:sz w:val="16"/>
                <w:szCs w:val="18"/>
              </w:rPr>
            </w:pPr>
            <w:r w:rsidRPr="00160AD7">
              <w:rPr>
                <w:rFonts w:ascii="Times New Roman" w:hAnsi="Times New Roman" w:cs="Times New Roman"/>
                <w:sz w:val="16"/>
                <w:szCs w:val="18"/>
              </w:rPr>
              <w:t>Analytical operation</w:t>
            </w:r>
          </w:p>
        </w:tc>
        <w:tc>
          <w:tcPr>
            <w:tcW w:w="1477" w:type="dxa"/>
            <w:tcBorders>
              <w:top w:val="single" w:sz="12" w:space="0" w:color="auto"/>
              <w:bottom w:val="single" w:sz="4" w:space="0" w:color="auto"/>
            </w:tcBorders>
            <w:shd w:val="clear" w:color="auto" w:fill="auto"/>
            <w:vAlign w:val="center"/>
            <w:hideMark/>
          </w:tcPr>
          <w:p w14:paraId="53372E9F" w14:textId="73B4DF44" w:rsidR="00160AD7" w:rsidRPr="00266275" w:rsidRDefault="00160AD7" w:rsidP="00160AD7">
            <w:pPr>
              <w:adjustRightInd w:val="0"/>
              <w:snapToGri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Operational question</w:t>
            </w:r>
          </w:p>
        </w:tc>
        <w:tc>
          <w:tcPr>
            <w:tcW w:w="2126" w:type="dxa"/>
            <w:tcBorders>
              <w:top w:val="single" w:sz="12" w:space="0" w:color="auto"/>
              <w:bottom w:val="single" w:sz="4" w:space="0" w:color="auto"/>
            </w:tcBorders>
            <w:shd w:val="clear" w:color="auto" w:fill="auto"/>
            <w:vAlign w:val="center"/>
            <w:hideMark/>
          </w:tcPr>
          <w:p w14:paraId="07046EC5" w14:textId="24E0EE5C" w:rsidR="00160AD7" w:rsidRPr="00266275" w:rsidRDefault="00160AD7" w:rsidP="00160AD7">
            <w:pPr>
              <w:adjustRightInd w:val="0"/>
              <w:snapToGri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Case evidence used</w:t>
            </w:r>
          </w:p>
        </w:tc>
        <w:tc>
          <w:tcPr>
            <w:tcW w:w="1928" w:type="dxa"/>
            <w:tcBorders>
              <w:top w:val="single" w:sz="12" w:space="0" w:color="auto"/>
              <w:bottom w:val="single" w:sz="4" w:space="0" w:color="auto"/>
            </w:tcBorders>
            <w:shd w:val="clear" w:color="auto" w:fill="auto"/>
            <w:vAlign w:val="center"/>
            <w:hideMark/>
          </w:tcPr>
          <w:p w14:paraId="501A2959" w14:textId="7BC8CDB8" w:rsidR="00160AD7" w:rsidRPr="00266275" w:rsidRDefault="00160AD7" w:rsidP="00160AD7">
            <w:pPr>
              <w:adjustRightInd w:val="0"/>
              <w:snapToGri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Diagnostic output</w:t>
            </w:r>
          </w:p>
        </w:tc>
        <w:tc>
          <w:tcPr>
            <w:tcW w:w="0" w:type="auto"/>
            <w:tcBorders>
              <w:top w:val="single" w:sz="12" w:space="0" w:color="auto"/>
              <w:bottom w:val="single" w:sz="4" w:space="0" w:color="auto"/>
            </w:tcBorders>
            <w:shd w:val="clear" w:color="auto" w:fill="auto"/>
            <w:vAlign w:val="center"/>
            <w:hideMark/>
          </w:tcPr>
          <w:p w14:paraId="16B11480" w14:textId="60AE84F8" w:rsidR="00160AD7" w:rsidRPr="00266275" w:rsidRDefault="00160AD7" w:rsidP="00160AD7">
            <w:pPr>
              <w:adjustRightInd w:val="0"/>
              <w:snapToGrid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What the framework reveals</w:t>
            </w:r>
          </w:p>
        </w:tc>
      </w:tr>
      <w:tr w:rsidR="00160AD7" w:rsidRPr="00BD52DD" w14:paraId="5A7269B5" w14:textId="77777777" w:rsidTr="009715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tcBorders>
              <w:top w:val="single" w:sz="4" w:space="0" w:color="auto"/>
            </w:tcBorders>
            <w:shd w:val="clear" w:color="auto" w:fill="auto"/>
            <w:vAlign w:val="center"/>
            <w:hideMark/>
          </w:tcPr>
          <w:p w14:paraId="2AD9EF68" w14:textId="2663F0B2" w:rsidR="00160AD7" w:rsidRPr="00266275" w:rsidRDefault="00160AD7" w:rsidP="00160AD7">
            <w:pPr>
              <w:adjustRightInd w:val="0"/>
              <w:snapToGrid w:val="0"/>
              <w:rPr>
                <w:rFonts w:ascii="Times New Roman" w:hAnsi="Times New Roman" w:cs="Times New Roman"/>
                <w:sz w:val="16"/>
                <w:szCs w:val="18"/>
              </w:rPr>
            </w:pPr>
            <w:r w:rsidRPr="00160AD7">
              <w:rPr>
                <w:rFonts w:ascii="Times New Roman" w:hAnsi="Times New Roman" w:cs="Times New Roman"/>
                <w:sz w:val="16"/>
                <w:szCs w:val="18"/>
              </w:rPr>
              <w:t>Identify government intervention</w:t>
            </w:r>
          </w:p>
        </w:tc>
        <w:tc>
          <w:tcPr>
            <w:tcW w:w="1477" w:type="dxa"/>
            <w:tcBorders>
              <w:top w:val="single" w:sz="4" w:space="0" w:color="auto"/>
            </w:tcBorders>
            <w:shd w:val="clear" w:color="auto" w:fill="auto"/>
            <w:vAlign w:val="center"/>
            <w:hideMark/>
          </w:tcPr>
          <w:p w14:paraId="05C233A3" w14:textId="4F4FCF57"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What public policy or institutional reform changed the governance setting?</w:t>
            </w:r>
          </w:p>
        </w:tc>
        <w:tc>
          <w:tcPr>
            <w:tcW w:w="2126" w:type="dxa"/>
            <w:tcBorders>
              <w:top w:val="single" w:sz="4" w:space="0" w:color="auto"/>
            </w:tcBorders>
            <w:shd w:val="clear" w:color="auto" w:fill="auto"/>
            <w:vAlign w:val="center"/>
            <w:hideMark/>
          </w:tcPr>
          <w:p w14:paraId="0643B94D" w14:textId="70D5E100"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Rangeland reform promoted individualized use rights and market-based transfer of contracted grazing land.</w:t>
            </w:r>
          </w:p>
        </w:tc>
        <w:tc>
          <w:tcPr>
            <w:tcW w:w="1928" w:type="dxa"/>
            <w:tcBorders>
              <w:top w:val="single" w:sz="4" w:space="0" w:color="auto"/>
            </w:tcBorders>
            <w:shd w:val="clear" w:color="auto" w:fill="auto"/>
            <w:vAlign w:val="center"/>
            <w:hideMark/>
          </w:tcPr>
          <w:p w14:paraId="6F288494" w14:textId="3AF22466"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The “G” component operated mainly through institutional redesign rather than direct service delivery.</w:t>
            </w:r>
          </w:p>
        </w:tc>
        <w:tc>
          <w:tcPr>
            <w:tcW w:w="0" w:type="auto"/>
            <w:tcBorders>
              <w:top w:val="single" w:sz="4" w:space="0" w:color="auto"/>
            </w:tcBorders>
            <w:shd w:val="clear" w:color="auto" w:fill="auto"/>
            <w:vAlign w:val="center"/>
            <w:hideMark/>
          </w:tcPr>
          <w:p w14:paraId="00731828" w14:textId="0A455F72"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The framework directs attention to how public policy changes the rules through which households access livelihood resources.</w:t>
            </w:r>
          </w:p>
        </w:tc>
      </w:tr>
      <w:tr w:rsidR="00160AD7" w:rsidRPr="00BD52DD" w14:paraId="329159B0" w14:textId="77777777" w:rsidTr="0097156C">
        <w:tc>
          <w:tcPr>
            <w:cnfStyle w:val="001000000000" w:firstRow="0" w:lastRow="0" w:firstColumn="1" w:lastColumn="0" w:oddVBand="0" w:evenVBand="0" w:oddHBand="0" w:evenHBand="0" w:firstRowFirstColumn="0" w:firstRowLastColumn="0" w:lastRowFirstColumn="0" w:lastRowLastColumn="0"/>
            <w:tcW w:w="1070" w:type="dxa"/>
            <w:shd w:val="clear" w:color="auto" w:fill="auto"/>
            <w:vAlign w:val="center"/>
            <w:hideMark/>
          </w:tcPr>
          <w:p w14:paraId="724E20EA" w14:textId="0831882D" w:rsidR="00160AD7" w:rsidRPr="00266275" w:rsidRDefault="00160AD7" w:rsidP="00160AD7">
            <w:pPr>
              <w:adjustRightInd w:val="0"/>
              <w:snapToGrid w:val="0"/>
              <w:rPr>
                <w:rFonts w:ascii="Times New Roman" w:hAnsi="Times New Roman" w:cs="Times New Roman"/>
                <w:sz w:val="16"/>
                <w:szCs w:val="18"/>
              </w:rPr>
            </w:pPr>
            <w:r w:rsidRPr="00160AD7">
              <w:rPr>
                <w:rFonts w:ascii="Times New Roman" w:hAnsi="Times New Roman" w:cs="Times New Roman"/>
                <w:sz w:val="16"/>
                <w:szCs w:val="18"/>
              </w:rPr>
              <w:t>Assess community mediation</w:t>
            </w:r>
          </w:p>
        </w:tc>
        <w:tc>
          <w:tcPr>
            <w:tcW w:w="1477" w:type="dxa"/>
            <w:shd w:val="clear" w:color="auto" w:fill="auto"/>
            <w:vAlign w:val="center"/>
            <w:hideMark/>
          </w:tcPr>
          <w:p w14:paraId="3A51A659" w14:textId="4F45232E"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Did community institutions translate, modify, or buffer the policy intervention?</w:t>
            </w:r>
          </w:p>
        </w:tc>
        <w:tc>
          <w:tcPr>
            <w:tcW w:w="2126" w:type="dxa"/>
            <w:shd w:val="clear" w:color="auto" w:fill="auto"/>
            <w:vAlign w:val="center"/>
            <w:hideMark/>
          </w:tcPr>
          <w:p w14:paraId="69676930" w14:textId="4844C9FE"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 xml:space="preserve">In </w:t>
            </w:r>
            <w:proofErr w:type="spellStart"/>
            <w:r w:rsidRPr="00160AD7">
              <w:rPr>
                <w:rFonts w:ascii="Times New Roman" w:hAnsi="Times New Roman" w:cs="Times New Roman"/>
                <w:sz w:val="16"/>
                <w:szCs w:val="18"/>
              </w:rPr>
              <w:t>Axi</w:t>
            </w:r>
            <w:proofErr w:type="spellEnd"/>
            <w:r w:rsidRPr="00160AD7">
              <w:rPr>
                <w:rFonts w:ascii="Times New Roman" w:hAnsi="Times New Roman" w:cs="Times New Roman"/>
                <w:sz w:val="16"/>
                <w:szCs w:val="18"/>
              </w:rPr>
              <w:t xml:space="preserve">, market-based transfer largely replaced customary management. In </w:t>
            </w:r>
            <w:proofErr w:type="spellStart"/>
            <w:r w:rsidRPr="00160AD7">
              <w:rPr>
                <w:rFonts w:ascii="Times New Roman" w:hAnsi="Times New Roman" w:cs="Times New Roman"/>
                <w:sz w:val="16"/>
                <w:szCs w:val="18"/>
              </w:rPr>
              <w:t>Xiareer</w:t>
            </w:r>
            <w:proofErr w:type="spellEnd"/>
            <w:r w:rsidRPr="00160AD7">
              <w:rPr>
                <w:rFonts w:ascii="Times New Roman" w:hAnsi="Times New Roman" w:cs="Times New Roman"/>
                <w:sz w:val="16"/>
                <w:szCs w:val="18"/>
              </w:rPr>
              <w:t>, market mechanisms were embedded in community grazing quotas and livestock loan arrangements.</w:t>
            </w:r>
          </w:p>
        </w:tc>
        <w:tc>
          <w:tcPr>
            <w:tcW w:w="1928" w:type="dxa"/>
            <w:shd w:val="clear" w:color="auto" w:fill="auto"/>
            <w:vAlign w:val="center"/>
            <w:hideMark/>
          </w:tcPr>
          <w:p w14:paraId="3F3B53DE" w14:textId="09C1310E"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 xml:space="preserve">Community mediation was the key difference between the two villages. Stronger mediation in </w:t>
            </w:r>
            <w:proofErr w:type="spellStart"/>
            <w:r w:rsidRPr="00160AD7">
              <w:rPr>
                <w:rFonts w:ascii="Times New Roman" w:hAnsi="Times New Roman" w:cs="Times New Roman"/>
                <w:sz w:val="16"/>
                <w:szCs w:val="18"/>
              </w:rPr>
              <w:t>Xiareer</w:t>
            </w:r>
            <w:proofErr w:type="spellEnd"/>
            <w:r w:rsidRPr="00160AD7">
              <w:rPr>
                <w:rFonts w:ascii="Times New Roman" w:hAnsi="Times New Roman" w:cs="Times New Roman"/>
                <w:sz w:val="16"/>
                <w:szCs w:val="18"/>
              </w:rPr>
              <w:t xml:space="preserve"> helped preserve reciprocity and flexible resource access.</w:t>
            </w:r>
          </w:p>
        </w:tc>
        <w:tc>
          <w:tcPr>
            <w:tcW w:w="0" w:type="auto"/>
            <w:shd w:val="clear" w:color="auto" w:fill="auto"/>
            <w:vAlign w:val="center"/>
            <w:hideMark/>
          </w:tcPr>
          <w:p w14:paraId="620D4809" w14:textId="7A060239"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The framework shows that community mediation can determine whether the same reform pathway produces adaptive flexibility or unequal access.</w:t>
            </w:r>
          </w:p>
        </w:tc>
      </w:tr>
      <w:tr w:rsidR="00160AD7" w:rsidRPr="00BD52DD" w14:paraId="390D6B1F" w14:textId="77777777" w:rsidTr="009715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shd w:val="clear" w:color="auto" w:fill="auto"/>
            <w:vAlign w:val="center"/>
            <w:hideMark/>
          </w:tcPr>
          <w:p w14:paraId="0D2A754E" w14:textId="60B63022" w:rsidR="00160AD7" w:rsidRPr="00266275" w:rsidRDefault="00160AD7" w:rsidP="00160AD7">
            <w:pPr>
              <w:adjustRightInd w:val="0"/>
              <w:snapToGrid w:val="0"/>
              <w:rPr>
                <w:rFonts w:ascii="Times New Roman" w:hAnsi="Times New Roman" w:cs="Times New Roman"/>
                <w:sz w:val="16"/>
                <w:szCs w:val="18"/>
              </w:rPr>
            </w:pPr>
            <w:r w:rsidRPr="00160AD7">
              <w:rPr>
                <w:rFonts w:ascii="Times New Roman" w:hAnsi="Times New Roman" w:cs="Times New Roman"/>
                <w:sz w:val="16"/>
                <w:szCs w:val="18"/>
              </w:rPr>
              <w:t>Trace household response</w:t>
            </w:r>
          </w:p>
        </w:tc>
        <w:tc>
          <w:tcPr>
            <w:tcW w:w="1477" w:type="dxa"/>
            <w:shd w:val="clear" w:color="auto" w:fill="auto"/>
            <w:vAlign w:val="center"/>
            <w:hideMark/>
          </w:tcPr>
          <w:p w14:paraId="30E2E5F0" w14:textId="5ABEA672"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How did households adjust production or resource-use strategies?</w:t>
            </w:r>
          </w:p>
        </w:tc>
        <w:tc>
          <w:tcPr>
            <w:tcW w:w="2126" w:type="dxa"/>
            <w:shd w:val="clear" w:color="auto" w:fill="auto"/>
            <w:vAlign w:val="center"/>
            <w:hideMark/>
          </w:tcPr>
          <w:p w14:paraId="0B9BEF4C" w14:textId="435239E5"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 xml:space="preserve">In </w:t>
            </w:r>
            <w:proofErr w:type="spellStart"/>
            <w:r w:rsidRPr="00160AD7">
              <w:rPr>
                <w:rFonts w:ascii="Times New Roman" w:hAnsi="Times New Roman" w:cs="Times New Roman"/>
                <w:sz w:val="16"/>
                <w:szCs w:val="18"/>
              </w:rPr>
              <w:t>Axi</w:t>
            </w:r>
            <w:proofErr w:type="spellEnd"/>
            <w:r w:rsidRPr="00160AD7">
              <w:rPr>
                <w:rFonts w:ascii="Times New Roman" w:hAnsi="Times New Roman" w:cs="Times New Roman"/>
                <w:sz w:val="16"/>
                <w:szCs w:val="18"/>
              </w:rPr>
              <w:t xml:space="preserve">, grazing mobility became more dependent on the ability to rent additional rangeland. In </w:t>
            </w:r>
            <w:proofErr w:type="spellStart"/>
            <w:r w:rsidRPr="00160AD7">
              <w:rPr>
                <w:rFonts w:ascii="Times New Roman" w:hAnsi="Times New Roman" w:cs="Times New Roman"/>
                <w:sz w:val="16"/>
                <w:szCs w:val="18"/>
              </w:rPr>
              <w:t>Xiareer</w:t>
            </w:r>
            <w:proofErr w:type="spellEnd"/>
            <w:r w:rsidRPr="00160AD7">
              <w:rPr>
                <w:rFonts w:ascii="Times New Roman" w:hAnsi="Times New Roman" w:cs="Times New Roman"/>
                <w:sz w:val="16"/>
                <w:szCs w:val="18"/>
              </w:rPr>
              <w:t>, households retained more equal opportunities to access grazing resources.</w:t>
            </w:r>
          </w:p>
        </w:tc>
        <w:tc>
          <w:tcPr>
            <w:tcW w:w="1928" w:type="dxa"/>
            <w:shd w:val="clear" w:color="auto" w:fill="auto"/>
            <w:vAlign w:val="center"/>
            <w:hideMark/>
          </w:tcPr>
          <w:p w14:paraId="7837F88B" w14:textId="10BDD586"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Household adaptation was shaped by whether households could maintain mobility, manage production costs, and access shared resources.</w:t>
            </w:r>
          </w:p>
        </w:tc>
        <w:tc>
          <w:tcPr>
            <w:tcW w:w="0" w:type="auto"/>
            <w:shd w:val="clear" w:color="auto" w:fill="auto"/>
            <w:vAlign w:val="center"/>
            <w:hideMark/>
          </w:tcPr>
          <w:p w14:paraId="1646E6B5" w14:textId="0A51D133"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Household response is not merely individual choice; it is shaped by the institutional conditions created by policy and community mediation.</w:t>
            </w:r>
          </w:p>
        </w:tc>
      </w:tr>
      <w:tr w:rsidR="00160AD7" w:rsidRPr="00BD52DD" w14:paraId="1B7BA267" w14:textId="77777777" w:rsidTr="0097156C">
        <w:tc>
          <w:tcPr>
            <w:cnfStyle w:val="001000000000" w:firstRow="0" w:lastRow="0" w:firstColumn="1" w:lastColumn="0" w:oddVBand="0" w:evenVBand="0" w:oddHBand="0" w:evenHBand="0" w:firstRowFirstColumn="0" w:firstRowLastColumn="0" w:lastRowFirstColumn="0" w:lastRowLastColumn="0"/>
            <w:tcW w:w="1070" w:type="dxa"/>
            <w:shd w:val="clear" w:color="auto" w:fill="auto"/>
            <w:vAlign w:val="center"/>
            <w:hideMark/>
          </w:tcPr>
          <w:p w14:paraId="52D35509" w14:textId="6513FFAA" w:rsidR="00160AD7" w:rsidRPr="00266275" w:rsidRDefault="00160AD7" w:rsidP="00160AD7">
            <w:pPr>
              <w:adjustRightInd w:val="0"/>
              <w:snapToGrid w:val="0"/>
              <w:rPr>
                <w:rFonts w:ascii="Times New Roman" w:hAnsi="Times New Roman" w:cs="Times New Roman"/>
                <w:sz w:val="16"/>
                <w:szCs w:val="18"/>
              </w:rPr>
            </w:pPr>
            <w:r w:rsidRPr="00160AD7">
              <w:rPr>
                <w:rFonts w:ascii="Times New Roman" w:hAnsi="Times New Roman" w:cs="Times New Roman"/>
                <w:sz w:val="16"/>
                <w:szCs w:val="18"/>
              </w:rPr>
              <w:t>Map resilience dimensions</w:t>
            </w:r>
          </w:p>
        </w:tc>
        <w:tc>
          <w:tcPr>
            <w:tcW w:w="1477" w:type="dxa"/>
            <w:shd w:val="clear" w:color="auto" w:fill="auto"/>
            <w:vAlign w:val="center"/>
            <w:hideMark/>
          </w:tcPr>
          <w:p w14:paraId="10720CC5" w14:textId="0DE16902"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Which resilience dimensions were strengthened or weakened?</w:t>
            </w:r>
          </w:p>
        </w:tc>
        <w:tc>
          <w:tcPr>
            <w:tcW w:w="2126" w:type="dxa"/>
            <w:shd w:val="clear" w:color="auto" w:fill="auto"/>
            <w:vAlign w:val="center"/>
            <w:hideMark/>
          </w:tcPr>
          <w:p w14:paraId="02609486" w14:textId="07B22683"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proofErr w:type="spellStart"/>
            <w:r w:rsidRPr="00160AD7">
              <w:rPr>
                <w:rFonts w:ascii="Times New Roman" w:hAnsi="Times New Roman" w:cs="Times New Roman"/>
                <w:sz w:val="16"/>
                <w:szCs w:val="18"/>
              </w:rPr>
              <w:t>Xiareer</w:t>
            </w:r>
            <w:proofErr w:type="spellEnd"/>
            <w:r w:rsidRPr="00160AD7">
              <w:rPr>
                <w:rFonts w:ascii="Times New Roman" w:hAnsi="Times New Roman" w:cs="Times New Roman"/>
                <w:sz w:val="16"/>
                <w:szCs w:val="18"/>
              </w:rPr>
              <w:t xml:space="preserve"> strengthened self-organization, strategy adjustment, and buffering capacity through collective rules and resource-sharing arrangements. </w:t>
            </w:r>
            <w:proofErr w:type="spellStart"/>
            <w:r w:rsidRPr="00160AD7">
              <w:rPr>
                <w:rFonts w:ascii="Times New Roman" w:hAnsi="Times New Roman" w:cs="Times New Roman"/>
                <w:sz w:val="16"/>
                <w:szCs w:val="18"/>
              </w:rPr>
              <w:t>Axi</w:t>
            </w:r>
            <w:proofErr w:type="spellEnd"/>
            <w:r w:rsidRPr="00160AD7">
              <w:rPr>
                <w:rFonts w:ascii="Times New Roman" w:hAnsi="Times New Roman" w:cs="Times New Roman"/>
                <w:sz w:val="16"/>
                <w:szCs w:val="18"/>
              </w:rPr>
              <w:t xml:space="preserve"> showed weaker buffering and greater asset differentiation.</w:t>
            </w:r>
          </w:p>
        </w:tc>
        <w:tc>
          <w:tcPr>
            <w:tcW w:w="1928" w:type="dxa"/>
            <w:shd w:val="clear" w:color="auto" w:fill="auto"/>
            <w:vAlign w:val="center"/>
            <w:hideMark/>
          </w:tcPr>
          <w:p w14:paraId="4E2E7993" w14:textId="2ABF32DA"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The same broad reform context activated different resilience dimensions depending on the strength of community mediation.</w:t>
            </w:r>
          </w:p>
        </w:tc>
        <w:tc>
          <w:tcPr>
            <w:tcW w:w="0" w:type="auto"/>
            <w:shd w:val="clear" w:color="auto" w:fill="auto"/>
            <w:vAlign w:val="center"/>
            <w:hideMark/>
          </w:tcPr>
          <w:p w14:paraId="67FACC47" w14:textId="41D983E4"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The framework helps separate resilience dimensions rather than treating livelihood outcomes as a single aggregate effect.</w:t>
            </w:r>
          </w:p>
        </w:tc>
      </w:tr>
      <w:tr w:rsidR="00160AD7" w:rsidRPr="00BD52DD" w14:paraId="77F71B8A" w14:textId="77777777" w:rsidTr="009715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shd w:val="clear" w:color="auto" w:fill="auto"/>
            <w:vAlign w:val="center"/>
            <w:hideMark/>
          </w:tcPr>
          <w:p w14:paraId="7111FE64" w14:textId="7BEA4572" w:rsidR="00160AD7" w:rsidRPr="00266275" w:rsidRDefault="00160AD7" w:rsidP="00160AD7">
            <w:pPr>
              <w:adjustRightInd w:val="0"/>
              <w:snapToGrid w:val="0"/>
              <w:rPr>
                <w:rFonts w:ascii="Times New Roman" w:hAnsi="Times New Roman" w:cs="Times New Roman"/>
                <w:sz w:val="16"/>
                <w:szCs w:val="18"/>
              </w:rPr>
            </w:pPr>
            <w:r w:rsidRPr="00160AD7">
              <w:rPr>
                <w:rFonts w:ascii="Times New Roman" w:hAnsi="Times New Roman" w:cs="Times New Roman"/>
                <w:sz w:val="16"/>
                <w:szCs w:val="18"/>
              </w:rPr>
              <w:t>Identify enabling mechanisms</w:t>
            </w:r>
          </w:p>
        </w:tc>
        <w:tc>
          <w:tcPr>
            <w:tcW w:w="1477" w:type="dxa"/>
            <w:shd w:val="clear" w:color="auto" w:fill="auto"/>
            <w:vAlign w:val="center"/>
            <w:hideMark/>
          </w:tcPr>
          <w:p w14:paraId="5A592C47" w14:textId="263C96B8"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What mechanisms supported resilience-enhancing outcomes?</w:t>
            </w:r>
          </w:p>
        </w:tc>
        <w:tc>
          <w:tcPr>
            <w:tcW w:w="2126" w:type="dxa"/>
            <w:shd w:val="clear" w:color="auto" w:fill="auto"/>
            <w:vAlign w:val="center"/>
            <w:hideMark/>
          </w:tcPr>
          <w:p w14:paraId="2A0473A4" w14:textId="1E1DA793"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proofErr w:type="spellStart"/>
            <w:r w:rsidRPr="00160AD7">
              <w:rPr>
                <w:rFonts w:ascii="Times New Roman" w:hAnsi="Times New Roman" w:cs="Times New Roman"/>
                <w:sz w:val="16"/>
                <w:szCs w:val="18"/>
              </w:rPr>
              <w:t>Xiareer</w:t>
            </w:r>
            <w:proofErr w:type="spellEnd"/>
            <w:r w:rsidRPr="00160AD7">
              <w:rPr>
                <w:rFonts w:ascii="Times New Roman" w:hAnsi="Times New Roman" w:cs="Times New Roman"/>
                <w:sz w:val="16"/>
                <w:szCs w:val="18"/>
              </w:rPr>
              <w:t xml:space="preserve"> combined market instruments with customary institutions, grazing quotas, livestock loans, and collective regulation.</w:t>
            </w:r>
          </w:p>
        </w:tc>
        <w:tc>
          <w:tcPr>
            <w:tcW w:w="1928" w:type="dxa"/>
            <w:shd w:val="clear" w:color="auto" w:fill="auto"/>
            <w:vAlign w:val="center"/>
            <w:hideMark/>
          </w:tcPr>
          <w:p w14:paraId="07D517E0" w14:textId="437F1D71"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Institutional embeddedness helped align policy reform with ecological variability and pastoral production needs.</w:t>
            </w:r>
          </w:p>
        </w:tc>
        <w:tc>
          <w:tcPr>
            <w:tcW w:w="0" w:type="auto"/>
            <w:shd w:val="clear" w:color="auto" w:fill="auto"/>
            <w:vAlign w:val="center"/>
            <w:hideMark/>
          </w:tcPr>
          <w:p w14:paraId="15018FD2" w14:textId="5A7FEE28"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Enabling mechanisms emerged when formal reform was embedded in locally legitimate institutions.</w:t>
            </w:r>
          </w:p>
        </w:tc>
      </w:tr>
      <w:tr w:rsidR="00160AD7" w:rsidRPr="00BD52DD" w14:paraId="31ECDA1D" w14:textId="77777777" w:rsidTr="0097156C">
        <w:tc>
          <w:tcPr>
            <w:cnfStyle w:val="001000000000" w:firstRow="0" w:lastRow="0" w:firstColumn="1" w:lastColumn="0" w:oddVBand="0" w:evenVBand="0" w:oddHBand="0" w:evenHBand="0" w:firstRowFirstColumn="0" w:firstRowLastColumn="0" w:lastRowFirstColumn="0" w:lastRowLastColumn="0"/>
            <w:tcW w:w="1070" w:type="dxa"/>
            <w:shd w:val="clear" w:color="auto" w:fill="auto"/>
            <w:vAlign w:val="center"/>
            <w:hideMark/>
          </w:tcPr>
          <w:p w14:paraId="5DE87C6F" w14:textId="4F5C6D7F" w:rsidR="00160AD7" w:rsidRPr="00266275" w:rsidRDefault="00160AD7" w:rsidP="00160AD7">
            <w:pPr>
              <w:adjustRightInd w:val="0"/>
              <w:snapToGrid w:val="0"/>
              <w:rPr>
                <w:rFonts w:ascii="Times New Roman" w:hAnsi="Times New Roman" w:cs="Times New Roman"/>
                <w:sz w:val="16"/>
                <w:szCs w:val="18"/>
              </w:rPr>
            </w:pPr>
            <w:r w:rsidRPr="00160AD7">
              <w:rPr>
                <w:rFonts w:ascii="Times New Roman" w:hAnsi="Times New Roman" w:cs="Times New Roman"/>
                <w:sz w:val="16"/>
                <w:szCs w:val="18"/>
              </w:rPr>
              <w:t>Identify constraining mechanisms</w:t>
            </w:r>
          </w:p>
        </w:tc>
        <w:tc>
          <w:tcPr>
            <w:tcW w:w="1477" w:type="dxa"/>
            <w:shd w:val="clear" w:color="auto" w:fill="auto"/>
            <w:vAlign w:val="center"/>
            <w:hideMark/>
          </w:tcPr>
          <w:p w14:paraId="3AFA9F8B" w14:textId="0EA52C9A"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What mechanisms generated vulnerability or exclusion?</w:t>
            </w:r>
          </w:p>
        </w:tc>
        <w:tc>
          <w:tcPr>
            <w:tcW w:w="2126" w:type="dxa"/>
            <w:shd w:val="clear" w:color="auto" w:fill="auto"/>
            <w:vAlign w:val="center"/>
            <w:hideMark/>
          </w:tcPr>
          <w:p w14:paraId="3BC75C95" w14:textId="0BFA1619"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 xml:space="preserve">In </w:t>
            </w:r>
            <w:proofErr w:type="spellStart"/>
            <w:r w:rsidRPr="00160AD7">
              <w:rPr>
                <w:rFonts w:ascii="Times New Roman" w:hAnsi="Times New Roman" w:cs="Times New Roman"/>
                <w:sz w:val="16"/>
                <w:szCs w:val="18"/>
              </w:rPr>
              <w:t>Axi</w:t>
            </w:r>
            <w:proofErr w:type="spellEnd"/>
            <w:r w:rsidRPr="00160AD7">
              <w:rPr>
                <w:rFonts w:ascii="Times New Roman" w:hAnsi="Times New Roman" w:cs="Times New Roman"/>
                <w:sz w:val="16"/>
                <w:szCs w:val="18"/>
              </w:rPr>
              <w:t>, market-based transfer increased production costs, reduced effective mobility, and widened household asset differentiation.</w:t>
            </w:r>
          </w:p>
        </w:tc>
        <w:tc>
          <w:tcPr>
            <w:tcW w:w="1928" w:type="dxa"/>
            <w:shd w:val="clear" w:color="auto" w:fill="auto"/>
            <w:vAlign w:val="center"/>
            <w:hideMark/>
          </w:tcPr>
          <w:p w14:paraId="6A3785BC" w14:textId="5769CF8C"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Weak community mediation allowed market access to become more dependent on household financial capacity.</w:t>
            </w:r>
          </w:p>
        </w:tc>
        <w:tc>
          <w:tcPr>
            <w:tcW w:w="0" w:type="auto"/>
            <w:shd w:val="clear" w:color="auto" w:fill="auto"/>
            <w:vAlign w:val="center"/>
            <w:hideMark/>
          </w:tcPr>
          <w:p w14:paraId="6F1273AE" w14:textId="2ECFD8AE" w:rsidR="00160AD7" w:rsidRPr="00266275" w:rsidRDefault="00160AD7" w:rsidP="00160AD7">
            <w:pPr>
              <w:adjustRightInd w:val="0"/>
              <w:snapToGri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Constraining mechanisms emerged when market reform displaced reciprocal institutions and redistributed adaptive opportunities unevenly.</w:t>
            </w:r>
          </w:p>
        </w:tc>
      </w:tr>
      <w:tr w:rsidR="00160AD7" w:rsidRPr="00BD52DD" w14:paraId="4A8FBEE3" w14:textId="77777777" w:rsidTr="009715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0" w:type="dxa"/>
            <w:tcBorders>
              <w:bottom w:val="single" w:sz="12" w:space="0" w:color="auto"/>
            </w:tcBorders>
            <w:shd w:val="clear" w:color="auto" w:fill="auto"/>
            <w:vAlign w:val="center"/>
            <w:hideMark/>
          </w:tcPr>
          <w:p w14:paraId="667866C5" w14:textId="1A45FE31" w:rsidR="00160AD7" w:rsidRPr="00266275" w:rsidRDefault="00160AD7" w:rsidP="00160AD7">
            <w:pPr>
              <w:adjustRightInd w:val="0"/>
              <w:snapToGrid w:val="0"/>
              <w:rPr>
                <w:rFonts w:ascii="Times New Roman" w:hAnsi="Times New Roman" w:cs="Times New Roman"/>
                <w:sz w:val="16"/>
                <w:szCs w:val="18"/>
              </w:rPr>
            </w:pPr>
            <w:r w:rsidRPr="00160AD7">
              <w:rPr>
                <w:rFonts w:ascii="Times New Roman" w:hAnsi="Times New Roman" w:cs="Times New Roman"/>
                <w:sz w:val="16"/>
                <w:szCs w:val="18"/>
              </w:rPr>
              <w:t>Derive diagnostic outputs</w:t>
            </w:r>
          </w:p>
        </w:tc>
        <w:tc>
          <w:tcPr>
            <w:tcW w:w="1477" w:type="dxa"/>
            <w:tcBorders>
              <w:bottom w:val="single" w:sz="12" w:space="0" w:color="auto"/>
            </w:tcBorders>
            <w:shd w:val="clear" w:color="auto" w:fill="auto"/>
            <w:vAlign w:val="center"/>
            <w:hideMark/>
          </w:tcPr>
          <w:p w14:paraId="340B8469" w14:textId="3C30CECF"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What does the framework add to the interpretation of the case?</w:t>
            </w:r>
          </w:p>
        </w:tc>
        <w:tc>
          <w:tcPr>
            <w:tcW w:w="2126" w:type="dxa"/>
            <w:tcBorders>
              <w:bottom w:val="single" w:sz="12" w:space="0" w:color="auto"/>
            </w:tcBorders>
            <w:shd w:val="clear" w:color="auto" w:fill="auto"/>
            <w:vAlign w:val="center"/>
            <w:hideMark/>
          </w:tcPr>
          <w:p w14:paraId="38E378C0" w14:textId="778BE8CE"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 xml:space="preserve">The contrast between </w:t>
            </w:r>
            <w:proofErr w:type="spellStart"/>
            <w:r w:rsidRPr="00160AD7">
              <w:rPr>
                <w:rFonts w:ascii="Times New Roman" w:hAnsi="Times New Roman" w:cs="Times New Roman"/>
                <w:sz w:val="16"/>
                <w:szCs w:val="18"/>
              </w:rPr>
              <w:t>Axi</w:t>
            </w:r>
            <w:proofErr w:type="spellEnd"/>
            <w:r w:rsidRPr="00160AD7">
              <w:rPr>
                <w:rFonts w:ascii="Times New Roman" w:hAnsi="Times New Roman" w:cs="Times New Roman"/>
                <w:sz w:val="16"/>
                <w:szCs w:val="18"/>
              </w:rPr>
              <w:t xml:space="preserve"> and </w:t>
            </w:r>
            <w:proofErr w:type="spellStart"/>
            <w:r w:rsidRPr="00160AD7">
              <w:rPr>
                <w:rFonts w:ascii="Times New Roman" w:hAnsi="Times New Roman" w:cs="Times New Roman"/>
                <w:sz w:val="16"/>
                <w:szCs w:val="18"/>
              </w:rPr>
              <w:t>Xiareer</w:t>
            </w:r>
            <w:proofErr w:type="spellEnd"/>
            <w:r w:rsidRPr="00160AD7">
              <w:rPr>
                <w:rFonts w:ascii="Times New Roman" w:hAnsi="Times New Roman" w:cs="Times New Roman"/>
                <w:sz w:val="16"/>
                <w:szCs w:val="18"/>
              </w:rPr>
              <w:t xml:space="preserve"> shows that local institutions can either be displaced or incorporated into reform.</w:t>
            </w:r>
          </w:p>
        </w:tc>
        <w:tc>
          <w:tcPr>
            <w:tcW w:w="1928" w:type="dxa"/>
            <w:tcBorders>
              <w:bottom w:val="single" w:sz="12" w:space="0" w:color="auto"/>
            </w:tcBorders>
            <w:shd w:val="clear" w:color="auto" w:fill="auto"/>
            <w:vAlign w:val="center"/>
            <w:hideMark/>
          </w:tcPr>
          <w:p w14:paraId="099C37F8" w14:textId="3A621197"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The framework identifies community mediation as the pivotal mechanism linking policy reform to divergent livelihood resilience outcomes.</w:t>
            </w:r>
          </w:p>
        </w:tc>
        <w:tc>
          <w:tcPr>
            <w:tcW w:w="0" w:type="auto"/>
            <w:tcBorders>
              <w:bottom w:val="single" w:sz="12" w:space="0" w:color="auto"/>
            </w:tcBorders>
            <w:shd w:val="clear" w:color="auto" w:fill="auto"/>
            <w:vAlign w:val="center"/>
            <w:hideMark/>
          </w:tcPr>
          <w:p w14:paraId="491BCCE1" w14:textId="2679D76F" w:rsidR="00160AD7" w:rsidRPr="00266275" w:rsidRDefault="00160AD7" w:rsidP="00160AD7">
            <w:pPr>
              <w:adjustRightInd w:val="0"/>
              <w:snapToGri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8"/>
              </w:rPr>
            </w:pPr>
            <w:r w:rsidRPr="00160AD7">
              <w:rPr>
                <w:rFonts w:ascii="Times New Roman" w:hAnsi="Times New Roman" w:cs="Times New Roman"/>
                <w:sz w:val="16"/>
                <w:szCs w:val="18"/>
              </w:rPr>
              <w:t>The framework reveals why the policy issue is not simply whether rangeland transfer exists, but how it is institutionally mediated and distributed among households.</w:t>
            </w:r>
          </w:p>
        </w:tc>
      </w:tr>
    </w:tbl>
    <w:p w14:paraId="54947685" w14:textId="77777777" w:rsidR="00266275" w:rsidRPr="00266275" w:rsidRDefault="00266275" w:rsidP="00266275">
      <w:pPr>
        <w:ind w:firstLineChars="200" w:firstLine="420"/>
        <w:rPr>
          <w:rFonts w:ascii="Times New Roman" w:hAnsi="Times New Roman" w:cs="Times New Roman"/>
        </w:rPr>
      </w:pPr>
    </w:p>
    <w:p w14:paraId="5C1B566D" w14:textId="6F35312B" w:rsidR="00266275" w:rsidRPr="00266275" w:rsidRDefault="00266275" w:rsidP="00266275">
      <w:pPr>
        <w:rPr>
          <w:rFonts w:ascii="Times New Roman" w:hAnsi="Times New Roman" w:cs="Times New Roman"/>
          <w:b/>
          <w:bCs/>
        </w:rPr>
      </w:pPr>
      <w:r w:rsidRPr="00266275">
        <w:rPr>
          <w:rFonts w:ascii="Times New Roman" w:hAnsi="Times New Roman" w:cs="Times New Roman" w:hint="eastAsia"/>
          <w:b/>
          <w:bCs/>
          <w:sz w:val="24"/>
          <w:szCs w:val="28"/>
        </w:rPr>
        <w:t>S4</w:t>
      </w:r>
      <w:r>
        <w:rPr>
          <w:rFonts w:ascii="Times New Roman" w:hAnsi="Times New Roman" w:cs="Times New Roman" w:hint="eastAsia"/>
          <w:b/>
          <w:bCs/>
          <w:sz w:val="24"/>
          <w:szCs w:val="28"/>
        </w:rPr>
        <w:t>.</w:t>
      </w:r>
      <w:r w:rsidRPr="00266275">
        <w:rPr>
          <w:rFonts w:ascii="Times New Roman" w:hAnsi="Times New Roman" w:cs="Times New Roman" w:hint="eastAsia"/>
          <w:b/>
          <w:bCs/>
          <w:sz w:val="24"/>
          <w:szCs w:val="28"/>
        </w:rPr>
        <w:t xml:space="preserve"> </w:t>
      </w:r>
      <w:r w:rsidRPr="00266275">
        <w:rPr>
          <w:rFonts w:ascii="Times New Roman" w:hAnsi="Times New Roman" w:cs="Times New Roman"/>
          <w:b/>
          <w:bCs/>
          <w:sz w:val="24"/>
          <w:szCs w:val="28"/>
        </w:rPr>
        <w:t>Diagnostic findings and policy implications</w:t>
      </w:r>
    </w:p>
    <w:p w14:paraId="53E127AD" w14:textId="340BA514" w:rsidR="00160AD7" w:rsidRPr="00160AD7" w:rsidRDefault="00160AD7" w:rsidP="00160AD7">
      <w:pPr>
        <w:ind w:firstLineChars="200" w:firstLine="420"/>
        <w:rPr>
          <w:rFonts w:ascii="Times New Roman" w:hAnsi="Times New Roman" w:cs="Times New Roman"/>
        </w:rPr>
      </w:pPr>
      <w:r w:rsidRPr="00160AD7">
        <w:rPr>
          <w:rFonts w:ascii="Times New Roman" w:hAnsi="Times New Roman" w:cs="Times New Roman" w:hint="eastAsia"/>
        </w:rPr>
        <w:t xml:space="preserve">The framework-guided diagnosis adds three forms of interpretation to the published case. First, it clarifies the policy pathway. In </w:t>
      </w:r>
      <w:proofErr w:type="spellStart"/>
      <w:r w:rsidRPr="00160AD7">
        <w:rPr>
          <w:rFonts w:ascii="Times New Roman" w:hAnsi="Times New Roman" w:cs="Times New Roman" w:hint="eastAsia"/>
        </w:rPr>
        <w:t>Axi</w:t>
      </w:r>
      <w:proofErr w:type="spellEnd"/>
      <w:r w:rsidRPr="00160AD7">
        <w:rPr>
          <w:rFonts w:ascii="Times New Roman" w:hAnsi="Times New Roman" w:cs="Times New Roman" w:hint="eastAsia"/>
        </w:rPr>
        <w:t xml:space="preserve">, government-led market reform expanded formal transfer opportunities but weakened customary mediation, making adaptive access to grazing resources more dependent on household financial capacity. In </w:t>
      </w:r>
      <w:proofErr w:type="spellStart"/>
      <w:r w:rsidRPr="00160AD7">
        <w:rPr>
          <w:rFonts w:ascii="Times New Roman" w:hAnsi="Times New Roman" w:cs="Times New Roman" w:hint="eastAsia"/>
        </w:rPr>
        <w:t>Xiareer</w:t>
      </w:r>
      <w:proofErr w:type="spellEnd"/>
      <w:r w:rsidRPr="00160AD7">
        <w:rPr>
          <w:rFonts w:ascii="Times New Roman" w:hAnsi="Times New Roman" w:cs="Times New Roman" w:hint="eastAsia"/>
        </w:rPr>
        <w:t xml:space="preserve">, the same broad reform context </w:t>
      </w:r>
      <w:r w:rsidRPr="00160AD7">
        <w:rPr>
          <w:rFonts w:ascii="Times New Roman" w:hAnsi="Times New Roman" w:cs="Times New Roman" w:hint="eastAsia"/>
        </w:rPr>
        <w:lastRenderedPageBreak/>
        <w:t>produced different resilience implications because market mechanisms were embedded within customary community institutions. The framework therefore helps explain why formally similar policy instruments may generate divergent livelihood outcomes.</w:t>
      </w:r>
    </w:p>
    <w:p w14:paraId="6C472FA9" w14:textId="3DC8BA5F" w:rsidR="00160AD7" w:rsidRPr="00160AD7" w:rsidRDefault="00160AD7" w:rsidP="00160AD7">
      <w:pPr>
        <w:ind w:firstLineChars="200" w:firstLine="420"/>
        <w:rPr>
          <w:rFonts w:ascii="Times New Roman" w:hAnsi="Times New Roman" w:cs="Times New Roman"/>
        </w:rPr>
      </w:pPr>
      <w:r w:rsidRPr="00160AD7">
        <w:rPr>
          <w:rFonts w:ascii="Times New Roman" w:hAnsi="Times New Roman" w:cs="Times New Roman" w:hint="eastAsia"/>
        </w:rPr>
        <w:t>Second, the framework identifies community mediation as the key diagnostic hinge. Without this step, the case might be read mainly as a comparison between two rangeland transfer arrangements. Through the G</w:t>
      </w:r>
      <w:r w:rsidRPr="00160AD7">
        <w:rPr>
          <w:rFonts w:ascii="Times New Roman" w:hAnsi="Times New Roman" w:cs="Times New Roman" w:hint="eastAsia"/>
        </w:rPr>
        <w:t>–</w:t>
      </w:r>
      <w:r w:rsidRPr="00160AD7">
        <w:rPr>
          <w:rFonts w:ascii="Times New Roman" w:hAnsi="Times New Roman" w:cs="Times New Roman" w:hint="eastAsia"/>
        </w:rPr>
        <w:t>C</w:t>
      </w:r>
      <w:r w:rsidRPr="00160AD7">
        <w:rPr>
          <w:rFonts w:ascii="Times New Roman" w:hAnsi="Times New Roman" w:cs="Times New Roman" w:hint="eastAsia"/>
        </w:rPr>
        <w:t>–</w:t>
      </w:r>
      <w:r w:rsidRPr="00160AD7">
        <w:rPr>
          <w:rFonts w:ascii="Times New Roman" w:hAnsi="Times New Roman" w:cs="Times New Roman" w:hint="eastAsia"/>
        </w:rPr>
        <w:t xml:space="preserve">H framework, the comparison becomes a diagnosis of how policy intervention is filtered through community institutions before shaping household adaptation. The </w:t>
      </w:r>
      <w:proofErr w:type="spellStart"/>
      <w:r w:rsidRPr="00160AD7">
        <w:rPr>
          <w:rFonts w:ascii="Times New Roman" w:hAnsi="Times New Roman" w:cs="Times New Roman" w:hint="eastAsia"/>
        </w:rPr>
        <w:t>Axi</w:t>
      </w:r>
      <w:proofErr w:type="spellEnd"/>
      <w:r w:rsidRPr="00160AD7">
        <w:rPr>
          <w:rFonts w:ascii="Times New Roman" w:hAnsi="Times New Roman" w:cs="Times New Roman" w:hint="eastAsia"/>
        </w:rPr>
        <w:t xml:space="preserve"> case demonstrates a pathway in which marketization weakened collective regulation and increased distributional risk. The </w:t>
      </w:r>
      <w:proofErr w:type="spellStart"/>
      <w:r w:rsidRPr="00160AD7">
        <w:rPr>
          <w:rFonts w:ascii="Times New Roman" w:hAnsi="Times New Roman" w:cs="Times New Roman" w:hint="eastAsia"/>
        </w:rPr>
        <w:t>Xiareer</w:t>
      </w:r>
      <w:proofErr w:type="spellEnd"/>
      <w:r w:rsidRPr="00160AD7">
        <w:rPr>
          <w:rFonts w:ascii="Times New Roman" w:hAnsi="Times New Roman" w:cs="Times New Roman" w:hint="eastAsia"/>
        </w:rPr>
        <w:t xml:space="preserve"> case demonstrates a pathway in which market mechanisms were adjusted through local rules, grazing quotas, and livestock loans, thereby supporting self-organization and more equitable resource access.</w:t>
      </w:r>
    </w:p>
    <w:p w14:paraId="4AF30D96" w14:textId="34D6EBA1" w:rsidR="00160AD7" w:rsidRPr="00160AD7" w:rsidRDefault="00160AD7" w:rsidP="00160AD7">
      <w:pPr>
        <w:ind w:firstLineChars="200" w:firstLine="420"/>
        <w:rPr>
          <w:rFonts w:ascii="Times New Roman" w:hAnsi="Times New Roman" w:cs="Times New Roman"/>
        </w:rPr>
      </w:pPr>
      <w:r w:rsidRPr="00160AD7">
        <w:rPr>
          <w:rFonts w:ascii="Times New Roman" w:hAnsi="Times New Roman" w:cs="Times New Roman" w:hint="eastAsia"/>
        </w:rPr>
        <w:t xml:space="preserve">Third, the framework helps distinguish resilience dimensions and governance bottlenecks. </w:t>
      </w:r>
      <w:proofErr w:type="spellStart"/>
      <w:r w:rsidRPr="00160AD7">
        <w:rPr>
          <w:rFonts w:ascii="Times New Roman" w:hAnsi="Times New Roman" w:cs="Times New Roman" w:hint="eastAsia"/>
        </w:rPr>
        <w:t>Xiareer</w:t>
      </w:r>
      <w:proofErr w:type="spellEnd"/>
      <w:proofErr w:type="gramStart"/>
      <w:r w:rsidRPr="00160AD7">
        <w:rPr>
          <w:rFonts w:ascii="Times New Roman" w:hAnsi="Times New Roman" w:cs="Times New Roman" w:hint="eastAsia"/>
        </w:rPr>
        <w:t>’</w:t>
      </w:r>
      <w:proofErr w:type="gramEnd"/>
      <w:r w:rsidRPr="00160AD7">
        <w:rPr>
          <w:rFonts w:ascii="Times New Roman" w:hAnsi="Times New Roman" w:cs="Times New Roman" w:hint="eastAsia"/>
        </w:rPr>
        <w:t xml:space="preserve">s arrangement appears to strengthen self-organization, strategy adjustment, and buffering capacity, while </w:t>
      </w:r>
      <w:proofErr w:type="spellStart"/>
      <w:r w:rsidRPr="00160AD7">
        <w:rPr>
          <w:rFonts w:ascii="Times New Roman" w:hAnsi="Times New Roman" w:cs="Times New Roman" w:hint="eastAsia"/>
        </w:rPr>
        <w:t>Axi</w:t>
      </w:r>
      <w:proofErr w:type="spellEnd"/>
      <w:r w:rsidRPr="00160AD7">
        <w:rPr>
          <w:rFonts w:ascii="Times New Roman" w:hAnsi="Times New Roman" w:cs="Times New Roman" w:hint="eastAsia"/>
        </w:rPr>
        <w:t>’</w:t>
      </w:r>
      <w:r w:rsidRPr="00160AD7">
        <w:rPr>
          <w:rFonts w:ascii="Times New Roman" w:hAnsi="Times New Roman" w:cs="Times New Roman" w:hint="eastAsia"/>
        </w:rPr>
        <w:t>s arrangement reveals risks of reduced mobility, rising costs, and wealth differentiation. The framework also shows which elements are less fully documented in the case, including explicit household risk perception and formal feedback from local outcomes to higher-level policy adjustment.</w:t>
      </w:r>
      <w:r w:rsidR="002F1263" w:rsidRPr="002F1263">
        <w:rPr>
          <w:rFonts w:hint="eastAsia"/>
        </w:rPr>
        <w:t xml:space="preserve"> </w:t>
      </w:r>
      <w:r w:rsidR="002F1263" w:rsidRPr="002F1263">
        <w:rPr>
          <w:rFonts w:ascii="Times New Roman" w:hAnsi="Times New Roman" w:cs="Times New Roman" w:hint="eastAsia"/>
        </w:rPr>
        <w:t>Its diagnostic value lies in distinguishing well-evidenced links from those in the G</w:t>
      </w:r>
      <w:r w:rsidR="002F1263" w:rsidRPr="002F1263">
        <w:rPr>
          <w:rFonts w:ascii="Times New Roman" w:hAnsi="Times New Roman" w:cs="Times New Roman" w:hint="eastAsia"/>
        </w:rPr>
        <w:t>–</w:t>
      </w:r>
      <w:r w:rsidR="002F1263" w:rsidRPr="002F1263">
        <w:rPr>
          <w:rFonts w:ascii="Times New Roman" w:hAnsi="Times New Roman" w:cs="Times New Roman" w:hint="eastAsia"/>
        </w:rPr>
        <w:t>C</w:t>
      </w:r>
      <w:r w:rsidR="002F1263" w:rsidRPr="002F1263">
        <w:rPr>
          <w:rFonts w:ascii="Times New Roman" w:hAnsi="Times New Roman" w:cs="Times New Roman" w:hint="eastAsia"/>
        </w:rPr>
        <w:t>–</w:t>
      </w:r>
      <w:r w:rsidR="002F1263" w:rsidRPr="002F1263">
        <w:rPr>
          <w:rFonts w:ascii="Times New Roman" w:hAnsi="Times New Roman" w:cs="Times New Roman" w:hint="eastAsia"/>
        </w:rPr>
        <w:t>H chain that require further empirical attention</w:t>
      </w:r>
      <w:r w:rsidRPr="00160AD7">
        <w:rPr>
          <w:rFonts w:ascii="Times New Roman" w:hAnsi="Times New Roman" w:cs="Times New Roman" w:hint="eastAsia"/>
        </w:rPr>
        <w:t>.</w:t>
      </w:r>
    </w:p>
    <w:p w14:paraId="6652D191" w14:textId="695D1C18" w:rsidR="00266275" w:rsidRPr="00266275" w:rsidRDefault="00160AD7" w:rsidP="00160AD7">
      <w:pPr>
        <w:ind w:firstLineChars="200" w:firstLine="420"/>
        <w:rPr>
          <w:rFonts w:ascii="Times New Roman" w:hAnsi="Times New Roman" w:cs="Times New Roman"/>
        </w:rPr>
      </w:pPr>
      <w:r w:rsidRPr="00160AD7">
        <w:rPr>
          <w:rFonts w:ascii="Times New Roman" w:hAnsi="Times New Roman" w:cs="Times New Roman" w:hint="eastAsia"/>
        </w:rPr>
        <w:t>The policy implications derived from this worked example are therefore secondary to the framework application itself. The case suggests that future assessment of rangeland reform should examine whether community rules are displaced or incorporated, whether poorer households retain access to adaptive resources, and whether local livelihood outcomes are used to adjust institutional design. More broadly, the example shows that the G</w:t>
      </w:r>
      <w:r w:rsidRPr="00160AD7">
        <w:rPr>
          <w:rFonts w:ascii="Times New Roman" w:hAnsi="Times New Roman" w:cs="Times New Roman" w:hint="eastAsia"/>
        </w:rPr>
        <w:t>–</w:t>
      </w:r>
      <w:r w:rsidRPr="00160AD7">
        <w:rPr>
          <w:rFonts w:ascii="Times New Roman" w:hAnsi="Times New Roman" w:cs="Times New Roman" w:hint="eastAsia"/>
        </w:rPr>
        <w:t>C</w:t>
      </w:r>
      <w:r w:rsidRPr="00160AD7">
        <w:rPr>
          <w:rFonts w:ascii="Times New Roman" w:hAnsi="Times New Roman" w:cs="Times New Roman" w:hint="eastAsia"/>
        </w:rPr>
        <w:t>–</w:t>
      </w:r>
      <w:r w:rsidRPr="00160AD7">
        <w:rPr>
          <w:rFonts w:ascii="Times New Roman" w:hAnsi="Times New Roman" w:cs="Times New Roman" w:hint="eastAsia"/>
        </w:rPr>
        <w:t>H framework can be used to evaluate policy events by tracing how public intervention, community mediation, and household response interact to enable or constrain livelihood resilience.</w:t>
      </w:r>
    </w:p>
    <w:p w14:paraId="5D209DF8" w14:textId="77777777" w:rsidR="00266275" w:rsidRPr="00266275" w:rsidRDefault="00266275" w:rsidP="00266275">
      <w:pPr>
        <w:rPr>
          <w:rFonts w:ascii="Times New Roman" w:hAnsi="Times New Roman" w:cs="Times New Roman"/>
        </w:rPr>
      </w:pPr>
    </w:p>
    <w:p w14:paraId="7D046E15" w14:textId="77777777" w:rsidR="00360B64" w:rsidRDefault="00360B64" w:rsidP="00EF2606">
      <w:pPr>
        <w:ind w:left="420" w:hangingChars="200" w:hanging="420"/>
        <w:rPr>
          <w:rFonts w:ascii="Times New Roman" w:hAnsi="Times New Roman" w:cs="Times New Roman"/>
          <w:b/>
          <w:bCs/>
        </w:rPr>
      </w:pPr>
      <w:r w:rsidRPr="00360B64">
        <w:rPr>
          <w:rFonts w:ascii="Times New Roman" w:hAnsi="Times New Roman" w:cs="Times New Roman" w:hint="eastAsia"/>
          <w:b/>
          <w:bCs/>
        </w:rPr>
        <w:t>Reference for Supplementary Materials III</w:t>
      </w:r>
      <w:r>
        <w:rPr>
          <w:rFonts w:ascii="Times New Roman" w:hAnsi="Times New Roman" w:cs="Times New Roman" w:hint="eastAsia"/>
          <w:b/>
          <w:bCs/>
        </w:rPr>
        <w:t>:</w:t>
      </w:r>
    </w:p>
    <w:p w14:paraId="70FAE60D" w14:textId="1EDF7125" w:rsidR="00EF2606" w:rsidRPr="00EF2606" w:rsidRDefault="00EF2606" w:rsidP="00EF2606">
      <w:pPr>
        <w:ind w:left="360" w:hangingChars="200" w:hanging="360"/>
        <w:rPr>
          <w:rFonts w:ascii="Times New Roman" w:hAnsi="Times New Roman" w:cs="Times New Roman"/>
          <w:sz w:val="18"/>
          <w:szCs w:val="20"/>
        </w:rPr>
      </w:pPr>
      <w:proofErr w:type="spellStart"/>
      <w:r w:rsidRPr="00EF2606">
        <w:rPr>
          <w:rFonts w:ascii="Times New Roman" w:hAnsi="Times New Roman" w:cs="Times New Roman" w:hint="eastAsia"/>
          <w:sz w:val="18"/>
          <w:szCs w:val="20"/>
        </w:rPr>
        <w:t>Gongbuzeren</w:t>
      </w:r>
      <w:proofErr w:type="spellEnd"/>
      <w:r w:rsidRPr="00EF2606">
        <w:rPr>
          <w:rFonts w:ascii="Times New Roman" w:hAnsi="Times New Roman" w:cs="Times New Roman" w:hint="eastAsia"/>
          <w:sz w:val="18"/>
          <w:szCs w:val="20"/>
        </w:rPr>
        <w:t>, Zhuang, M., Li, W. (2016) Market-based grazing land transfers and customary institutions in the management of rangelands: Two case studies on the Qinghai-Tibetan Plateau. Land Use Policy 57, 287-295.</w:t>
      </w:r>
      <w:r w:rsidRPr="00EF2606">
        <w:rPr>
          <w:rFonts w:hint="eastAsia"/>
        </w:rPr>
        <w:t xml:space="preserve"> </w:t>
      </w:r>
      <w:r w:rsidRPr="00EF2606">
        <w:rPr>
          <w:rFonts w:ascii="Times New Roman" w:hAnsi="Times New Roman" w:cs="Times New Roman" w:hint="eastAsia"/>
          <w:sz w:val="18"/>
          <w:szCs w:val="20"/>
        </w:rPr>
        <w:t>https://doi.org/10.1016/j.landusepol.2016.05.035</w:t>
      </w:r>
    </w:p>
    <w:p w14:paraId="0D34B77B" w14:textId="77777777" w:rsidR="00765641" w:rsidRPr="004E26E0" w:rsidRDefault="00765641" w:rsidP="004E26E0">
      <w:pPr>
        <w:ind w:firstLineChars="200" w:firstLine="420"/>
        <w:rPr>
          <w:rFonts w:ascii="Times New Roman" w:hAnsi="Times New Roman" w:cs="Times New Roman"/>
        </w:rPr>
      </w:pPr>
    </w:p>
    <w:sectPr w:rsidR="00765641" w:rsidRPr="004E26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3EDD0" w14:textId="77777777" w:rsidR="005A0192" w:rsidRDefault="005A0192" w:rsidP="005D7C76">
      <w:pPr>
        <w:rPr>
          <w:rFonts w:hint="eastAsia"/>
        </w:rPr>
      </w:pPr>
      <w:r>
        <w:separator/>
      </w:r>
    </w:p>
  </w:endnote>
  <w:endnote w:type="continuationSeparator" w:id="0">
    <w:p w14:paraId="5BC41A9E" w14:textId="77777777" w:rsidR="005A0192" w:rsidRDefault="005A0192" w:rsidP="005D7C7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CDB1D" w14:textId="77777777" w:rsidR="005A0192" w:rsidRDefault="005A0192" w:rsidP="005D7C76">
      <w:pPr>
        <w:rPr>
          <w:rFonts w:hint="eastAsia"/>
        </w:rPr>
      </w:pPr>
      <w:r>
        <w:separator/>
      </w:r>
    </w:p>
  </w:footnote>
  <w:footnote w:type="continuationSeparator" w:id="0">
    <w:p w14:paraId="51404749" w14:textId="77777777" w:rsidR="005A0192" w:rsidRDefault="005A0192" w:rsidP="005D7C7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F9A"/>
    <w:multiLevelType w:val="hybridMultilevel"/>
    <w:tmpl w:val="F8C2F71E"/>
    <w:lvl w:ilvl="0" w:tplc="5FEAFA08">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1" w15:restartNumberingAfterBreak="0">
    <w:nsid w:val="5EEA781E"/>
    <w:multiLevelType w:val="hybridMultilevel"/>
    <w:tmpl w:val="78D2B098"/>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2" w15:restartNumberingAfterBreak="0">
    <w:nsid w:val="5F284865"/>
    <w:multiLevelType w:val="hybridMultilevel"/>
    <w:tmpl w:val="CD304428"/>
    <w:lvl w:ilvl="0" w:tplc="5FEAFA08">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3" w15:restartNumberingAfterBreak="0">
    <w:nsid w:val="7B205CE3"/>
    <w:multiLevelType w:val="hybridMultilevel"/>
    <w:tmpl w:val="BB94BF7C"/>
    <w:lvl w:ilvl="0" w:tplc="5FEAFA08">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num w:numId="1" w16cid:durableId="1503543005">
    <w:abstractNumId w:val="2"/>
  </w:num>
  <w:num w:numId="2" w16cid:durableId="1649283696">
    <w:abstractNumId w:val="3"/>
  </w:num>
  <w:num w:numId="3" w16cid:durableId="1375426598">
    <w:abstractNumId w:val="0"/>
  </w:num>
  <w:num w:numId="4" w16cid:durableId="156967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CE9"/>
    <w:rsid w:val="00011621"/>
    <w:rsid w:val="00077AE1"/>
    <w:rsid w:val="000A31FC"/>
    <w:rsid w:val="000B657F"/>
    <w:rsid w:val="000C468E"/>
    <w:rsid w:val="00160AD7"/>
    <w:rsid w:val="001A1C8E"/>
    <w:rsid w:val="00242F79"/>
    <w:rsid w:val="00266275"/>
    <w:rsid w:val="002B4531"/>
    <w:rsid w:val="002F1263"/>
    <w:rsid w:val="0030108B"/>
    <w:rsid w:val="003308FC"/>
    <w:rsid w:val="00360B64"/>
    <w:rsid w:val="00387BA8"/>
    <w:rsid w:val="00390224"/>
    <w:rsid w:val="00474B6B"/>
    <w:rsid w:val="004E26E0"/>
    <w:rsid w:val="005308E5"/>
    <w:rsid w:val="005A0192"/>
    <w:rsid w:val="005B512A"/>
    <w:rsid w:val="005D3B25"/>
    <w:rsid w:val="005D7C76"/>
    <w:rsid w:val="0062112F"/>
    <w:rsid w:val="006B5CE9"/>
    <w:rsid w:val="00765641"/>
    <w:rsid w:val="007C5858"/>
    <w:rsid w:val="00853AC2"/>
    <w:rsid w:val="00881382"/>
    <w:rsid w:val="008D6ACE"/>
    <w:rsid w:val="00924C08"/>
    <w:rsid w:val="00963581"/>
    <w:rsid w:val="0097156C"/>
    <w:rsid w:val="0099272F"/>
    <w:rsid w:val="00A40270"/>
    <w:rsid w:val="00B1718D"/>
    <w:rsid w:val="00B3095D"/>
    <w:rsid w:val="00B3423A"/>
    <w:rsid w:val="00B37EA9"/>
    <w:rsid w:val="00B43B1C"/>
    <w:rsid w:val="00B51BD6"/>
    <w:rsid w:val="00BD52DD"/>
    <w:rsid w:val="00BF4D10"/>
    <w:rsid w:val="00C2466F"/>
    <w:rsid w:val="00C30AB9"/>
    <w:rsid w:val="00C32AAF"/>
    <w:rsid w:val="00C815FA"/>
    <w:rsid w:val="00D27080"/>
    <w:rsid w:val="00D87502"/>
    <w:rsid w:val="00E1258A"/>
    <w:rsid w:val="00E53727"/>
    <w:rsid w:val="00E9322B"/>
    <w:rsid w:val="00EA3164"/>
    <w:rsid w:val="00EF2606"/>
    <w:rsid w:val="00F21EFD"/>
    <w:rsid w:val="00FF2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F5BFCD"/>
  <w14:defaultImageDpi w14:val="32767"/>
  <w15:chartTrackingRefBased/>
  <w15:docId w15:val="{A04681FA-B969-4966-8B96-E89CEBE2E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B5CE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B5CE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B5CE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B5CE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B5CE9"/>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B5CE9"/>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B5CE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B5CE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B5CE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5CE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B5CE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B5CE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B5CE9"/>
    <w:rPr>
      <w:rFonts w:cstheme="majorBidi"/>
      <w:color w:val="0F4761" w:themeColor="accent1" w:themeShade="BF"/>
      <w:sz w:val="28"/>
      <w:szCs w:val="28"/>
    </w:rPr>
  </w:style>
  <w:style w:type="character" w:customStyle="1" w:styleId="50">
    <w:name w:val="标题 5 字符"/>
    <w:basedOn w:val="a0"/>
    <w:link w:val="5"/>
    <w:uiPriority w:val="9"/>
    <w:semiHidden/>
    <w:rsid w:val="006B5CE9"/>
    <w:rPr>
      <w:rFonts w:cstheme="majorBidi"/>
      <w:color w:val="0F4761" w:themeColor="accent1" w:themeShade="BF"/>
      <w:sz w:val="24"/>
      <w:szCs w:val="24"/>
    </w:rPr>
  </w:style>
  <w:style w:type="character" w:customStyle="1" w:styleId="60">
    <w:name w:val="标题 6 字符"/>
    <w:basedOn w:val="a0"/>
    <w:link w:val="6"/>
    <w:uiPriority w:val="9"/>
    <w:semiHidden/>
    <w:rsid w:val="006B5CE9"/>
    <w:rPr>
      <w:rFonts w:cstheme="majorBidi"/>
      <w:b/>
      <w:bCs/>
      <w:color w:val="0F4761" w:themeColor="accent1" w:themeShade="BF"/>
    </w:rPr>
  </w:style>
  <w:style w:type="character" w:customStyle="1" w:styleId="70">
    <w:name w:val="标题 7 字符"/>
    <w:basedOn w:val="a0"/>
    <w:link w:val="7"/>
    <w:uiPriority w:val="9"/>
    <w:semiHidden/>
    <w:rsid w:val="006B5CE9"/>
    <w:rPr>
      <w:rFonts w:cstheme="majorBidi"/>
      <w:b/>
      <w:bCs/>
      <w:color w:val="595959" w:themeColor="text1" w:themeTint="A6"/>
    </w:rPr>
  </w:style>
  <w:style w:type="character" w:customStyle="1" w:styleId="80">
    <w:name w:val="标题 8 字符"/>
    <w:basedOn w:val="a0"/>
    <w:link w:val="8"/>
    <w:uiPriority w:val="9"/>
    <w:semiHidden/>
    <w:rsid w:val="006B5CE9"/>
    <w:rPr>
      <w:rFonts w:cstheme="majorBidi"/>
      <w:color w:val="595959" w:themeColor="text1" w:themeTint="A6"/>
    </w:rPr>
  </w:style>
  <w:style w:type="character" w:customStyle="1" w:styleId="90">
    <w:name w:val="标题 9 字符"/>
    <w:basedOn w:val="a0"/>
    <w:link w:val="9"/>
    <w:uiPriority w:val="9"/>
    <w:semiHidden/>
    <w:rsid w:val="006B5CE9"/>
    <w:rPr>
      <w:rFonts w:eastAsiaTheme="majorEastAsia" w:cstheme="majorBidi"/>
      <w:color w:val="595959" w:themeColor="text1" w:themeTint="A6"/>
    </w:rPr>
  </w:style>
  <w:style w:type="paragraph" w:styleId="a3">
    <w:name w:val="Title"/>
    <w:basedOn w:val="a"/>
    <w:next w:val="a"/>
    <w:link w:val="a4"/>
    <w:uiPriority w:val="10"/>
    <w:qFormat/>
    <w:rsid w:val="006B5CE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B5C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5CE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B5C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B5CE9"/>
    <w:pPr>
      <w:spacing w:before="160" w:after="160"/>
      <w:jc w:val="center"/>
    </w:pPr>
    <w:rPr>
      <w:i/>
      <w:iCs/>
      <w:color w:val="404040" w:themeColor="text1" w:themeTint="BF"/>
    </w:rPr>
  </w:style>
  <w:style w:type="character" w:customStyle="1" w:styleId="a8">
    <w:name w:val="引用 字符"/>
    <w:basedOn w:val="a0"/>
    <w:link w:val="a7"/>
    <w:uiPriority w:val="29"/>
    <w:rsid w:val="006B5CE9"/>
    <w:rPr>
      <w:i/>
      <w:iCs/>
      <w:color w:val="404040" w:themeColor="text1" w:themeTint="BF"/>
    </w:rPr>
  </w:style>
  <w:style w:type="paragraph" w:styleId="a9">
    <w:name w:val="List Paragraph"/>
    <w:basedOn w:val="a"/>
    <w:uiPriority w:val="34"/>
    <w:qFormat/>
    <w:rsid w:val="006B5CE9"/>
    <w:pPr>
      <w:ind w:left="720"/>
      <w:contextualSpacing/>
    </w:pPr>
  </w:style>
  <w:style w:type="character" w:styleId="aa">
    <w:name w:val="Intense Emphasis"/>
    <w:basedOn w:val="a0"/>
    <w:uiPriority w:val="21"/>
    <w:qFormat/>
    <w:rsid w:val="006B5CE9"/>
    <w:rPr>
      <w:i/>
      <w:iCs/>
      <w:color w:val="0F4761" w:themeColor="accent1" w:themeShade="BF"/>
    </w:rPr>
  </w:style>
  <w:style w:type="paragraph" w:styleId="ab">
    <w:name w:val="Intense Quote"/>
    <w:basedOn w:val="a"/>
    <w:next w:val="a"/>
    <w:link w:val="ac"/>
    <w:uiPriority w:val="30"/>
    <w:qFormat/>
    <w:rsid w:val="006B5C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B5CE9"/>
    <w:rPr>
      <w:i/>
      <w:iCs/>
      <w:color w:val="0F4761" w:themeColor="accent1" w:themeShade="BF"/>
    </w:rPr>
  </w:style>
  <w:style w:type="character" w:styleId="ad">
    <w:name w:val="Intense Reference"/>
    <w:basedOn w:val="a0"/>
    <w:uiPriority w:val="32"/>
    <w:qFormat/>
    <w:rsid w:val="006B5CE9"/>
    <w:rPr>
      <w:b/>
      <w:bCs/>
      <w:smallCaps/>
      <w:color w:val="0F4761" w:themeColor="accent1" w:themeShade="BF"/>
      <w:spacing w:val="5"/>
    </w:rPr>
  </w:style>
  <w:style w:type="paragraph" w:styleId="ae">
    <w:name w:val="header"/>
    <w:basedOn w:val="a"/>
    <w:link w:val="af"/>
    <w:uiPriority w:val="99"/>
    <w:unhideWhenUsed/>
    <w:rsid w:val="005D7C76"/>
    <w:pPr>
      <w:tabs>
        <w:tab w:val="center" w:pos="4153"/>
        <w:tab w:val="right" w:pos="8306"/>
      </w:tabs>
      <w:snapToGrid w:val="0"/>
      <w:jc w:val="center"/>
    </w:pPr>
    <w:rPr>
      <w:sz w:val="18"/>
      <w:szCs w:val="18"/>
    </w:rPr>
  </w:style>
  <w:style w:type="character" w:customStyle="1" w:styleId="af">
    <w:name w:val="页眉 字符"/>
    <w:basedOn w:val="a0"/>
    <w:link w:val="ae"/>
    <w:uiPriority w:val="99"/>
    <w:rsid w:val="005D7C76"/>
    <w:rPr>
      <w:sz w:val="18"/>
      <w:szCs w:val="18"/>
    </w:rPr>
  </w:style>
  <w:style w:type="paragraph" w:styleId="af0">
    <w:name w:val="footer"/>
    <w:basedOn w:val="a"/>
    <w:link w:val="af1"/>
    <w:uiPriority w:val="99"/>
    <w:unhideWhenUsed/>
    <w:rsid w:val="005D7C76"/>
    <w:pPr>
      <w:tabs>
        <w:tab w:val="center" w:pos="4153"/>
        <w:tab w:val="right" w:pos="8306"/>
      </w:tabs>
      <w:snapToGrid w:val="0"/>
      <w:jc w:val="left"/>
    </w:pPr>
    <w:rPr>
      <w:sz w:val="18"/>
      <w:szCs w:val="18"/>
    </w:rPr>
  </w:style>
  <w:style w:type="character" w:customStyle="1" w:styleId="af1">
    <w:name w:val="页脚 字符"/>
    <w:basedOn w:val="a0"/>
    <w:link w:val="af0"/>
    <w:uiPriority w:val="99"/>
    <w:rsid w:val="005D7C76"/>
    <w:rPr>
      <w:sz w:val="18"/>
      <w:szCs w:val="18"/>
    </w:rPr>
  </w:style>
  <w:style w:type="table" w:styleId="af2">
    <w:name w:val="Table Grid"/>
    <w:basedOn w:val="a1"/>
    <w:uiPriority w:val="59"/>
    <w:rsid w:val="00242F79"/>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EF2606"/>
    <w:rPr>
      <w:color w:val="467886" w:themeColor="hyperlink"/>
      <w:u w:val="single"/>
    </w:rPr>
  </w:style>
  <w:style w:type="character" w:styleId="af4">
    <w:name w:val="Unresolved Mention"/>
    <w:basedOn w:val="a0"/>
    <w:uiPriority w:val="99"/>
    <w:semiHidden/>
    <w:unhideWhenUsed/>
    <w:rsid w:val="00EF2606"/>
    <w:rPr>
      <w:color w:val="605E5C"/>
      <w:shd w:val="clear" w:color="auto" w:fill="E1DFDD"/>
    </w:rPr>
  </w:style>
  <w:style w:type="table" w:styleId="11">
    <w:name w:val="Grid Table 1 Light"/>
    <w:basedOn w:val="a1"/>
    <w:uiPriority w:val="46"/>
    <w:rsid w:val="00BD52D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2">
    <w:name w:val="Plain Table 1"/>
    <w:basedOn w:val="a1"/>
    <w:uiPriority w:val="41"/>
    <w:rsid w:val="00BD52D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6943">
      <w:bodyDiv w:val="1"/>
      <w:marLeft w:val="0"/>
      <w:marRight w:val="0"/>
      <w:marTop w:val="0"/>
      <w:marBottom w:val="0"/>
      <w:divBdr>
        <w:top w:val="none" w:sz="0" w:space="0" w:color="auto"/>
        <w:left w:val="none" w:sz="0" w:space="0" w:color="auto"/>
        <w:bottom w:val="none" w:sz="0" w:space="0" w:color="auto"/>
        <w:right w:val="none" w:sz="0" w:space="0" w:color="auto"/>
      </w:divBdr>
    </w:div>
    <w:div w:id="25107306">
      <w:bodyDiv w:val="1"/>
      <w:marLeft w:val="0"/>
      <w:marRight w:val="0"/>
      <w:marTop w:val="0"/>
      <w:marBottom w:val="0"/>
      <w:divBdr>
        <w:top w:val="none" w:sz="0" w:space="0" w:color="auto"/>
        <w:left w:val="none" w:sz="0" w:space="0" w:color="auto"/>
        <w:bottom w:val="none" w:sz="0" w:space="0" w:color="auto"/>
        <w:right w:val="none" w:sz="0" w:space="0" w:color="auto"/>
      </w:divBdr>
    </w:div>
    <w:div w:id="262693343">
      <w:bodyDiv w:val="1"/>
      <w:marLeft w:val="0"/>
      <w:marRight w:val="0"/>
      <w:marTop w:val="0"/>
      <w:marBottom w:val="0"/>
      <w:divBdr>
        <w:top w:val="none" w:sz="0" w:space="0" w:color="auto"/>
        <w:left w:val="none" w:sz="0" w:space="0" w:color="auto"/>
        <w:bottom w:val="none" w:sz="0" w:space="0" w:color="auto"/>
        <w:right w:val="none" w:sz="0" w:space="0" w:color="auto"/>
      </w:divBdr>
    </w:div>
    <w:div w:id="353384990">
      <w:bodyDiv w:val="1"/>
      <w:marLeft w:val="0"/>
      <w:marRight w:val="0"/>
      <w:marTop w:val="0"/>
      <w:marBottom w:val="0"/>
      <w:divBdr>
        <w:top w:val="none" w:sz="0" w:space="0" w:color="auto"/>
        <w:left w:val="none" w:sz="0" w:space="0" w:color="auto"/>
        <w:bottom w:val="none" w:sz="0" w:space="0" w:color="auto"/>
        <w:right w:val="none" w:sz="0" w:space="0" w:color="auto"/>
      </w:divBdr>
      <w:divsChild>
        <w:div w:id="363605371">
          <w:marLeft w:val="0"/>
          <w:marRight w:val="0"/>
          <w:marTop w:val="0"/>
          <w:marBottom w:val="0"/>
          <w:divBdr>
            <w:top w:val="none" w:sz="0" w:space="0" w:color="auto"/>
            <w:left w:val="none" w:sz="0" w:space="0" w:color="auto"/>
            <w:bottom w:val="none" w:sz="0" w:space="0" w:color="auto"/>
            <w:right w:val="none" w:sz="0" w:space="0" w:color="auto"/>
          </w:divBdr>
        </w:div>
        <w:div w:id="1679115029">
          <w:marLeft w:val="0"/>
          <w:marRight w:val="0"/>
          <w:marTop w:val="0"/>
          <w:marBottom w:val="0"/>
          <w:divBdr>
            <w:top w:val="none" w:sz="0" w:space="0" w:color="auto"/>
            <w:left w:val="none" w:sz="0" w:space="0" w:color="auto"/>
            <w:bottom w:val="none" w:sz="0" w:space="0" w:color="auto"/>
            <w:right w:val="none" w:sz="0" w:space="0" w:color="auto"/>
          </w:divBdr>
        </w:div>
      </w:divsChild>
    </w:div>
    <w:div w:id="452557676">
      <w:bodyDiv w:val="1"/>
      <w:marLeft w:val="0"/>
      <w:marRight w:val="0"/>
      <w:marTop w:val="0"/>
      <w:marBottom w:val="0"/>
      <w:divBdr>
        <w:top w:val="none" w:sz="0" w:space="0" w:color="auto"/>
        <w:left w:val="none" w:sz="0" w:space="0" w:color="auto"/>
        <w:bottom w:val="none" w:sz="0" w:space="0" w:color="auto"/>
        <w:right w:val="none" w:sz="0" w:space="0" w:color="auto"/>
      </w:divBdr>
    </w:div>
    <w:div w:id="631986093">
      <w:bodyDiv w:val="1"/>
      <w:marLeft w:val="0"/>
      <w:marRight w:val="0"/>
      <w:marTop w:val="0"/>
      <w:marBottom w:val="0"/>
      <w:divBdr>
        <w:top w:val="none" w:sz="0" w:space="0" w:color="auto"/>
        <w:left w:val="none" w:sz="0" w:space="0" w:color="auto"/>
        <w:bottom w:val="none" w:sz="0" w:space="0" w:color="auto"/>
        <w:right w:val="none" w:sz="0" w:space="0" w:color="auto"/>
      </w:divBdr>
    </w:div>
    <w:div w:id="820269924">
      <w:bodyDiv w:val="1"/>
      <w:marLeft w:val="0"/>
      <w:marRight w:val="0"/>
      <w:marTop w:val="0"/>
      <w:marBottom w:val="0"/>
      <w:divBdr>
        <w:top w:val="none" w:sz="0" w:space="0" w:color="auto"/>
        <w:left w:val="none" w:sz="0" w:space="0" w:color="auto"/>
        <w:bottom w:val="none" w:sz="0" w:space="0" w:color="auto"/>
        <w:right w:val="none" w:sz="0" w:space="0" w:color="auto"/>
      </w:divBdr>
    </w:div>
    <w:div w:id="908928976">
      <w:bodyDiv w:val="1"/>
      <w:marLeft w:val="0"/>
      <w:marRight w:val="0"/>
      <w:marTop w:val="0"/>
      <w:marBottom w:val="0"/>
      <w:divBdr>
        <w:top w:val="none" w:sz="0" w:space="0" w:color="auto"/>
        <w:left w:val="none" w:sz="0" w:space="0" w:color="auto"/>
        <w:bottom w:val="none" w:sz="0" w:space="0" w:color="auto"/>
        <w:right w:val="none" w:sz="0" w:space="0" w:color="auto"/>
      </w:divBdr>
    </w:div>
    <w:div w:id="924413563">
      <w:bodyDiv w:val="1"/>
      <w:marLeft w:val="0"/>
      <w:marRight w:val="0"/>
      <w:marTop w:val="0"/>
      <w:marBottom w:val="0"/>
      <w:divBdr>
        <w:top w:val="none" w:sz="0" w:space="0" w:color="auto"/>
        <w:left w:val="none" w:sz="0" w:space="0" w:color="auto"/>
        <w:bottom w:val="none" w:sz="0" w:space="0" w:color="auto"/>
        <w:right w:val="none" w:sz="0" w:space="0" w:color="auto"/>
      </w:divBdr>
    </w:div>
    <w:div w:id="1004743126">
      <w:bodyDiv w:val="1"/>
      <w:marLeft w:val="0"/>
      <w:marRight w:val="0"/>
      <w:marTop w:val="0"/>
      <w:marBottom w:val="0"/>
      <w:divBdr>
        <w:top w:val="none" w:sz="0" w:space="0" w:color="auto"/>
        <w:left w:val="none" w:sz="0" w:space="0" w:color="auto"/>
        <w:bottom w:val="none" w:sz="0" w:space="0" w:color="auto"/>
        <w:right w:val="none" w:sz="0" w:space="0" w:color="auto"/>
      </w:divBdr>
    </w:div>
    <w:div w:id="1208295017">
      <w:bodyDiv w:val="1"/>
      <w:marLeft w:val="0"/>
      <w:marRight w:val="0"/>
      <w:marTop w:val="0"/>
      <w:marBottom w:val="0"/>
      <w:divBdr>
        <w:top w:val="none" w:sz="0" w:space="0" w:color="auto"/>
        <w:left w:val="none" w:sz="0" w:space="0" w:color="auto"/>
        <w:bottom w:val="none" w:sz="0" w:space="0" w:color="auto"/>
        <w:right w:val="none" w:sz="0" w:space="0" w:color="auto"/>
      </w:divBdr>
    </w:div>
    <w:div w:id="1210728120">
      <w:bodyDiv w:val="1"/>
      <w:marLeft w:val="0"/>
      <w:marRight w:val="0"/>
      <w:marTop w:val="0"/>
      <w:marBottom w:val="0"/>
      <w:divBdr>
        <w:top w:val="none" w:sz="0" w:space="0" w:color="auto"/>
        <w:left w:val="none" w:sz="0" w:space="0" w:color="auto"/>
        <w:bottom w:val="none" w:sz="0" w:space="0" w:color="auto"/>
        <w:right w:val="none" w:sz="0" w:space="0" w:color="auto"/>
      </w:divBdr>
    </w:div>
    <w:div w:id="1225990887">
      <w:bodyDiv w:val="1"/>
      <w:marLeft w:val="0"/>
      <w:marRight w:val="0"/>
      <w:marTop w:val="0"/>
      <w:marBottom w:val="0"/>
      <w:divBdr>
        <w:top w:val="none" w:sz="0" w:space="0" w:color="auto"/>
        <w:left w:val="none" w:sz="0" w:space="0" w:color="auto"/>
        <w:bottom w:val="none" w:sz="0" w:space="0" w:color="auto"/>
        <w:right w:val="none" w:sz="0" w:space="0" w:color="auto"/>
      </w:divBdr>
    </w:div>
    <w:div w:id="1243178041">
      <w:bodyDiv w:val="1"/>
      <w:marLeft w:val="0"/>
      <w:marRight w:val="0"/>
      <w:marTop w:val="0"/>
      <w:marBottom w:val="0"/>
      <w:divBdr>
        <w:top w:val="none" w:sz="0" w:space="0" w:color="auto"/>
        <w:left w:val="none" w:sz="0" w:space="0" w:color="auto"/>
        <w:bottom w:val="none" w:sz="0" w:space="0" w:color="auto"/>
        <w:right w:val="none" w:sz="0" w:space="0" w:color="auto"/>
      </w:divBdr>
    </w:div>
    <w:div w:id="1281646399">
      <w:bodyDiv w:val="1"/>
      <w:marLeft w:val="0"/>
      <w:marRight w:val="0"/>
      <w:marTop w:val="0"/>
      <w:marBottom w:val="0"/>
      <w:divBdr>
        <w:top w:val="none" w:sz="0" w:space="0" w:color="auto"/>
        <w:left w:val="none" w:sz="0" w:space="0" w:color="auto"/>
        <w:bottom w:val="none" w:sz="0" w:space="0" w:color="auto"/>
        <w:right w:val="none" w:sz="0" w:space="0" w:color="auto"/>
      </w:divBdr>
    </w:div>
    <w:div w:id="1298534189">
      <w:bodyDiv w:val="1"/>
      <w:marLeft w:val="0"/>
      <w:marRight w:val="0"/>
      <w:marTop w:val="0"/>
      <w:marBottom w:val="0"/>
      <w:divBdr>
        <w:top w:val="none" w:sz="0" w:space="0" w:color="auto"/>
        <w:left w:val="none" w:sz="0" w:space="0" w:color="auto"/>
        <w:bottom w:val="none" w:sz="0" w:space="0" w:color="auto"/>
        <w:right w:val="none" w:sz="0" w:space="0" w:color="auto"/>
      </w:divBdr>
    </w:div>
    <w:div w:id="1417021723">
      <w:bodyDiv w:val="1"/>
      <w:marLeft w:val="0"/>
      <w:marRight w:val="0"/>
      <w:marTop w:val="0"/>
      <w:marBottom w:val="0"/>
      <w:divBdr>
        <w:top w:val="none" w:sz="0" w:space="0" w:color="auto"/>
        <w:left w:val="none" w:sz="0" w:space="0" w:color="auto"/>
        <w:bottom w:val="none" w:sz="0" w:space="0" w:color="auto"/>
        <w:right w:val="none" w:sz="0" w:space="0" w:color="auto"/>
      </w:divBdr>
    </w:div>
    <w:div w:id="1419718285">
      <w:bodyDiv w:val="1"/>
      <w:marLeft w:val="0"/>
      <w:marRight w:val="0"/>
      <w:marTop w:val="0"/>
      <w:marBottom w:val="0"/>
      <w:divBdr>
        <w:top w:val="none" w:sz="0" w:space="0" w:color="auto"/>
        <w:left w:val="none" w:sz="0" w:space="0" w:color="auto"/>
        <w:bottom w:val="none" w:sz="0" w:space="0" w:color="auto"/>
        <w:right w:val="none" w:sz="0" w:space="0" w:color="auto"/>
      </w:divBdr>
    </w:div>
    <w:div w:id="1420326035">
      <w:bodyDiv w:val="1"/>
      <w:marLeft w:val="0"/>
      <w:marRight w:val="0"/>
      <w:marTop w:val="0"/>
      <w:marBottom w:val="0"/>
      <w:divBdr>
        <w:top w:val="none" w:sz="0" w:space="0" w:color="auto"/>
        <w:left w:val="none" w:sz="0" w:space="0" w:color="auto"/>
        <w:bottom w:val="none" w:sz="0" w:space="0" w:color="auto"/>
        <w:right w:val="none" w:sz="0" w:space="0" w:color="auto"/>
      </w:divBdr>
    </w:div>
    <w:div w:id="1575701336">
      <w:bodyDiv w:val="1"/>
      <w:marLeft w:val="0"/>
      <w:marRight w:val="0"/>
      <w:marTop w:val="0"/>
      <w:marBottom w:val="0"/>
      <w:divBdr>
        <w:top w:val="none" w:sz="0" w:space="0" w:color="auto"/>
        <w:left w:val="none" w:sz="0" w:space="0" w:color="auto"/>
        <w:bottom w:val="none" w:sz="0" w:space="0" w:color="auto"/>
        <w:right w:val="none" w:sz="0" w:space="0" w:color="auto"/>
      </w:divBdr>
    </w:div>
    <w:div w:id="1651442347">
      <w:bodyDiv w:val="1"/>
      <w:marLeft w:val="0"/>
      <w:marRight w:val="0"/>
      <w:marTop w:val="0"/>
      <w:marBottom w:val="0"/>
      <w:divBdr>
        <w:top w:val="none" w:sz="0" w:space="0" w:color="auto"/>
        <w:left w:val="none" w:sz="0" w:space="0" w:color="auto"/>
        <w:bottom w:val="none" w:sz="0" w:space="0" w:color="auto"/>
        <w:right w:val="none" w:sz="0" w:space="0" w:color="auto"/>
      </w:divBdr>
    </w:div>
    <w:div w:id="1724988821">
      <w:bodyDiv w:val="1"/>
      <w:marLeft w:val="0"/>
      <w:marRight w:val="0"/>
      <w:marTop w:val="0"/>
      <w:marBottom w:val="0"/>
      <w:divBdr>
        <w:top w:val="none" w:sz="0" w:space="0" w:color="auto"/>
        <w:left w:val="none" w:sz="0" w:space="0" w:color="auto"/>
        <w:bottom w:val="none" w:sz="0" w:space="0" w:color="auto"/>
        <w:right w:val="none" w:sz="0" w:space="0" w:color="auto"/>
      </w:divBdr>
    </w:div>
    <w:div w:id="1735080666">
      <w:bodyDiv w:val="1"/>
      <w:marLeft w:val="0"/>
      <w:marRight w:val="0"/>
      <w:marTop w:val="0"/>
      <w:marBottom w:val="0"/>
      <w:divBdr>
        <w:top w:val="none" w:sz="0" w:space="0" w:color="auto"/>
        <w:left w:val="none" w:sz="0" w:space="0" w:color="auto"/>
        <w:bottom w:val="none" w:sz="0" w:space="0" w:color="auto"/>
        <w:right w:val="none" w:sz="0" w:space="0" w:color="auto"/>
      </w:divBdr>
    </w:div>
    <w:div w:id="1798183013">
      <w:bodyDiv w:val="1"/>
      <w:marLeft w:val="0"/>
      <w:marRight w:val="0"/>
      <w:marTop w:val="0"/>
      <w:marBottom w:val="0"/>
      <w:divBdr>
        <w:top w:val="none" w:sz="0" w:space="0" w:color="auto"/>
        <w:left w:val="none" w:sz="0" w:space="0" w:color="auto"/>
        <w:bottom w:val="none" w:sz="0" w:space="0" w:color="auto"/>
        <w:right w:val="none" w:sz="0" w:space="0" w:color="auto"/>
      </w:divBdr>
    </w:div>
    <w:div w:id="1813516990">
      <w:bodyDiv w:val="1"/>
      <w:marLeft w:val="0"/>
      <w:marRight w:val="0"/>
      <w:marTop w:val="0"/>
      <w:marBottom w:val="0"/>
      <w:divBdr>
        <w:top w:val="none" w:sz="0" w:space="0" w:color="auto"/>
        <w:left w:val="none" w:sz="0" w:space="0" w:color="auto"/>
        <w:bottom w:val="none" w:sz="0" w:space="0" w:color="auto"/>
        <w:right w:val="none" w:sz="0" w:space="0" w:color="auto"/>
      </w:divBdr>
    </w:div>
    <w:div w:id="1898783967">
      <w:bodyDiv w:val="1"/>
      <w:marLeft w:val="0"/>
      <w:marRight w:val="0"/>
      <w:marTop w:val="0"/>
      <w:marBottom w:val="0"/>
      <w:divBdr>
        <w:top w:val="none" w:sz="0" w:space="0" w:color="auto"/>
        <w:left w:val="none" w:sz="0" w:space="0" w:color="auto"/>
        <w:bottom w:val="none" w:sz="0" w:space="0" w:color="auto"/>
        <w:right w:val="none" w:sz="0" w:space="0" w:color="auto"/>
      </w:divBdr>
    </w:div>
    <w:div w:id="1904827048">
      <w:bodyDiv w:val="1"/>
      <w:marLeft w:val="0"/>
      <w:marRight w:val="0"/>
      <w:marTop w:val="0"/>
      <w:marBottom w:val="0"/>
      <w:divBdr>
        <w:top w:val="none" w:sz="0" w:space="0" w:color="auto"/>
        <w:left w:val="none" w:sz="0" w:space="0" w:color="auto"/>
        <w:bottom w:val="none" w:sz="0" w:space="0" w:color="auto"/>
        <w:right w:val="none" w:sz="0" w:space="0" w:color="auto"/>
      </w:divBdr>
    </w:div>
    <w:div w:id="2075001609">
      <w:bodyDiv w:val="1"/>
      <w:marLeft w:val="0"/>
      <w:marRight w:val="0"/>
      <w:marTop w:val="0"/>
      <w:marBottom w:val="0"/>
      <w:divBdr>
        <w:top w:val="none" w:sz="0" w:space="0" w:color="auto"/>
        <w:left w:val="none" w:sz="0" w:space="0" w:color="auto"/>
        <w:bottom w:val="none" w:sz="0" w:space="0" w:color="auto"/>
        <w:right w:val="none" w:sz="0" w:space="0" w:color="auto"/>
      </w:divBdr>
    </w:div>
    <w:div w:id="210976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447</TotalTime>
  <Pages>25</Pages>
  <Words>10252</Words>
  <Characters>70229</Characters>
  <Application>Microsoft Office Word</Application>
  <DocSecurity>0</DocSecurity>
  <Lines>1404</Lines>
  <Paragraphs>449</Paragraphs>
  <ScaleCrop>false</ScaleCrop>
  <Company/>
  <LinksUpToDate>false</LinksUpToDate>
  <CharactersWithSpaces>80032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新军 贺</dc:creator>
  <cp:keywords/>
  <dc:description/>
  <cp:lastModifiedBy>新军 贺</cp:lastModifiedBy>
  <cp:revision>14</cp:revision>
  <dcterms:created xsi:type="dcterms:W3CDTF">2026-04-24T02:38:00Z</dcterms:created>
  <dcterms:modified xsi:type="dcterms:W3CDTF">2026-10-10T09:58:00Z</dcterms:modified>
</cp:coreProperties>
</file>