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5C89A">
      <w:pPr>
        <w:pStyle w:val="21"/>
        <w:keepNext/>
        <w:keepLines/>
        <w:pageBreakBefore w:val="0"/>
        <w:widowControl/>
        <w:kinsoku/>
        <w:wordWrap/>
        <w:overflowPunct/>
        <w:topLinePunct w:val="0"/>
        <w:autoSpaceDE/>
        <w:autoSpaceDN/>
        <w:bidi w:val="0"/>
        <w:adjustRightInd/>
        <w:snapToGrid/>
        <w:spacing w:before="0" w:beforeLines="-2147483648" w:after="100" w:afterLines="-2147483648" w:afterAutospacing="1" w:line="240" w:lineRule="auto"/>
        <w:jc w:val="center"/>
        <w:textAlignment w:val="auto"/>
        <w:rPr>
          <w:rFonts w:hint="eastAsia" w:ascii="Times New Roman" w:hAnsi="Times New Roman" w:eastAsia="黑体" w:cs="Times New Roman"/>
          <w:b/>
          <w:bCs w:val="0"/>
          <w:color w:val="0D0D0D" w:themeColor="text1" w:themeTint="F2"/>
          <w:kern w:val="44"/>
          <w:sz w:val="32"/>
          <w:szCs w:val="44"/>
          <w:highlight w:val="none"/>
          <w:lang w:val="en-US" w:eastAsia="zh-CN"/>
          <w14:textFill>
            <w14:solidFill>
              <w14:schemeClr w14:val="tx1">
                <w14:lumMod w14:val="95000"/>
                <w14:lumOff w14:val="5000"/>
              </w14:schemeClr>
            </w14:solidFill>
          </w14:textFill>
          <w14:ligatures w14:val="standardContextual"/>
        </w:rPr>
      </w:pPr>
      <w:r>
        <w:rPr>
          <w:rFonts w:ascii="Times New Roman" w:hAnsi="Times New Roman" w:cs="Times New Roman"/>
          <w:b/>
          <w:bCs w:val="0"/>
          <w:color w:val="0D0D0D" w:themeColor="text1" w:themeTint="F2"/>
          <w:kern w:val="44"/>
          <w:sz w:val="32"/>
          <w:szCs w:val="44"/>
          <w:highlight w:val="none"/>
          <w14:textFill>
            <w14:solidFill>
              <w14:schemeClr w14:val="tx1">
                <w14:lumMod w14:val="95000"/>
                <w14:lumOff w14:val="5000"/>
              </w14:schemeClr>
            </w14:solidFill>
          </w14:textFill>
          <w14:ligatures w14:val="standardContextual"/>
        </w:rPr>
        <w:t xml:space="preserve">Supplementary </w:t>
      </w:r>
      <w:r>
        <w:rPr>
          <w:rFonts w:hint="eastAsia" w:ascii="Times New Roman" w:hAnsi="Times New Roman" w:cs="Times New Roman"/>
          <w:b/>
          <w:bCs w:val="0"/>
          <w:color w:val="0D0D0D" w:themeColor="text1" w:themeTint="F2"/>
          <w:kern w:val="44"/>
          <w:sz w:val="32"/>
          <w:szCs w:val="44"/>
          <w:highlight w:val="none"/>
          <w14:textFill>
            <w14:solidFill>
              <w14:schemeClr w14:val="tx1">
                <w14:lumMod w14:val="95000"/>
                <w14:lumOff w14:val="5000"/>
              </w14:schemeClr>
            </w14:solidFill>
          </w14:textFill>
          <w14:ligatures w14:val="standardContextual"/>
        </w:rPr>
        <w:t>M</w:t>
      </w:r>
      <w:r>
        <w:rPr>
          <w:rFonts w:ascii="Times New Roman" w:hAnsi="Times New Roman" w:cs="Times New Roman"/>
          <w:b/>
          <w:bCs w:val="0"/>
          <w:color w:val="0D0D0D" w:themeColor="text1" w:themeTint="F2"/>
          <w:kern w:val="44"/>
          <w:sz w:val="32"/>
          <w:szCs w:val="44"/>
          <w:highlight w:val="none"/>
          <w14:textFill>
            <w14:solidFill>
              <w14:schemeClr w14:val="tx1">
                <w14:lumMod w14:val="95000"/>
                <w14:lumOff w14:val="5000"/>
              </w14:schemeClr>
            </w14:solidFill>
          </w14:textFill>
          <w14:ligatures w14:val="standardContextual"/>
        </w:rPr>
        <w:t>aterial</w:t>
      </w:r>
      <w:r>
        <w:rPr>
          <w:rFonts w:hint="eastAsia" w:ascii="Times New Roman" w:hAnsi="Times New Roman" w:cs="Times New Roman"/>
          <w:b/>
          <w:bCs w:val="0"/>
          <w:color w:val="0D0D0D" w:themeColor="text1" w:themeTint="F2"/>
          <w:kern w:val="44"/>
          <w:sz w:val="32"/>
          <w:szCs w:val="44"/>
          <w:highlight w:val="none"/>
          <w:lang w:val="en-US" w:eastAsia="zh-CN"/>
          <w14:textFill>
            <w14:solidFill>
              <w14:schemeClr w14:val="tx1">
                <w14:lumMod w14:val="95000"/>
                <w14:lumOff w14:val="5000"/>
              </w14:schemeClr>
            </w14:solidFill>
          </w14:textFill>
          <w14:ligatures w14:val="standardContextual"/>
        </w:rPr>
        <w:t>s</w:t>
      </w:r>
    </w:p>
    <w:p w14:paraId="3D5FF1D8">
      <w:pPr>
        <w:pStyle w:val="22"/>
        <w:pageBreakBefore w:val="0"/>
        <w:widowControl/>
        <w:kinsoku/>
        <w:wordWrap/>
        <w:overflowPunct/>
        <w:topLinePunct w:val="0"/>
        <w:autoSpaceDE/>
        <w:autoSpaceDN/>
        <w:bidi w:val="0"/>
        <w:adjustRightInd/>
        <w:snapToGrid/>
        <w:spacing w:after="100" w:afterAutospacing="1" w:line="400" w:lineRule="exact"/>
        <w:ind w:firstLine="0" w:firstLineChars="0"/>
        <w:jc w:val="center"/>
        <w:textAlignment w:val="auto"/>
        <w:rPr>
          <w:rFonts w:hint="eastAsia" w:ascii="Times New Roman" w:hAnsi="Times New Roman" w:eastAsia="宋体" w:cs="Times New Roman"/>
          <w:color w:val="0D0D0D" w:themeColor="text1" w:themeTint="F2"/>
          <w:sz w:val="24"/>
          <w:highlight w:val="none"/>
          <w14:textFill>
            <w14:solidFill>
              <w14:schemeClr w14:val="tx1">
                <w14:lumMod w14:val="95000"/>
                <w14:lumOff w14:val="5000"/>
              </w14:schemeClr>
            </w14:solidFill>
          </w14:textFill>
          <w14:ligatures w14:val="standardContextual"/>
        </w:rPr>
      </w:pPr>
      <w:r>
        <w:rPr>
          <w:rFonts w:hint="eastAsia" w:ascii="Times New Roman" w:hAnsi="Times New Roman" w:eastAsia="宋体" w:cs="Times New Roman"/>
          <w:color w:val="0D0D0D" w:themeColor="text1" w:themeTint="F2"/>
          <w:sz w:val="24"/>
          <w:highlight w:val="none"/>
          <w14:textFill>
            <w14:solidFill>
              <w14:schemeClr w14:val="tx1">
                <w14:lumMod w14:val="95000"/>
                <w14:lumOff w14:val="5000"/>
              </w14:schemeClr>
            </w14:solidFill>
          </w14:textFill>
          <w14:ligatures w14:val="standardContextual"/>
        </w:rPr>
        <w:t>for</w:t>
      </w:r>
    </w:p>
    <w:p w14:paraId="775D5A95">
      <w:pPr>
        <w:pStyle w:val="22"/>
        <w:pageBreakBefore w:val="0"/>
        <w:widowControl/>
        <w:kinsoku/>
        <w:wordWrap/>
        <w:overflowPunct/>
        <w:topLinePunct w:val="0"/>
        <w:autoSpaceDE/>
        <w:autoSpaceDN/>
        <w:bidi w:val="0"/>
        <w:adjustRightInd/>
        <w:snapToGrid/>
        <w:spacing w:after="100" w:afterAutospacing="1" w:line="400" w:lineRule="exact"/>
        <w:ind w:firstLine="0" w:firstLineChars="0"/>
        <w:jc w:val="center"/>
        <w:textAlignment w:val="auto"/>
        <w:rPr>
          <w:rFonts w:hint="eastAsia" w:ascii="Times New Roman" w:hAnsi="Times New Roman" w:eastAsia="宋体" w:cs="Times New Roman"/>
          <w:b/>
          <w:bCs/>
          <w:color w:val="0D0D0D" w:themeColor="text1" w:themeTint="F2"/>
          <w:sz w:val="24"/>
          <w:highlight w:val="none"/>
          <w14:textFill>
            <w14:solidFill>
              <w14:schemeClr w14:val="tx1">
                <w14:lumMod w14:val="95000"/>
                <w14:lumOff w14:val="5000"/>
              </w14:schemeClr>
            </w14:solidFill>
          </w14:textFill>
          <w14:ligatures w14:val="standardContextual"/>
        </w:rPr>
      </w:pPr>
      <w:r>
        <w:rPr>
          <w:rFonts w:hint="eastAsia" w:ascii="Times New Roman" w:hAnsi="Times New Roman" w:eastAsia="宋体" w:cs="Times New Roman"/>
          <w:b/>
          <w:bCs/>
          <w:color w:val="0D0D0D" w:themeColor="text1" w:themeTint="F2"/>
          <w:sz w:val="24"/>
          <w:highlight w:val="none"/>
          <w14:textFill>
            <w14:solidFill>
              <w14:schemeClr w14:val="tx1">
                <w14:lumMod w14:val="95000"/>
                <w14:lumOff w14:val="5000"/>
              </w14:schemeClr>
            </w14:solidFill>
          </w14:textFill>
          <w14:ligatures w14:val="standardContextual"/>
        </w:rPr>
        <w:t>The Positive Impact of Electricity Spot Trading on ESG Performance in Energy-Intensive Enterprises</w:t>
      </w:r>
    </w:p>
    <w:p w14:paraId="1A2D97FE">
      <w:pPr>
        <w:pStyle w:val="23"/>
        <w:keepNext w:val="0"/>
        <w:keepLines w:val="0"/>
        <w:pageBreakBefore w:val="0"/>
        <w:widowControl w:val="0"/>
        <w:kinsoku/>
        <w:wordWrap/>
        <w:overflowPunct/>
        <w:topLinePunct w:val="0"/>
        <w:autoSpaceDE/>
        <w:autoSpaceDN/>
        <w:bidi w:val="0"/>
        <w:adjustRightInd/>
        <w:snapToGrid/>
        <w:spacing w:after="100" w:afterAutospacing="1" w:line="240" w:lineRule="auto"/>
        <w:ind w:firstLine="0" w:firstLineChars="0"/>
        <w:jc w:val="center"/>
        <w:textAlignment w:val="auto"/>
        <w:rPr>
          <w:rFonts w:hint="default" w:eastAsia="宋体"/>
          <w:b/>
          <w:bCs/>
          <w:color w:val="0D0D0D" w:themeColor="text1" w:themeTint="F2"/>
          <w:sz w:val="22"/>
          <w:szCs w:val="22"/>
          <w:highlight w:val="none"/>
          <w:vertAlign w:val="baseline"/>
          <w:lang w:val="en-US" w:eastAsia="zh-CN" w:bidi="en-US"/>
          <w14:textFill>
            <w14:solidFill>
              <w14:schemeClr w14:val="tx1">
                <w14:lumMod w14:val="95000"/>
                <w14:lumOff w14:val="5000"/>
              </w14:schemeClr>
            </w14:solidFill>
          </w14:textFill>
        </w:rPr>
      </w:pPr>
      <w:r>
        <w:rPr>
          <w:rFonts w:hint="eastAsia" w:eastAsia="宋体"/>
          <w:b/>
          <w:bCs/>
          <w:color w:val="0D0D0D" w:themeColor="text1" w:themeTint="F2"/>
          <w:sz w:val="22"/>
          <w:szCs w:val="22"/>
          <w:highlight w:val="none"/>
          <w:vertAlign w:val="baseline"/>
          <w:lang w:val="en-US" w:eastAsia="zh-CN" w:bidi="en-US"/>
          <w14:textFill>
            <w14:solidFill>
              <w14:schemeClr w14:val="tx1">
                <w14:lumMod w14:val="95000"/>
                <w14:lumOff w14:val="5000"/>
              </w14:schemeClr>
            </w14:solidFill>
          </w14:textFill>
        </w:rPr>
        <w:t>Weiguang Cai</w:t>
      </w:r>
      <w:r>
        <w:rPr>
          <w:rFonts w:hint="eastAsia" w:eastAsia="宋体"/>
          <w:b/>
          <w:bCs/>
          <w:color w:val="0D0D0D" w:themeColor="text1" w:themeTint="F2"/>
          <w:sz w:val="22"/>
          <w:szCs w:val="22"/>
          <w:highlight w:val="none"/>
          <w:vertAlign w:val="superscript"/>
          <w:lang w:val="en-US" w:eastAsia="zh-CN" w:bidi="en-US"/>
          <w14:textFill>
            <w14:solidFill>
              <w14:schemeClr w14:val="tx1">
                <w14:lumMod w14:val="95000"/>
                <w14:lumOff w14:val="5000"/>
              </w14:schemeClr>
            </w14:solidFill>
          </w14:textFill>
        </w:rPr>
        <w:t>a</w:t>
      </w:r>
      <w:r>
        <w:rPr>
          <w:rFonts w:hint="eastAsia" w:eastAsia="宋体"/>
          <w:b/>
          <w:bCs/>
          <w:color w:val="0D0D0D" w:themeColor="text1" w:themeTint="F2"/>
          <w:sz w:val="22"/>
          <w:szCs w:val="22"/>
          <w:highlight w:val="none"/>
          <w:vertAlign w:val="baseline"/>
          <w:lang w:val="en-US" w:eastAsia="zh-CN" w:bidi="en-US"/>
          <w14:textFill>
            <w14:solidFill>
              <w14:schemeClr w14:val="tx1">
                <w14:lumMod w14:val="95000"/>
                <w14:lumOff w14:val="5000"/>
              </w14:schemeClr>
            </w14:solidFill>
          </w14:textFill>
        </w:rPr>
        <w:t>, Jiachun Li</w:t>
      </w:r>
      <w:r>
        <w:rPr>
          <w:rFonts w:hint="eastAsia" w:eastAsia="宋体"/>
          <w:b/>
          <w:bCs/>
          <w:color w:val="0D0D0D" w:themeColor="text1" w:themeTint="F2"/>
          <w:sz w:val="22"/>
          <w:szCs w:val="22"/>
          <w:highlight w:val="none"/>
          <w:vertAlign w:val="superscript"/>
          <w:lang w:val="en-US" w:eastAsia="zh-CN" w:bidi="en-US"/>
          <w14:textFill>
            <w14:solidFill>
              <w14:schemeClr w14:val="tx1">
                <w14:lumMod w14:val="95000"/>
                <w14:lumOff w14:val="5000"/>
              </w14:schemeClr>
            </w14:solidFill>
          </w14:textFill>
        </w:rPr>
        <w:t>a</w:t>
      </w:r>
      <w:r>
        <w:rPr>
          <w:rFonts w:hint="eastAsia" w:eastAsia="宋体"/>
          <w:b/>
          <w:bCs/>
          <w:color w:val="0D0D0D" w:themeColor="text1" w:themeTint="F2"/>
          <w:sz w:val="22"/>
          <w:szCs w:val="22"/>
          <w:highlight w:val="none"/>
          <w:vertAlign w:val="baseline"/>
          <w:lang w:val="en-US" w:eastAsia="zh-CN" w:bidi="en-US"/>
          <w14:textFill>
            <w14:solidFill>
              <w14:schemeClr w14:val="tx1">
                <w14:lumMod w14:val="95000"/>
                <w14:lumOff w14:val="5000"/>
              </w14:schemeClr>
            </w14:solidFill>
          </w14:textFill>
        </w:rPr>
        <w:t xml:space="preserve">, </w:t>
      </w:r>
      <w:r>
        <w:rPr>
          <w:b/>
          <w:bCs/>
          <w:color w:val="0D0D0D" w:themeColor="text1" w:themeTint="F2"/>
          <w:sz w:val="22"/>
          <w:szCs w:val="22"/>
          <w:highlight w:val="none"/>
          <w:lang w:bidi="en-US"/>
          <w14:textFill>
            <w14:solidFill>
              <w14:schemeClr w14:val="tx1">
                <w14:lumMod w14:val="95000"/>
                <w14:lumOff w14:val="5000"/>
              </w14:schemeClr>
            </w14:solidFill>
          </w14:textFill>
        </w:rPr>
        <w:t>Chengcheng Zhu</w:t>
      </w:r>
      <w:r>
        <w:rPr>
          <w:rFonts w:hint="eastAsia" w:eastAsia="宋体"/>
          <w:b/>
          <w:bCs/>
          <w:color w:val="0D0D0D" w:themeColor="text1" w:themeTint="F2"/>
          <w:sz w:val="22"/>
          <w:szCs w:val="22"/>
          <w:highlight w:val="none"/>
          <w:vertAlign w:val="superscript"/>
          <w:lang w:val="en-US" w:eastAsia="zh-CN" w:bidi="en-US"/>
          <w14:textFill>
            <w14:solidFill>
              <w14:schemeClr w14:val="tx1">
                <w14:lumMod w14:val="95000"/>
                <w14:lumOff w14:val="5000"/>
              </w14:schemeClr>
            </w14:solidFill>
          </w14:textFill>
        </w:rPr>
        <w:t>a, *</w:t>
      </w:r>
    </w:p>
    <w:p w14:paraId="4F892EE0">
      <w:pPr>
        <w:pageBreakBefore w:val="0"/>
        <w:numPr>
          <w:ilvl w:val="0"/>
          <w:numId w:val="0"/>
        </w:numPr>
        <w:kinsoku/>
        <w:wordWrap/>
        <w:overflowPunct/>
        <w:topLinePunct w:val="0"/>
        <w:autoSpaceDE/>
        <w:autoSpaceDN/>
        <w:bidi w:val="0"/>
        <w:adjustRightInd/>
        <w:snapToGrid/>
        <w:spacing w:after="100" w:afterAutospacing="1" w:line="240" w:lineRule="auto"/>
        <w:ind w:left="0" w:leftChars="0"/>
        <w:jc w:val="both"/>
        <w:textAlignment w:val="auto"/>
        <w:rPr>
          <w:rFonts w:hint="default"/>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kern w:val="2"/>
          <w:sz w:val="22"/>
          <w:szCs w:val="22"/>
          <w:highlight w:val="none"/>
          <w:vertAlign w:val="superscript"/>
          <w:lang w:val="en-US" w:eastAsia="zh-CN" w:bidi="ar-SA"/>
          <w14:textFill>
            <w14:solidFill>
              <w14:schemeClr w14:val="tx1">
                <w14:lumMod w14:val="95000"/>
                <w14:lumOff w14:val="5000"/>
              </w14:schemeClr>
            </w14:solidFill>
          </w14:textFill>
        </w:rPr>
        <w:t>a</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w:t>
      </w:r>
      <w:r>
        <w:rPr>
          <w:rFonts w:hint="default" w:ascii="Times New Roman" w:hAnsi="Times New Roman" w:cs="Times New Roman" w:eastAsiaTheme="minorEastAsia"/>
          <w:b w:val="0"/>
          <w:bCs/>
          <w:color w:val="0D0D0D" w:themeColor="text1" w:themeTint="F2"/>
          <w:kern w:val="2"/>
          <w:sz w:val="22"/>
          <w:szCs w:val="22"/>
          <w:highlight w:val="none"/>
          <w:lang w:val="en-US" w:eastAsia="zh-CN" w:bidi="en-US"/>
          <w14:textFill>
            <w14:solidFill>
              <w14:schemeClr w14:val="tx1">
                <w14:lumMod w14:val="95000"/>
                <w14:lumOff w14:val="5000"/>
              </w14:schemeClr>
            </w14:solidFill>
          </w14:textFill>
        </w:rPr>
        <w:t>School of Management Science &amp; Real Estate, Chongqing University, Chongqing 400044, China;</w:t>
      </w:r>
      <w:r>
        <w:rPr>
          <w:rFonts w:hint="eastAsia" w:ascii="Times New Roman" w:hAnsi="Times New Roman" w:cs="Times New Roman" w:eastAsiaTheme="minorEastAsia"/>
          <w:b w:val="0"/>
          <w:bCs/>
          <w:color w:val="0D0D0D" w:themeColor="text1" w:themeTint="F2"/>
          <w:kern w:val="2"/>
          <w:sz w:val="22"/>
          <w:szCs w:val="22"/>
          <w:highlight w:val="none"/>
          <w:lang w:val="en-US" w:eastAsia="zh-CN" w:bidi="en-US"/>
          <w14:textFill>
            <w14:solidFill>
              <w14:schemeClr w14:val="tx1">
                <w14:lumMod w14:val="95000"/>
                <w14:lumOff w14:val="5000"/>
              </w14:schemeClr>
            </w14:solidFill>
          </w14:textFill>
        </w:rPr>
        <w:t xml:space="preserve"> Email: </w:t>
      </w:r>
      <w:r>
        <w:rPr>
          <w:rFonts w:hint="eastAsia" w:ascii="Times New Roman" w:hAnsi="Times New Roman" w:cs="Times New Roman" w:eastAsiaTheme="minorEastAsia"/>
          <w:b w:val="0"/>
          <w:bCs/>
          <w:color w:val="0D0D0D" w:themeColor="text1" w:themeTint="F2"/>
          <w:kern w:val="2"/>
          <w:sz w:val="22"/>
          <w:szCs w:val="22"/>
          <w:highlight w:val="none"/>
          <w:lang w:val="en-US" w:eastAsia="zh-CN" w:bidi="en-US"/>
          <w14:textFill>
            <w14:solidFill>
              <w14:schemeClr w14:val="tx1">
                <w14:lumMod w14:val="95000"/>
                <w14:lumOff w14:val="5000"/>
              </w14:schemeClr>
            </w14:solidFill>
          </w14:textFill>
        </w:rPr>
        <w:fldChar w:fldCharType="begin"/>
      </w:r>
      <w:r>
        <w:rPr>
          <w:rFonts w:hint="eastAsia" w:ascii="Times New Roman" w:hAnsi="Times New Roman" w:cs="Times New Roman" w:eastAsiaTheme="minorEastAsia"/>
          <w:b w:val="0"/>
          <w:bCs/>
          <w:color w:val="0D0D0D" w:themeColor="text1" w:themeTint="F2"/>
          <w:kern w:val="2"/>
          <w:sz w:val="22"/>
          <w:szCs w:val="22"/>
          <w:highlight w:val="none"/>
          <w:lang w:val="en-US" w:eastAsia="zh-CN" w:bidi="en-US"/>
          <w14:textFill>
            <w14:solidFill>
              <w14:schemeClr w14:val="tx1">
                <w14:lumMod w14:val="95000"/>
                <w14:lumOff w14:val="5000"/>
              </w14:schemeClr>
            </w14:solidFill>
          </w14:textFill>
        </w:rPr>
        <w:instrText xml:space="preserve"> HYPERLINK "mailto:wgcai@cqu.edu.cn" </w:instrText>
      </w:r>
      <w:r>
        <w:rPr>
          <w:rFonts w:hint="eastAsia" w:ascii="Times New Roman" w:hAnsi="Times New Roman" w:cs="Times New Roman" w:eastAsiaTheme="minorEastAsia"/>
          <w:b w:val="0"/>
          <w:bCs/>
          <w:color w:val="0D0D0D" w:themeColor="text1" w:themeTint="F2"/>
          <w:kern w:val="2"/>
          <w:sz w:val="22"/>
          <w:szCs w:val="22"/>
          <w:highlight w:val="none"/>
          <w:lang w:val="en-US" w:eastAsia="zh-CN" w:bidi="en-US"/>
          <w14:textFill>
            <w14:solidFill>
              <w14:schemeClr w14:val="tx1">
                <w14:lumMod w14:val="95000"/>
                <w14:lumOff w14:val="5000"/>
              </w14:schemeClr>
            </w14:solidFill>
          </w14:textFill>
        </w:rPr>
        <w:fldChar w:fldCharType="separate"/>
      </w:r>
      <w:r>
        <w:rPr>
          <w:rFonts w:hint="eastAsia" w:ascii="Times New Roman" w:hAnsi="Times New Roman" w:cs="Times New Roman" w:eastAsiaTheme="minorEastAsia"/>
          <w:b w:val="0"/>
          <w:bCs/>
          <w:color w:val="0D0D0D" w:themeColor="text1" w:themeTint="F2"/>
          <w:kern w:val="2"/>
          <w:sz w:val="22"/>
          <w:szCs w:val="22"/>
          <w:highlight w:val="none"/>
          <w:lang w:val="en-US" w:eastAsia="zh-CN" w:bidi="en-US"/>
          <w14:textFill>
            <w14:solidFill>
              <w14:schemeClr w14:val="tx1">
                <w14:lumMod w14:val="95000"/>
                <w14:lumOff w14:val="5000"/>
              </w14:schemeClr>
            </w14:solidFill>
          </w14:textFill>
        </w:rPr>
        <w:t>wgcai@cqu.edu.cn</w:t>
      </w:r>
      <w:r>
        <w:rPr>
          <w:rFonts w:hint="eastAsia" w:ascii="Times New Roman" w:hAnsi="Times New Roman" w:cs="Times New Roman" w:eastAsiaTheme="minorEastAsia"/>
          <w:b w:val="0"/>
          <w:bCs/>
          <w:color w:val="0D0D0D" w:themeColor="text1" w:themeTint="F2"/>
          <w:kern w:val="2"/>
          <w:sz w:val="22"/>
          <w:szCs w:val="22"/>
          <w:highlight w:val="none"/>
          <w:lang w:val="en-US" w:eastAsia="zh-CN" w:bidi="en-US"/>
          <w14:textFill>
            <w14:solidFill>
              <w14:schemeClr w14:val="tx1">
                <w14:lumMod w14:val="95000"/>
                <w14:lumOff w14:val="5000"/>
              </w14:schemeClr>
            </w14:solidFill>
          </w14:textFill>
        </w:rPr>
        <w:fldChar w:fldCharType="end"/>
      </w:r>
    </w:p>
    <w:p w14:paraId="0DA416EE">
      <w:pPr>
        <w:pageBreakBefore w:val="0"/>
        <w:numPr>
          <w:ilvl w:val="0"/>
          <w:numId w:val="0"/>
        </w:numPr>
        <w:kinsoku/>
        <w:wordWrap/>
        <w:overflowPunct/>
        <w:topLinePunct w:val="0"/>
        <w:autoSpaceDE/>
        <w:autoSpaceDN/>
        <w:bidi w:val="0"/>
        <w:adjustRightInd/>
        <w:snapToGrid/>
        <w:spacing w:after="100" w:afterAutospacing="1" w:line="240" w:lineRule="auto"/>
        <w:jc w:val="both"/>
        <w:textAlignment w:val="auto"/>
        <w:rPr>
          <w:rFonts w:hint="default" w:ascii="Times New Roman" w:hAnsi="Times New Roman" w:cs="Times New Roman"/>
          <w:b w:val="0"/>
          <w:bCs/>
          <w:color w:val="0D0D0D" w:themeColor="text1" w:themeTint="F2"/>
          <w:sz w:val="22"/>
          <w:szCs w:val="22"/>
          <w:highlight w:val="none"/>
          <w:lang w:val="en-US" w:eastAsia="zh-CN" w:bidi="en-US"/>
          <w14:textFill>
            <w14:solidFill>
              <w14:schemeClr w14:val="tx1">
                <w14:lumMod w14:val="95000"/>
                <w14:lumOff w14:val="5000"/>
              </w14:schemeClr>
            </w14:solidFill>
          </w14:textFill>
        </w:rPr>
      </w:pPr>
      <w:r>
        <w:rPr>
          <w:rFonts w:hint="eastAsia" w:ascii="Times New Roman" w:hAnsi="Times New Roman" w:cs="Times New Roman"/>
          <w:b w:val="0"/>
          <w:bCs/>
          <w:color w:val="0D0D0D" w:themeColor="text1" w:themeTint="F2"/>
          <w:sz w:val="22"/>
          <w:szCs w:val="22"/>
          <w:highlight w:val="none"/>
          <w:lang w:val="en-US" w:eastAsia="zh-CN" w:bidi="en-US"/>
          <w14:textFill>
            <w14:solidFill>
              <w14:schemeClr w14:val="tx1">
                <w14:lumMod w14:val="95000"/>
                <w14:lumOff w14:val="5000"/>
              </w14:schemeClr>
            </w14:solidFill>
          </w14:textFill>
        </w:rPr>
        <w:t>* Corresponding author: Chengcheng Zhu (zcc19960508@foxmail.com)</w:t>
      </w:r>
    </w:p>
    <w:p w14:paraId="2E9AE9EF">
      <w:pPr>
        <w:keepNext w:val="0"/>
        <w:keepLines w:val="0"/>
        <w:pageBreakBefore w:val="0"/>
        <w:kinsoku/>
        <w:wordWrap/>
        <w:overflowPunct/>
        <w:topLinePunct w:val="0"/>
        <w:autoSpaceDE/>
        <w:autoSpaceDN/>
        <w:bidi w:val="0"/>
        <w:adjustRightInd/>
        <w:snapToGrid/>
        <w:spacing w:line="400" w:lineRule="exact"/>
        <w:ind w:left="0"/>
        <w:jc w:val="both"/>
        <w:outlineLvl w:val="0"/>
        <w:rPr>
          <w:rFonts w:hint="default" w:ascii="Times New Roman" w:hAnsi="Times New Roman" w:eastAsia="宋体" w:cs="Times New Roman"/>
          <w:b/>
          <w:bCs/>
          <w:color w:val="0D0D0D" w:themeColor="text1" w:themeTint="F2"/>
          <w:sz w:val="22"/>
          <w:szCs w:val="22"/>
          <w:highlight w:val="none"/>
          <w14:textFill>
            <w14:solidFill>
              <w14:schemeClr w14:val="tx1">
                <w14:lumMod w14:val="95000"/>
                <w14:lumOff w14:val="5000"/>
              </w14:schemeClr>
            </w14:solidFill>
          </w14:textFill>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FA9A6C4">
      <w:pPr>
        <w:keepNext w:val="0"/>
        <w:keepLines w:val="0"/>
        <w:pageBreakBefore w:val="0"/>
        <w:kinsoku/>
        <w:wordWrap/>
        <w:overflowPunct/>
        <w:topLinePunct w:val="0"/>
        <w:autoSpaceDE/>
        <w:autoSpaceDN/>
        <w:bidi w:val="0"/>
        <w:adjustRightInd/>
        <w:snapToGrid/>
        <w:spacing w:line="400" w:lineRule="exact"/>
        <w:ind w:left="0"/>
        <w:jc w:val="both"/>
        <w:outlineLvl w:val="0"/>
        <w:rPr>
          <w:rFonts w:hint="default"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b/>
          <w:bCs/>
          <w:color w:val="0D0D0D" w:themeColor="text1" w:themeTint="F2"/>
          <w:sz w:val="22"/>
          <w:szCs w:val="22"/>
          <w:highlight w:val="none"/>
          <w14:textFill>
            <w14:solidFill>
              <w14:schemeClr w14:val="tx1">
                <w14:lumMod w14:val="95000"/>
                <w14:lumOff w14:val="5000"/>
              </w14:schemeClr>
            </w14:solidFill>
          </w14:textFill>
        </w:rPr>
        <w:t xml:space="preserve">Supplementary </w:t>
      </w: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Tables</w:t>
      </w:r>
    </w:p>
    <w:p w14:paraId="0E2D5440">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1"/>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Table S1.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Pilot Regions for China's Electricity Spot Markets</w:t>
      </w:r>
    </w:p>
    <w:tbl>
      <w:tblPr>
        <w:tblStyle w:val="13"/>
        <w:tblW w:w="4998" w:type="pct"/>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566"/>
        <w:gridCol w:w="3197"/>
        <w:gridCol w:w="2756"/>
      </w:tblGrid>
      <w:tr w14:paraId="7FB1BC0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tcBorders>
              <w:tl2br w:val="nil"/>
              <w:tr2bl w:val="nil"/>
            </w:tcBorders>
            <w:vAlign w:val="center"/>
          </w:tcPr>
          <w:p w14:paraId="24747047">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Batch</w:t>
            </w:r>
          </w:p>
        </w:tc>
        <w:tc>
          <w:tcPr>
            <w:tcW w:w="1876" w:type="pct"/>
            <w:tcBorders>
              <w:tl2br w:val="nil"/>
              <w:tr2bl w:val="nil"/>
            </w:tcBorders>
            <w:vAlign w:val="center"/>
          </w:tcPr>
          <w:p w14:paraId="276A8391">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Location</w:t>
            </w:r>
          </w:p>
        </w:tc>
        <w:tc>
          <w:tcPr>
            <w:tcW w:w="1617" w:type="pct"/>
            <w:tcBorders>
              <w:tl2br w:val="nil"/>
              <w:tr2bl w:val="nil"/>
            </w:tcBorders>
            <w:vAlign w:val="center"/>
          </w:tcPr>
          <w:p w14:paraId="199ED903">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w:t>
            </w:r>
          </w:p>
        </w:tc>
      </w:tr>
      <w:tr w14:paraId="39BA711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restart"/>
            <w:tcBorders>
              <w:tl2br w:val="nil"/>
              <w:tr2bl w:val="nil"/>
            </w:tcBorders>
            <w:vAlign w:val="center"/>
          </w:tcPr>
          <w:p w14:paraId="4E193684">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First Batch</w:t>
            </w:r>
          </w:p>
        </w:tc>
        <w:tc>
          <w:tcPr>
            <w:tcW w:w="1876" w:type="pct"/>
            <w:vMerge w:val="restart"/>
            <w:tcBorders>
              <w:tl2br w:val="nil"/>
              <w:tr2bl w:val="nil"/>
            </w:tcBorders>
            <w:vAlign w:val="center"/>
          </w:tcPr>
          <w:p w14:paraId="42456E68">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Eastern Region</w:t>
            </w:r>
          </w:p>
        </w:tc>
        <w:tc>
          <w:tcPr>
            <w:tcW w:w="1617" w:type="pct"/>
            <w:tcBorders>
              <w:bottom w:val="nil"/>
            </w:tcBorders>
            <w:vAlign w:val="center"/>
          </w:tcPr>
          <w:p w14:paraId="05534D19">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Guangdong</w:t>
            </w:r>
          </w:p>
        </w:tc>
      </w:tr>
      <w:tr w14:paraId="36788E3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013CD08B">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121F3401">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617" w:type="pct"/>
            <w:tcBorders>
              <w:top w:val="nil"/>
              <w:bottom w:val="nil"/>
            </w:tcBorders>
            <w:vAlign w:val="center"/>
          </w:tcPr>
          <w:p w14:paraId="327C1A28">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Zhejiang</w:t>
            </w:r>
          </w:p>
        </w:tc>
      </w:tr>
      <w:tr w14:paraId="67BC40E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67F1DA9E">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2CFFFDE1">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617" w:type="pct"/>
            <w:tcBorders>
              <w:top w:val="nil"/>
              <w:bottom w:val="nil"/>
            </w:tcBorders>
            <w:vAlign w:val="center"/>
          </w:tcPr>
          <w:p w14:paraId="4E92829F">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Shandong</w:t>
            </w:r>
          </w:p>
        </w:tc>
      </w:tr>
      <w:tr w14:paraId="3C5B003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2FF53247">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5E5C87B0">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617" w:type="pct"/>
            <w:tcBorders>
              <w:top w:val="nil"/>
            </w:tcBorders>
            <w:vAlign w:val="center"/>
          </w:tcPr>
          <w:p w14:paraId="720DBEDD">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Fujian</w:t>
            </w:r>
          </w:p>
        </w:tc>
      </w:tr>
      <w:tr w14:paraId="0E18FD1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49DB827A">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tcBorders>
              <w:tl2br w:val="nil"/>
              <w:tr2bl w:val="nil"/>
            </w:tcBorders>
            <w:vAlign w:val="center"/>
          </w:tcPr>
          <w:p w14:paraId="77DE463E">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Central Region</w:t>
            </w:r>
          </w:p>
        </w:tc>
        <w:tc>
          <w:tcPr>
            <w:tcW w:w="1617" w:type="pct"/>
            <w:tcBorders>
              <w:tl2br w:val="nil"/>
              <w:tr2bl w:val="nil"/>
            </w:tcBorders>
            <w:vAlign w:val="center"/>
          </w:tcPr>
          <w:p w14:paraId="3BCE98F4">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Shanxi</w:t>
            </w:r>
          </w:p>
        </w:tc>
      </w:tr>
      <w:tr w14:paraId="04C046D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1A38F562">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restart"/>
            <w:tcBorders>
              <w:tl2br w:val="nil"/>
              <w:tr2bl w:val="nil"/>
            </w:tcBorders>
            <w:vAlign w:val="center"/>
          </w:tcPr>
          <w:p w14:paraId="67792098">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Western Region</w:t>
            </w:r>
          </w:p>
        </w:tc>
        <w:tc>
          <w:tcPr>
            <w:tcW w:w="1617" w:type="pct"/>
            <w:tcBorders>
              <w:bottom w:val="nil"/>
            </w:tcBorders>
            <w:vAlign w:val="center"/>
          </w:tcPr>
          <w:p w14:paraId="7678C1C2">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Inner Mongolia</w:t>
            </w:r>
          </w:p>
        </w:tc>
      </w:tr>
      <w:tr w14:paraId="5591CA6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2E951DD9">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41C97BFC">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617" w:type="pct"/>
            <w:tcBorders>
              <w:top w:val="nil"/>
              <w:bottom w:val="nil"/>
            </w:tcBorders>
            <w:vAlign w:val="center"/>
          </w:tcPr>
          <w:p w14:paraId="6E862DBB">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Sichuan</w:t>
            </w:r>
          </w:p>
        </w:tc>
      </w:tr>
      <w:tr w14:paraId="585DDE3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51EE9639">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06041633">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617" w:type="pct"/>
            <w:tcBorders>
              <w:top w:val="nil"/>
            </w:tcBorders>
            <w:vAlign w:val="center"/>
          </w:tcPr>
          <w:p w14:paraId="17B18F0B">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Gansu</w:t>
            </w:r>
          </w:p>
        </w:tc>
      </w:tr>
      <w:tr w14:paraId="601543E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restart"/>
            <w:tcBorders>
              <w:tl2br w:val="nil"/>
              <w:tr2bl w:val="nil"/>
            </w:tcBorders>
            <w:vAlign w:val="center"/>
          </w:tcPr>
          <w:p w14:paraId="33A082C0">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Second Batch</w:t>
            </w:r>
          </w:p>
        </w:tc>
        <w:tc>
          <w:tcPr>
            <w:tcW w:w="1876" w:type="pct"/>
            <w:vMerge w:val="restart"/>
            <w:tcBorders>
              <w:tl2br w:val="nil"/>
              <w:tr2bl w:val="nil"/>
            </w:tcBorders>
            <w:vAlign w:val="center"/>
          </w:tcPr>
          <w:p w14:paraId="12A643B5">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Eastern Region</w:t>
            </w:r>
          </w:p>
        </w:tc>
        <w:tc>
          <w:tcPr>
            <w:tcW w:w="1617" w:type="pct"/>
            <w:tcBorders>
              <w:bottom w:val="nil"/>
            </w:tcBorders>
            <w:vAlign w:val="center"/>
          </w:tcPr>
          <w:p w14:paraId="103B96AB">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Shanghai</w:t>
            </w:r>
          </w:p>
        </w:tc>
      </w:tr>
      <w:tr w14:paraId="0ED1676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72FB2AD5">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36601C66">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617" w:type="pct"/>
            <w:tcBorders>
              <w:top w:val="nil"/>
              <w:bottom w:val="nil"/>
            </w:tcBorders>
            <w:vAlign w:val="center"/>
          </w:tcPr>
          <w:p w14:paraId="7E5CE33B">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Jiangsu</w:t>
            </w:r>
          </w:p>
        </w:tc>
      </w:tr>
      <w:tr w14:paraId="43BB823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375D21AB">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3CF50AE9">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617" w:type="pct"/>
            <w:tcBorders>
              <w:top w:val="nil"/>
            </w:tcBorders>
            <w:vAlign w:val="center"/>
          </w:tcPr>
          <w:p w14:paraId="58153ABF">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Liaoning</w:t>
            </w:r>
          </w:p>
        </w:tc>
      </w:tr>
      <w:tr w14:paraId="044B221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5BB904C8">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restart"/>
            <w:tcBorders>
              <w:tl2br w:val="nil"/>
              <w:tr2bl w:val="nil"/>
            </w:tcBorders>
            <w:vAlign w:val="center"/>
          </w:tcPr>
          <w:p w14:paraId="57CD7D7E">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t>Central Region</w:t>
            </w:r>
          </w:p>
        </w:tc>
        <w:tc>
          <w:tcPr>
            <w:tcW w:w="1617" w:type="pct"/>
            <w:tcBorders>
              <w:bottom w:val="nil"/>
            </w:tcBorders>
            <w:vAlign w:val="center"/>
          </w:tcPr>
          <w:p w14:paraId="12E3D954">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t>Henan</w:t>
            </w:r>
          </w:p>
        </w:tc>
      </w:tr>
      <w:tr w14:paraId="5F59A4E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7862D12F">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6BF22B8A">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617" w:type="pct"/>
            <w:tcBorders>
              <w:top w:val="nil"/>
              <w:bottom w:val="nil"/>
            </w:tcBorders>
            <w:vAlign w:val="center"/>
          </w:tcPr>
          <w:p w14:paraId="7A0561B1">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t>Anhui</w:t>
            </w:r>
          </w:p>
        </w:tc>
      </w:tr>
      <w:tr w14:paraId="160CAA5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3D9A016D">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5498A160">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617" w:type="pct"/>
            <w:tcBorders>
              <w:top w:val="nil"/>
            </w:tcBorders>
            <w:vAlign w:val="center"/>
          </w:tcPr>
          <w:p w14:paraId="53FB5C04">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t>Hubei</w:t>
            </w:r>
          </w:p>
        </w:tc>
      </w:tr>
    </w:tbl>
    <w:p w14:paraId="5A4FEF99">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pPr>
    </w:p>
    <w:p w14:paraId="60FEA6A4">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1"/>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Table S2.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Classification of Energy-Intensive Industries</w:t>
      </w:r>
    </w:p>
    <w:tbl>
      <w:tblPr>
        <w:tblStyle w:val="13"/>
        <w:tblW w:w="4998" w:type="pct"/>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585"/>
        <w:gridCol w:w="3361"/>
        <w:gridCol w:w="2573"/>
      </w:tblGrid>
      <w:tr w14:paraId="3445754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rPr>
        <w:tc>
          <w:tcPr>
            <w:tcW w:w="1517" w:type="pct"/>
            <w:tcBorders>
              <w:tl2br w:val="nil"/>
              <w:tr2bl w:val="nil"/>
            </w:tcBorders>
            <w:vAlign w:val="center"/>
          </w:tcPr>
          <w:p w14:paraId="3AA0F9C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Primary Category</w:t>
            </w:r>
          </w:p>
        </w:tc>
        <w:tc>
          <w:tcPr>
            <w:tcW w:w="1972" w:type="pct"/>
            <w:tcBorders>
              <w:tl2br w:val="nil"/>
              <w:tr2bl w:val="nil"/>
            </w:tcBorders>
            <w:vAlign w:val="center"/>
          </w:tcPr>
          <w:p w14:paraId="3F8946A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Secondary Category</w:t>
            </w:r>
          </w:p>
        </w:tc>
        <w:tc>
          <w:tcPr>
            <w:tcW w:w="1510" w:type="pct"/>
            <w:tcBorders>
              <w:tl2br w:val="nil"/>
              <w:tr2bl w:val="nil"/>
            </w:tcBorders>
            <w:vAlign w:val="center"/>
          </w:tcPr>
          <w:p w14:paraId="644ECD4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Secondary Category Code</w:t>
            </w:r>
          </w:p>
        </w:tc>
      </w:tr>
      <w:tr w14:paraId="28B5A95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rPr>
        <w:tc>
          <w:tcPr>
            <w:tcW w:w="1517" w:type="pct"/>
            <w:vMerge w:val="restart"/>
            <w:tcBorders>
              <w:tl2br w:val="nil"/>
              <w:tr2bl w:val="nil"/>
            </w:tcBorders>
            <w:vAlign w:val="center"/>
          </w:tcPr>
          <w:p w14:paraId="7B84E31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Manufacturing</w:t>
            </w:r>
          </w:p>
        </w:tc>
        <w:tc>
          <w:tcPr>
            <w:tcW w:w="1972" w:type="pct"/>
            <w:tcBorders>
              <w:bottom w:val="nil"/>
            </w:tcBorders>
            <w:vAlign w:val="center"/>
          </w:tcPr>
          <w:p w14:paraId="19526C6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Petroleum, Coal, and Other Fuel Processing</w:t>
            </w:r>
          </w:p>
        </w:tc>
        <w:tc>
          <w:tcPr>
            <w:tcW w:w="1510" w:type="pct"/>
            <w:tcBorders>
              <w:bottom w:val="nil"/>
            </w:tcBorders>
            <w:vAlign w:val="center"/>
          </w:tcPr>
          <w:p w14:paraId="56A7ACC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C25</w:t>
            </w:r>
          </w:p>
        </w:tc>
      </w:tr>
      <w:tr w14:paraId="5BCF8F0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rPr>
        <w:tc>
          <w:tcPr>
            <w:tcW w:w="1517" w:type="pct"/>
            <w:vMerge w:val="continue"/>
            <w:tcBorders>
              <w:tl2br w:val="nil"/>
              <w:tr2bl w:val="nil"/>
            </w:tcBorders>
            <w:vAlign w:val="center"/>
          </w:tcPr>
          <w:p w14:paraId="4D79A46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72" w:type="pct"/>
            <w:tcBorders>
              <w:top w:val="nil"/>
              <w:bottom w:val="nil"/>
            </w:tcBorders>
            <w:vAlign w:val="center"/>
          </w:tcPr>
          <w:p w14:paraId="715DC30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Chemical Raw Materials and Chemical Products Manufacturing</w:t>
            </w:r>
          </w:p>
        </w:tc>
        <w:tc>
          <w:tcPr>
            <w:tcW w:w="1510" w:type="pct"/>
            <w:tcBorders>
              <w:top w:val="nil"/>
              <w:bottom w:val="nil"/>
            </w:tcBorders>
            <w:vAlign w:val="center"/>
          </w:tcPr>
          <w:p w14:paraId="3F58D4D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C26</w:t>
            </w:r>
          </w:p>
        </w:tc>
      </w:tr>
      <w:tr w14:paraId="36B9BD4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rPr>
        <w:tc>
          <w:tcPr>
            <w:tcW w:w="1517" w:type="pct"/>
            <w:vMerge w:val="continue"/>
            <w:tcBorders>
              <w:tl2br w:val="nil"/>
              <w:tr2bl w:val="nil"/>
            </w:tcBorders>
            <w:vAlign w:val="center"/>
          </w:tcPr>
          <w:p w14:paraId="02D9DEA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72" w:type="pct"/>
            <w:tcBorders>
              <w:top w:val="nil"/>
              <w:bottom w:val="nil"/>
            </w:tcBorders>
            <w:vAlign w:val="center"/>
          </w:tcPr>
          <w:p w14:paraId="277D8FA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Non-metallic Mineral Products Manufacturing</w:t>
            </w:r>
          </w:p>
        </w:tc>
        <w:tc>
          <w:tcPr>
            <w:tcW w:w="1510" w:type="pct"/>
            <w:tcBorders>
              <w:top w:val="nil"/>
              <w:bottom w:val="nil"/>
            </w:tcBorders>
            <w:vAlign w:val="center"/>
          </w:tcPr>
          <w:p w14:paraId="11F596C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C30</w:t>
            </w:r>
          </w:p>
        </w:tc>
      </w:tr>
      <w:tr w14:paraId="556C515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rPr>
        <w:tc>
          <w:tcPr>
            <w:tcW w:w="1517" w:type="pct"/>
            <w:vMerge w:val="continue"/>
            <w:tcBorders>
              <w:tl2br w:val="nil"/>
              <w:tr2bl w:val="nil"/>
            </w:tcBorders>
            <w:vAlign w:val="center"/>
          </w:tcPr>
          <w:p w14:paraId="0A33A0D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72" w:type="pct"/>
            <w:tcBorders>
              <w:top w:val="nil"/>
              <w:bottom w:val="nil"/>
            </w:tcBorders>
            <w:vAlign w:val="center"/>
          </w:tcPr>
          <w:p w14:paraId="6C40FD9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Ferrous Metal Smelting and Rolling Processing</w:t>
            </w:r>
          </w:p>
        </w:tc>
        <w:tc>
          <w:tcPr>
            <w:tcW w:w="1510" w:type="pct"/>
            <w:tcBorders>
              <w:top w:val="nil"/>
              <w:bottom w:val="nil"/>
            </w:tcBorders>
            <w:vAlign w:val="center"/>
          </w:tcPr>
          <w:p w14:paraId="33317BB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C31</w:t>
            </w:r>
          </w:p>
        </w:tc>
      </w:tr>
      <w:tr w14:paraId="57CA095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rPr>
        <w:tc>
          <w:tcPr>
            <w:tcW w:w="1517" w:type="pct"/>
            <w:vMerge w:val="continue"/>
            <w:tcBorders>
              <w:tl2br w:val="nil"/>
              <w:tr2bl w:val="nil"/>
            </w:tcBorders>
            <w:vAlign w:val="center"/>
          </w:tcPr>
          <w:p w14:paraId="4AD836B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72" w:type="pct"/>
            <w:tcBorders>
              <w:top w:val="nil"/>
            </w:tcBorders>
            <w:vAlign w:val="center"/>
          </w:tcPr>
          <w:p w14:paraId="6ABB6D1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Non-ferrous Metal Smelting and Rolling Processing</w:t>
            </w:r>
          </w:p>
        </w:tc>
        <w:tc>
          <w:tcPr>
            <w:tcW w:w="1510" w:type="pct"/>
            <w:tcBorders>
              <w:top w:val="nil"/>
            </w:tcBorders>
            <w:vAlign w:val="center"/>
          </w:tcPr>
          <w:p w14:paraId="5642E57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C32</w:t>
            </w:r>
          </w:p>
        </w:tc>
      </w:tr>
      <w:tr w14:paraId="1A2E2A9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rPr>
        <w:tc>
          <w:tcPr>
            <w:tcW w:w="1517" w:type="pct"/>
            <w:tcBorders>
              <w:tl2br w:val="nil"/>
              <w:tr2bl w:val="nil"/>
            </w:tcBorders>
            <w:vAlign w:val="center"/>
          </w:tcPr>
          <w:p w14:paraId="725013F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Electricity, Heat, Gas, and Water Production and Supply</w:t>
            </w:r>
          </w:p>
        </w:tc>
        <w:tc>
          <w:tcPr>
            <w:tcW w:w="1972" w:type="pct"/>
            <w:tcBorders>
              <w:tl2br w:val="nil"/>
              <w:tr2bl w:val="nil"/>
            </w:tcBorders>
            <w:vAlign w:val="center"/>
          </w:tcPr>
          <w:p w14:paraId="607007E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Electricity and Heat Production and Supply</w:t>
            </w:r>
          </w:p>
        </w:tc>
        <w:tc>
          <w:tcPr>
            <w:tcW w:w="1510" w:type="pct"/>
            <w:tcBorders>
              <w:tl2br w:val="nil"/>
              <w:tr2bl w:val="nil"/>
            </w:tcBorders>
            <w:vAlign w:val="center"/>
          </w:tcPr>
          <w:p w14:paraId="5F36251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D44</w:t>
            </w:r>
          </w:p>
        </w:tc>
      </w:tr>
    </w:tbl>
    <w:p w14:paraId="2CFCD7E2">
      <w:pPr>
        <w:bidi w:val="0"/>
        <w:rPr>
          <w:rFonts w:hint="default"/>
          <w:color w:val="0D0D0D" w:themeColor="text1" w:themeTint="F2"/>
          <w:highlight w:val="none"/>
          <w14:textFill>
            <w14:solidFill>
              <w14:schemeClr w14:val="tx1">
                <w14:lumMod w14:val="95000"/>
                <w14:lumOff w14:val="5000"/>
              </w14:schemeClr>
            </w14:solidFill>
          </w14:textFill>
        </w:rPr>
      </w:pPr>
    </w:p>
    <w:p w14:paraId="4B13313F">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1"/>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Table </w:t>
      </w:r>
      <w:r>
        <w:rPr>
          <w:rFonts w:hint="default"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S3</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Employee Salary and Security Index System</w:t>
      </w:r>
    </w:p>
    <w:tbl>
      <w:tblPr>
        <w:tblStyle w:val="13"/>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5"/>
        <w:gridCol w:w="2079"/>
        <w:gridCol w:w="4256"/>
        <w:gridCol w:w="972"/>
      </w:tblGrid>
      <w:tr w14:paraId="4DCF11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bottom w:val="single" w:color="auto" w:sz="4" w:space="0"/>
            </w:tcBorders>
            <w:vAlign w:val="center"/>
          </w:tcPr>
          <w:p w14:paraId="42D2C473">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Dimension</w:t>
            </w:r>
          </w:p>
        </w:tc>
        <w:tc>
          <w:tcPr>
            <w:tcW w:w="0" w:type="auto"/>
            <w:tcBorders>
              <w:bottom w:val="single" w:color="auto" w:sz="4" w:space="0"/>
            </w:tcBorders>
            <w:vAlign w:val="center"/>
          </w:tcPr>
          <w:p w14:paraId="2B2675EA">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Indicator</w:t>
            </w:r>
          </w:p>
        </w:tc>
        <w:tc>
          <w:tcPr>
            <w:tcW w:w="0" w:type="auto"/>
            <w:tcBorders>
              <w:bottom w:val="single" w:color="auto" w:sz="4" w:space="0"/>
            </w:tcBorders>
            <w:vAlign w:val="center"/>
          </w:tcPr>
          <w:p w14:paraId="78BAD672">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Measurement</w:t>
            </w:r>
          </w:p>
        </w:tc>
        <w:tc>
          <w:tcPr>
            <w:tcW w:w="0" w:type="auto"/>
            <w:tcBorders>
              <w:bottom w:val="single" w:color="auto" w:sz="4" w:space="0"/>
            </w:tcBorders>
            <w:vAlign w:val="center"/>
          </w:tcPr>
          <w:p w14:paraId="46A8EF96">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Direction</w:t>
            </w:r>
          </w:p>
        </w:tc>
      </w:tr>
      <w:tr w14:paraId="0C347F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restart"/>
            <w:tcBorders>
              <w:top w:val="single" w:color="auto" w:sz="4" w:space="0"/>
              <w:tl2br w:val="nil"/>
              <w:tr2bl w:val="nil"/>
            </w:tcBorders>
            <w:vAlign w:val="center"/>
          </w:tcPr>
          <w:p w14:paraId="735A19B2">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 xml:space="preserve">Employee </w:t>
            </w: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Salary</w:t>
            </w:r>
          </w:p>
        </w:tc>
        <w:tc>
          <w:tcPr>
            <w:tcW w:w="0" w:type="auto"/>
            <w:tcBorders>
              <w:top w:val="single" w:color="auto" w:sz="4" w:space="0"/>
              <w:tl2br w:val="nil"/>
              <w:tr2bl w:val="nil"/>
            </w:tcBorders>
            <w:vAlign w:val="center"/>
          </w:tcPr>
          <w:p w14:paraId="6C4A1992">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Salary Contribution per Share</w:t>
            </w:r>
          </w:p>
        </w:tc>
        <w:tc>
          <w:tcPr>
            <w:tcW w:w="0" w:type="auto"/>
            <w:tcBorders>
              <w:top w:val="single" w:color="auto" w:sz="4" w:space="0"/>
              <w:tl2br w:val="nil"/>
              <w:tr2bl w:val="nil"/>
            </w:tcBorders>
            <w:vAlign w:val="center"/>
          </w:tcPr>
          <w:p w14:paraId="3B4D49AF">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Total employee compensation / Total number of shares</w:t>
            </w:r>
          </w:p>
        </w:tc>
        <w:tc>
          <w:tcPr>
            <w:tcW w:w="0" w:type="auto"/>
            <w:tcBorders>
              <w:top w:val="single" w:color="auto" w:sz="4" w:space="0"/>
              <w:tl2br w:val="nil"/>
              <w:tr2bl w:val="nil"/>
            </w:tcBorders>
            <w:vAlign w:val="center"/>
          </w:tcPr>
          <w:p w14:paraId="5AE58BD9">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7307B3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364BF57E">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2FED21EB">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Employee Profit Sharing</w:t>
            </w:r>
          </w:p>
        </w:tc>
        <w:tc>
          <w:tcPr>
            <w:tcW w:w="0" w:type="auto"/>
            <w:tcBorders>
              <w:tl2br w:val="nil"/>
              <w:tr2bl w:val="nil"/>
            </w:tcBorders>
            <w:vAlign w:val="center"/>
          </w:tcPr>
          <w:p w14:paraId="1CB286AB">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Number of employee shareholders / Total number of employees</w:t>
            </w:r>
          </w:p>
        </w:tc>
        <w:tc>
          <w:tcPr>
            <w:tcW w:w="0" w:type="auto"/>
            <w:tcBorders>
              <w:tl2br w:val="nil"/>
              <w:tr2bl w:val="nil"/>
            </w:tcBorders>
            <w:vAlign w:val="center"/>
          </w:tcPr>
          <w:p w14:paraId="27B8C6A8">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725E6E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14C5B166">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780B72E7">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Average Salary</w:t>
            </w:r>
          </w:p>
        </w:tc>
        <w:tc>
          <w:tcPr>
            <w:tcW w:w="0" w:type="auto"/>
            <w:tcBorders>
              <w:tl2br w:val="nil"/>
              <w:tr2bl w:val="nil"/>
            </w:tcBorders>
            <w:vAlign w:val="center"/>
          </w:tcPr>
          <w:p w14:paraId="541D7230">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Accrued employee compensation / Number of employees</w:t>
            </w:r>
          </w:p>
        </w:tc>
        <w:tc>
          <w:tcPr>
            <w:tcW w:w="0" w:type="auto"/>
            <w:tcBorders>
              <w:tl2br w:val="nil"/>
              <w:tr2bl w:val="nil"/>
            </w:tcBorders>
            <w:vAlign w:val="center"/>
          </w:tcPr>
          <w:p w14:paraId="7A7FE224">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2B814F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49F5D786">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0DEC221C">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Employee Salary Growth Rate</w:t>
            </w:r>
          </w:p>
        </w:tc>
        <w:tc>
          <w:tcPr>
            <w:tcW w:w="0" w:type="auto"/>
            <w:tcBorders>
              <w:tl2br w:val="nil"/>
              <w:tr2bl w:val="nil"/>
            </w:tcBorders>
            <w:vAlign w:val="center"/>
          </w:tcPr>
          <w:p w14:paraId="0757D9D0">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 xml:space="preserve">(Current year average salary </w:t>
            </w:r>
            <w:r>
              <w:rPr>
                <w:rFonts w:hint="eastAsia"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w:t>
            </w: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 xml:space="preserve"> Prior year average salary) / Prior year average salary</w:t>
            </w:r>
          </w:p>
        </w:tc>
        <w:tc>
          <w:tcPr>
            <w:tcW w:w="0" w:type="auto"/>
            <w:tcBorders>
              <w:tl2br w:val="nil"/>
              <w:tr2bl w:val="nil"/>
            </w:tcBorders>
            <w:vAlign w:val="center"/>
          </w:tcPr>
          <w:p w14:paraId="0C0DD488">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6ED82F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bottom w:val="single" w:color="auto" w:sz="4" w:space="0"/>
              <w:tl2br w:val="nil"/>
              <w:tr2bl w:val="nil"/>
            </w:tcBorders>
            <w:vAlign w:val="center"/>
          </w:tcPr>
          <w:p w14:paraId="75F17AE9">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bottom w:val="single" w:color="auto" w:sz="4" w:space="0"/>
              <w:tl2br w:val="nil"/>
              <w:tr2bl w:val="nil"/>
            </w:tcBorders>
            <w:vAlign w:val="center"/>
          </w:tcPr>
          <w:p w14:paraId="4B362FCC">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Average Salary Ratio of Directors, Executives to Other Employees</w:t>
            </w:r>
          </w:p>
        </w:tc>
        <w:tc>
          <w:tcPr>
            <w:tcW w:w="0" w:type="auto"/>
            <w:tcBorders>
              <w:bottom w:val="single" w:color="auto" w:sz="4" w:space="0"/>
              <w:tl2br w:val="nil"/>
              <w:tr2bl w:val="nil"/>
            </w:tcBorders>
            <w:vAlign w:val="center"/>
          </w:tcPr>
          <w:p w14:paraId="6B32B0E2">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Average annual salary of directors and executives / Average annual salary of other employees</w:t>
            </w:r>
          </w:p>
        </w:tc>
        <w:tc>
          <w:tcPr>
            <w:tcW w:w="0" w:type="auto"/>
            <w:tcBorders>
              <w:bottom w:val="single" w:color="auto" w:sz="4" w:space="0"/>
              <w:tl2br w:val="nil"/>
              <w:tr2bl w:val="nil"/>
            </w:tcBorders>
            <w:vAlign w:val="center"/>
          </w:tcPr>
          <w:p w14:paraId="497FAF63">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Negative</w:t>
            </w:r>
          </w:p>
        </w:tc>
      </w:tr>
      <w:tr w14:paraId="628EC3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restart"/>
            <w:tcBorders>
              <w:top w:val="single" w:color="auto" w:sz="4" w:space="0"/>
            </w:tcBorders>
            <w:vAlign w:val="center"/>
          </w:tcPr>
          <w:p w14:paraId="09DDC068">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 xml:space="preserve">Employee </w:t>
            </w: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Security</w:t>
            </w:r>
          </w:p>
        </w:tc>
        <w:tc>
          <w:tcPr>
            <w:tcW w:w="0" w:type="auto"/>
            <w:tcBorders>
              <w:top w:val="single" w:color="auto" w:sz="4" w:space="0"/>
            </w:tcBorders>
            <w:vAlign w:val="center"/>
          </w:tcPr>
          <w:p w14:paraId="22F4FEFE">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Legal Employment</w:t>
            </w:r>
          </w:p>
        </w:tc>
        <w:tc>
          <w:tcPr>
            <w:tcW w:w="0" w:type="auto"/>
            <w:tcBorders>
              <w:top w:val="single" w:color="auto" w:sz="4" w:space="0"/>
            </w:tcBorders>
            <w:vAlign w:val="center"/>
          </w:tcPr>
          <w:p w14:paraId="04B65873">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Whether illegal employment (e.g., child labor) is disclosed; Yes = 1, No = 0</w:t>
            </w:r>
          </w:p>
        </w:tc>
        <w:tc>
          <w:tcPr>
            <w:tcW w:w="0" w:type="auto"/>
            <w:tcBorders>
              <w:top w:val="single" w:color="auto" w:sz="4" w:space="0"/>
            </w:tcBorders>
            <w:vAlign w:val="center"/>
          </w:tcPr>
          <w:p w14:paraId="119B9D48">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0E0144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1B858CE9">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3E29AD70">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Safety Production Investment</w:t>
            </w:r>
          </w:p>
        </w:tc>
        <w:tc>
          <w:tcPr>
            <w:tcW w:w="0" w:type="auto"/>
            <w:tcBorders>
              <w:tl2br w:val="nil"/>
              <w:tr2bl w:val="nil"/>
            </w:tcBorders>
            <w:vAlign w:val="center"/>
          </w:tcPr>
          <w:p w14:paraId="595A0483">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Safety production investment / Total operating revenue</w:t>
            </w:r>
          </w:p>
        </w:tc>
        <w:tc>
          <w:tcPr>
            <w:tcW w:w="0" w:type="auto"/>
            <w:tcBorders>
              <w:tl2br w:val="nil"/>
              <w:tr2bl w:val="nil"/>
            </w:tcBorders>
            <w:vAlign w:val="center"/>
          </w:tcPr>
          <w:p w14:paraId="326A03A0">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17BC39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1D441ACC">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178EF343">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Safety Production Level</w:t>
            </w:r>
          </w:p>
        </w:tc>
        <w:tc>
          <w:tcPr>
            <w:tcW w:w="0" w:type="auto"/>
            <w:tcBorders>
              <w:tl2br w:val="nil"/>
              <w:tr2bl w:val="nil"/>
            </w:tcBorders>
            <w:vAlign w:val="center"/>
          </w:tcPr>
          <w:p w14:paraId="5D05EC9D">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Severity of production accidents: Major accident = 1; Minor accident = 0.8; Occupational disease incident = 0.6; No occurrence or disclosure = 0. If multiple accidents occur in the same year, values are summed.</w:t>
            </w:r>
          </w:p>
        </w:tc>
        <w:tc>
          <w:tcPr>
            <w:tcW w:w="0" w:type="auto"/>
            <w:tcBorders>
              <w:tl2br w:val="nil"/>
              <w:tr2bl w:val="nil"/>
            </w:tcBorders>
            <w:vAlign w:val="center"/>
          </w:tcPr>
          <w:p w14:paraId="67342EF7">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Negative</w:t>
            </w:r>
          </w:p>
        </w:tc>
      </w:tr>
      <w:tr w14:paraId="750B23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6C518EB0">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4EA993CA">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Occupational Health Protection</w:t>
            </w:r>
          </w:p>
        </w:tc>
        <w:tc>
          <w:tcPr>
            <w:tcW w:w="0" w:type="auto"/>
            <w:tcBorders>
              <w:tl2br w:val="nil"/>
              <w:tr2bl w:val="nil"/>
            </w:tcBorders>
            <w:vAlign w:val="center"/>
          </w:tcPr>
          <w:p w14:paraId="103AC323">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Whether occupational health protection is disclosed; Yes = 1, No = 0</w:t>
            </w:r>
          </w:p>
        </w:tc>
        <w:tc>
          <w:tcPr>
            <w:tcW w:w="0" w:type="auto"/>
            <w:tcBorders>
              <w:tl2br w:val="nil"/>
              <w:tr2bl w:val="nil"/>
            </w:tcBorders>
            <w:vAlign w:val="center"/>
          </w:tcPr>
          <w:p w14:paraId="4EEDBB83">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1B30B9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7DDB38AC">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10E280D7">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Employee Social Security Fund Contribution Ratio</w:t>
            </w:r>
          </w:p>
        </w:tc>
        <w:tc>
          <w:tcPr>
            <w:tcW w:w="0" w:type="auto"/>
            <w:tcBorders>
              <w:tl2br w:val="nil"/>
              <w:tr2bl w:val="nil"/>
            </w:tcBorders>
            <w:vAlign w:val="center"/>
          </w:tcPr>
          <w:p w14:paraId="68D53F04">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Social security expenses / Total employee compensation</w:t>
            </w:r>
          </w:p>
        </w:tc>
        <w:tc>
          <w:tcPr>
            <w:tcW w:w="0" w:type="auto"/>
            <w:tcBorders>
              <w:tl2br w:val="nil"/>
              <w:tr2bl w:val="nil"/>
            </w:tcBorders>
            <w:vAlign w:val="center"/>
          </w:tcPr>
          <w:p w14:paraId="5F835AF1">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2B4E2C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551111AE">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5A47639B">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Commercial Insurance</w:t>
            </w:r>
          </w:p>
        </w:tc>
        <w:tc>
          <w:tcPr>
            <w:tcW w:w="0" w:type="auto"/>
            <w:tcBorders>
              <w:tl2br w:val="nil"/>
              <w:tr2bl w:val="nil"/>
            </w:tcBorders>
            <w:vAlign w:val="center"/>
          </w:tcPr>
          <w:p w14:paraId="6D691A5B">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Commercial insurance contributions / Operating revenue</w:t>
            </w:r>
          </w:p>
        </w:tc>
        <w:tc>
          <w:tcPr>
            <w:tcW w:w="0" w:type="auto"/>
            <w:tcBorders>
              <w:tl2br w:val="nil"/>
              <w:tr2bl w:val="nil"/>
            </w:tcBorders>
            <w:vAlign w:val="center"/>
          </w:tcPr>
          <w:p w14:paraId="3F229A93">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2D566B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5542C76B">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42E69E02">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Employee Rights Protection</w:t>
            </w:r>
          </w:p>
        </w:tc>
        <w:tc>
          <w:tcPr>
            <w:tcW w:w="0" w:type="auto"/>
            <w:tcBorders>
              <w:tl2br w:val="nil"/>
              <w:tr2bl w:val="nil"/>
            </w:tcBorders>
            <w:vAlign w:val="center"/>
          </w:tcPr>
          <w:p w14:paraId="292D2660">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Number of employee rights disputes / Total number of employees</w:t>
            </w:r>
          </w:p>
        </w:tc>
        <w:tc>
          <w:tcPr>
            <w:tcW w:w="0" w:type="auto"/>
            <w:tcBorders>
              <w:tl2br w:val="nil"/>
              <w:tr2bl w:val="nil"/>
            </w:tcBorders>
            <w:vAlign w:val="center"/>
          </w:tcPr>
          <w:p w14:paraId="1A3855D9">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Negative</w:t>
            </w:r>
          </w:p>
        </w:tc>
      </w:tr>
    </w:tbl>
    <w:p w14:paraId="22C66710">
      <w:pPr>
        <w:bidi w:val="0"/>
        <w:rPr>
          <w:rFonts w:hint="eastAsia" w:eastAsiaTheme="minorEastAsia"/>
          <w:color w:val="0D0D0D" w:themeColor="text1" w:themeTint="F2"/>
          <w:highlight w:val="none"/>
          <w:lang w:val="en-US" w:eastAsia="zh-CN"/>
          <w14:textFill>
            <w14:solidFill>
              <w14:schemeClr w14:val="tx1">
                <w14:lumMod w14:val="95000"/>
                <w14:lumOff w14:val="5000"/>
              </w14:schemeClr>
            </w14:solidFill>
          </w14:textFill>
        </w:rPr>
      </w:pPr>
    </w:p>
    <w:p w14:paraId="114CEBB5">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1"/>
        <w:rPr>
          <w:rFonts w:hint="default" w:eastAsiaTheme="minorEastAsia"/>
          <w:color w:val="0D0D0D" w:themeColor="text1" w:themeTint="F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Table S</w:t>
      </w:r>
      <w:r>
        <w:rPr>
          <w:rFonts w:hint="default"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4</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 </w:t>
      </w: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Data Sources</w:t>
      </w:r>
    </w:p>
    <w:tbl>
      <w:tblPr>
        <w:tblStyle w:val="12"/>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90"/>
        <w:gridCol w:w="4275"/>
        <w:gridCol w:w="2557"/>
      </w:tblGrid>
      <w:tr w14:paraId="3B2391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bottom w:val="single" w:color="auto" w:sz="4" w:space="0"/>
            </w:tcBorders>
            <w:vAlign w:val="center"/>
          </w:tcPr>
          <w:p w14:paraId="5B8F6BD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t>Variable Symbol</w:t>
            </w:r>
          </w:p>
        </w:tc>
        <w:tc>
          <w:tcPr>
            <w:tcW w:w="4275" w:type="dxa"/>
            <w:tcBorders>
              <w:bottom w:val="single" w:color="auto" w:sz="4" w:space="0"/>
            </w:tcBorders>
            <w:vAlign w:val="center"/>
          </w:tcPr>
          <w:p w14:paraId="699C247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cs="Times New Roman" w:eastAsiaTheme="minorEastAsia"/>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Sources</w:t>
            </w:r>
          </w:p>
        </w:tc>
        <w:tc>
          <w:tcPr>
            <w:tcW w:w="2557" w:type="dxa"/>
            <w:tcBorders>
              <w:bottom w:val="single" w:color="auto" w:sz="4" w:space="0"/>
            </w:tcBorders>
            <w:vAlign w:val="center"/>
          </w:tcPr>
          <w:p w14:paraId="6EFF58FD">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cs="Times New Roman" w:eastAsiaTheme="minorEastAsia"/>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URL</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w:t>
            </w:r>
          </w:p>
        </w:tc>
      </w:tr>
      <w:tr w14:paraId="0BF10D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op w:val="single" w:color="auto" w:sz="4" w:space="0"/>
              <w:tl2br w:val="nil"/>
              <w:tr2bl w:val="nil"/>
            </w:tcBorders>
            <w:vAlign w:val="center"/>
          </w:tcPr>
          <w:p w14:paraId="1A84798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ESG</w:t>
            </w:r>
          </w:p>
        </w:tc>
        <w:tc>
          <w:tcPr>
            <w:tcW w:w="4275" w:type="dxa"/>
            <w:tcBorders>
              <w:top w:val="single" w:color="auto" w:sz="4" w:space="0"/>
              <w:tl2br w:val="nil"/>
              <w:tr2bl w:val="nil"/>
            </w:tcBorders>
            <w:vAlign w:val="center"/>
          </w:tcPr>
          <w:p w14:paraId="5EDC2862">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cs="Times New Roman" w:eastAsiaTheme="minorEastAsia"/>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t>Sino</w:t>
            </w:r>
            <w:r>
              <w:rPr>
                <w:rFonts w:hint="eastAsia"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t>Securities Index Information Service (Shanghai) Co., Ltd.</w:t>
            </w:r>
          </w:p>
        </w:tc>
        <w:tc>
          <w:tcPr>
            <w:tcW w:w="2557" w:type="dxa"/>
            <w:tcBorders>
              <w:top w:val="single" w:color="auto" w:sz="4" w:space="0"/>
              <w:tl2br w:val="nil"/>
              <w:tr2bl w:val="nil"/>
            </w:tcBorders>
            <w:vAlign w:val="center"/>
          </w:tcPr>
          <w:p w14:paraId="51E8D476">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fldChar w:fldCharType="begin"/>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instrText xml:space="preserve"> HYPERLINK "https://www.chindices.com/esg-ratings.html#esg_indexes;" </w:instrText>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fldChar w:fldCharType="separate"/>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t>https://www.chindices.com/esg-ratings.html#esg_indexes</w:t>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fldChar w:fldCharType="end"/>
            </w:r>
          </w:p>
        </w:tc>
      </w:tr>
      <w:tr w14:paraId="43F65C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477E4E3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cs="Times New Roman"/>
                <w:i/>
                <w:iCs/>
                <w:color w:val="0D0D0D" w:themeColor="text1" w:themeTint="F2"/>
                <w:sz w:val="18"/>
                <w:szCs w:val="18"/>
                <w:highlight w:val="none"/>
                <w14:textFill>
                  <w14:solidFill>
                    <w14:schemeClr w14:val="tx1">
                      <w14:lumMod w14:val="95000"/>
                      <w14:lumOff w14:val="5000"/>
                    </w14:schemeClr>
                  </w14:solidFill>
                </w14:textFill>
              </w:rPr>
              <w:t>EST</w:t>
            </w:r>
          </w:p>
        </w:tc>
        <w:tc>
          <w:tcPr>
            <w:tcW w:w="4275" w:type="dxa"/>
            <w:tcBorders>
              <w:tl2br w:val="nil"/>
              <w:tr2bl w:val="nil"/>
            </w:tcBorders>
            <w:vAlign w:val="center"/>
          </w:tcPr>
          <w:p w14:paraId="66F8FD92">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cs="Times New Roman" w:eastAsiaTheme="minorEastAsia"/>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t>National Development and Reform Commission</w:t>
            </w:r>
          </w:p>
        </w:tc>
        <w:tc>
          <w:tcPr>
            <w:tcW w:w="2557" w:type="dxa"/>
            <w:tcBorders>
              <w:tl2br w:val="nil"/>
              <w:tr2bl w:val="nil"/>
            </w:tcBorders>
            <w:vAlign w:val="center"/>
          </w:tcPr>
          <w:p w14:paraId="3F0043AE">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fldChar w:fldCharType="begin"/>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instrText xml:space="preserve"> HYPERLINK "https://www.ndrc.gov.cn/xxgk/zcfb/tz/201709/t20170905_962552_ext.html;" </w:instrText>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fldChar w:fldCharType="separate"/>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t>https://www.ndrc.gov.cn/xxgk/zcfb/tz/201709/t20170905_962552_ext.html</w:t>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fldChar w:fldCharType="end"/>
            </w:r>
          </w:p>
        </w:tc>
      </w:tr>
      <w:tr w14:paraId="5BED75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1D1B9E7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Size</w:t>
            </w:r>
          </w:p>
        </w:tc>
        <w:tc>
          <w:tcPr>
            <w:tcW w:w="4275" w:type="dxa"/>
            <w:tcBorders>
              <w:tl2br w:val="nil"/>
              <w:tr2bl w:val="nil"/>
            </w:tcBorders>
            <w:vAlign w:val="center"/>
          </w:tcPr>
          <w:p w14:paraId="15784ED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Financial Statements - Balance Sheet</w:t>
            </w:r>
          </w:p>
        </w:tc>
        <w:tc>
          <w:tcPr>
            <w:tcW w:w="2557" w:type="dxa"/>
            <w:vMerge w:val="restart"/>
            <w:tcBorders>
              <w:tl2br w:val="nil"/>
              <w:tr2bl w:val="nil"/>
            </w:tcBorders>
            <w:vAlign w:val="center"/>
          </w:tcPr>
          <w:p w14:paraId="54C68FF7">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t>https://data.csmar.com/</w:t>
            </w:r>
          </w:p>
        </w:tc>
      </w:tr>
      <w:tr w14:paraId="15C738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61B0772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Ltime</w:t>
            </w:r>
          </w:p>
        </w:tc>
        <w:tc>
          <w:tcPr>
            <w:tcW w:w="4275" w:type="dxa"/>
            <w:tcBorders>
              <w:tl2br w:val="nil"/>
              <w:tr2bl w:val="nil"/>
            </w:tcBorders>
            <w:vAlign w:val="center"/>
          </w:tcPr>
          <w:p w14:paraId="7458B77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val="0"/>
                <w:iCs w:val="0"/>
                <w:color w:val="0D0D0D" w:themeColor="text1" w:themeTint="F2"/>
                <w:sz w:val="18"/>
                <w:szCs w:val="18"/>
                <w:highlight w:val="none"/>
                <w:lang w:val="en-US"/>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Basic Information of Listed Companies - Annual Basic Information of Listed Companies</w:t>
            </w:r>
          </w:p>
        </w:tc>
        <w:tc>
          <w:tcPr>
            <w:tcW w:w="2557" w:type="dxa"/>
            <w:vMerge w:val="continue"/>
            <w:tcBorders>
              <w:tl2br w:val="nil"/>
              <w:tr2bl w:val="nil"/>
            </w:tcBorders>
            <w:vAlign w:val="center"/>
          </w:tcPr>
          <w:p w14:paraId="0DE1B1E0">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2B79C9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7408B84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LEV</w:t>
            </w:r>
          </w:p>
        </w:tc>
        <w:tc>
          <w:tcPr>
            <w:tcW w:w="4275" w:type="dxa"/>
            <w:tcBorders>
              <w:tl2br w:val="nil"/>
              <w:tr2bl w:val="nil"/>
            </w:tcBorders>
            <w:vAlign w:val="center"/>
          </w:tcPr>
          <w:p w14:paraId="65F62FA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val="0"/>
                <w:iCs w:val="0"/>
                <w:color w:val="0D0D0D" w:themeColor="text1" w:themeTint="F2"/>
                <w:sz w:val="18"/>
                <w:szCs w:val="18"/>
                <w:highlight w:val="none"/>
                <w:lang w:val="en-US"/>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Financial Indicator Analysis - Solvency</w:t>
            </w:r>
          </w:p>
        </w:tc>
        <w:tc>
          <w:tcPr>
            <w:tcW w:w="2557" w:type="dxa"/>
            <w:vMerge w:val="continue"/>
            <w:tcBorders>
              <w:tl2br w:val="nil"/>
              <w:tr2bl w:val="nil"/>
            </w:tcBorders>
            <w:vAlign w:val="center"/>
          </w:tcPr>
          <w:p w14:paraId="40994595">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0206E1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1BCC1DF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ROA</w:t>
            </w:r>
          </w:p>
        </w:tc>
        <w:tc>
          <w:tcPr>
            <w:tcW w:w="4275" w:type="dxa"/>
            <w:tcBorders>
              <w:tl2br w:val="nil"/>
              <w:tr2bl w:val="nil"/>
            </w:tcBorders>
            <w:vAlign w:val="center"/>
          </w:tcPr>
          <w:p w14:paraId="37B315E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val="0"/>
                <w:iCs w:val="0"/>
                <w:color w:val="0D0D0D" w:themeColor="text1" w:themeTint="F2"/>
                <w:sz w:val="18"/>
                <w:szCs w:val="18"/>
                <w:highlight w:val="none"/>
                <w:lang w:val="en-US"/>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Financial Indicator Analysis - Profitability</w:t>
            </w:r>
          </w:p>
        </w:tc>
        <w:tc>
          <w:tcPr>
            <w:tcW w:w="2557" w:type="dxa"/>
            <w:vMerge w:val="continue"/>
            <w:tcBorders>
              <w:tl2br w:val="nil"/>
              <w:tr2bl w:val="nil"/>
            </w:tcBorders>
            <w:vAlign w:val="center"/>
          </w:tcPr>
          <w:p w14:paraId="7E522C8D">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478337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2A05F60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Board</w:t>
            </w:r>
          </w:p>
        </w:tc>
        <w:tc>
          <w:tcPr>
            <w:tcW w:w="4275" w:type="dxa"/>
            <w:tcBorders>
              <w:tl2br w:val="nil"/>
              <w:tr2bl w:val="nil"/>
            </w:tcBorders>
            <w:vAlign w:val="center"/>
          </w:tcPr>
          <w:p w14:paraId="6F78367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val="0"/>
                <w:iCs w:val="0"/>
                <w:color w:val="0D0D0D" w:themeColor="text1" w:themeTint="F2"/>
                <w:sz w:val="18"/>
                <w:szCs w:val="18"/>
                <w:highlight w:val="none"/>
                <w:lang w:val="en-US"/>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Operational Distress - Management Governance</w:t>
            </w:r>
          </w:p>
        </w:tc>
        <w:tc>
          <w:tcPr>
            <w:tcW w:w="2557" w:type="dxa"/>
            <w:vMerge w:val="continue"/>
            <w:tcBorders>
              <w:tl2br w:val="nil"/>
              <w:tr2bl w:val="nil"/>
            </w:tcBorders>
            <w:vAlign w:val="center"/>
          </w:tcPr>
          <w:p w14:paraId="20127ED3">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4F1031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42569A6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Ind_r</w:t>
            </w:r>
          </w:p>
        </w:tc>
        <w:tc>
          <w:tcPr>
            <w:tcW w:w="4275" w:type="dxa"/>
            <w:tcBorders>
              <w:tl2br w:val="nil"/>
              <w:tr2bl w:val="nil"/>
            </w:tcBorders>
            <w:shd w:val="clear" w:color="auto" w:fill="auto"/>
            <w:vAlign w:val="center"/>
          </w:tcPr>
          <w:p w14:paraId="168DEF84">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Operational Distress - Management Governance</w:t>
            </w:r>
          </w:p>
        </w:tc>
        <w:tc>
          <w:tcPr>
            <w:tcW w:w="2557" w:type="dxa"/>
            <w:vMerge w:val="continue"/>
            <w:tcBorders>
              <w:tl2br w:val="nil"/>
              <w:tr2bl w:val="nil"/>
            </w:tcBorders>
            <w:vAlign w:val="center"/>
          </w:tcPr>
          <w:p w14:paraId="24BABFF1">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5EE29B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4C1F0EB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Top1</w:t>
            </w:r>
          </w:p>
        </w:tc>
        <w:tc>
          <w:tcPr>
            <w:tcW w:w="4275" w:type="dxa"/>
            <w:tcBorders>
              <w:tl2br w:val="nil"/>
              <w:tr2bl w:val="nil"/>
            </w:tcBorders>
            <w:shd w:val="clear" w:color="auto" w:fill="auto"/>
            <w:vAlign w:val="center"/>
          </w:tcPr>
          <w:p w14:paraId="68B31262">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Shareholders - Equity Information</w:t>
            </w:r>
          </w:p>
        </w:tc>
        <w:tc>
          <w:tcPr>
            <w:tcW w:w="2557" w:type="dxa"/>
            <w:vMerge w:val="continue"/>
            <w:tcBorders>
              <w:tl2br w:val="nil"/>
              <w:tr2bl w:val="nil"/>
            </w:tcBorders>
            <w:vAlign w:val="center"/>
          </w:tcPr>
          <w:p w14:paraId="44C00597">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48A3B9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08DFC1E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Share</w:t>
            </w:r>
          </w:p>
        </w:tc>
        <w:tc>
          <w:tcPr>
            <w:tcW w:w="4275" w:type="dxa"/>
            <w:tcBorders>
              <w:tl2br w:val="nil"/>
              <w:tr2bl w:val="nil"/>
            </w:tcBorders>
            <w:shd w:val="clear" w:color="auto" w:fill="auto"/>
            <w:vAlign w:val="center"/>
          </w:tcPr>
          <w:p w14:paraId="1FD3FE96">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Operational Distress - Management Governance</w:t>
            </w:r>
          </w:p>
        </w:tc>
        <w:tc>
          <w:tcPr>
            <w:tcW w:w="2557" w:type="dxa"/>
            <w:vMerge w:val="continue"/>
            <w:tcBorders>
              <w:tl2br w:val="nil"/>
              <w:tr2bl w:val="nil"/>
            </w:tcBorders>
            <w:vAlign w:val="center"/>
          </w:tcPr>
          <w:p w14:paraId="203F455F">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6A244B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143FEAF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SOE</w:t>
            </w:r>
          </w:p>
        </w:tc>
        <w:tc>
          <w:tcPr>
            <w:tcW w:w="4275" w:type="dxa"/>
            <w:tcBorders>
              <w:tl2br w:val="nil"/>
              <w:tr2bl w:val="nil"/>
            </w:tcBorders>
            <w:shd w:val="clear" w:color="auto" w:fill="auto"/>
            <w:vAlign w:val="center"/>
          </w:tcPr>
          <w:p w14:paraId="03BC5357">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Operational Distress - Management Governance</w:t>
            </w:r>
          </w:p>
        </w:tc>
        <w:tc>
          <w:tcPr>
            <w:tcW w:w="2557" w:type="dxa"/>
            <w:vMerge w:val="continue"/>
            <w:tcBorders>
              <w:tl2br w:val="nil"/>
              <w:tr2bl w:val="nil"/>
            </w:tcBorders>
            <w:vAlign w:val="center"/>
          </w:tcPr>
          <w:p w14:paraId="02314CB7">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381C8D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7F75B37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t>EPS</w:t>
            </w:r>
          </w:p>
        </w:tc>
        <w:tc>
          <w:tcPr>
            <w:tcW w:w="4275" w:type="dxa"/>
            <w:tcBorders>
              <w:tl2br w:val="nil"/>
              <w:tr2bl w:val="nil"/>
            </w:tcBorders>
            <w:shd w:val="clear" w:color="auto" w:fill="auto"/>
            <w:vAlign w:val="center"/>
          </w:tcPr>
          <w:p w14:paraId="07AB5641">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Environmental Research - Environmental Disclosure</w:t>
            </w:r>
          </w:p>
        </w:tc>
        <w:tc>
          <w:tcPr>
            <w:tcW w:w="2557" w:type="dxa"/>
            <w:vMerge w:val="continue"/>
            <w:tcBorders>
              <w:tl2br w:val="nil"/>
              <w:tr2bl w:val="nil"/>
            </w:tcBorders>
            <w:vAlign w:val="center"/>
          </w:tcPr>
          <w:p w14:paraId="0DA9F055">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735515F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4A3B397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Resource_OLS</w:t>
            </w:r>
          </w:p>
        </w:tc>
        <w:tc>
          <w:tcPr>
            <w:tcW w:w="4275" w:type="dxa"/>
            <w:tcBorders>
              <w:tl2br w:val="nil"/>
              <w:tr2bl w:val="nil"/>
            </w:tcBorders>
            <w:shd w:val="clear" w:color="auto" w:fill="auto"/>
            <w:vAlign w:val="center"/>
          </w:tcPr>
          <w:p w14:paraId="51D8CD74">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Financial Statements - Balance Sheet &amp; Income Statement;</w:t>
            </w:r>
          </w:p>
          <w:p w14:paraId="3CC8082C">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Governance Structure - Comprehensive Governance Information File</w:t>
            </w:r>
          </w:p>
        </w:tc>
        <w:tc>
          <w:tcPr>
            <w:tcW w:w="2557" w:type="dxa"/>
            <w:vMerge w:val="continue"/>
            <w:tcBorders>
              <w:tl2br w:val="nil"/>
              <w:tr2bl w:val="nil"/>
            </w:tcBorders>
            <w:vAlign w:val="center"/>
          </w:tcPr>
          <w:p w14:paraId="3F415D70">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4591F3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5D03CA6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Resource_GMM</w:t>
            </w:r>
          </w:p>
        </w:tc>
        <w:tc>
          <w:tcPr>
            <w:tcW w:w="4275" w:type="dxa"/>
            <w:tcBorders>
              <w:tl2br w:val="nil"/>
              <w:tr2bl w:val="nil"/>
            </w:tcBorders>
            <w:shd w:val="clear" w:color="auto" w:fill="auto"/>
            <w:vAlign w:val="center"/>
          </w:tcPr>
          <w:p w14:paraId="3B60EAB7">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Financial Statements - Balance Sheet &amp; Income Statement;</w:t>
            </w:r>
          </w:p>
          <w:p w14:paraId="76479E2F">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Governance Structure - Comprehensive Governance Information File</w:t>
            </w:r>
          </w:p>
        </w:tc>
        <w:tc>
          <w:tcPr>
            <w:tcW w:w="2557" w:type="dxa"/>
            <w:vMerge w:val="continue"/>
            <w:tcBorders>
              <w:tl2br w:val="nil"/>
              <w:tr2bl w:val="nil"/>
            </w:tcBorders>
            <w:vAlign w:val="center"/>
          </w:tcPr>
          <w:p w14:paraId="01FDA3F0">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6ADE3D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shd w:val="clear" w:color="auto" w:fill="auto"/>
            <w:vAlign w:val="center"/>
          </w:tcPr>
          <w:p w14:paraId="79DCB552">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Employee_</w:t>
            </w:r>
            <w:r>
              <w:rPr>
                <w:rFonts w:hint="eastAsia"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t>SS</w:t>
            </w:r>
          </w:p>
        </w:tc>
        <w:tc>
          <w:tcPr>
            <w:tcW w:w="4275" w:type="dxa"/>
            <w:tcBorders>
              <w:tl2br w:val="nil"/>
              <w:tr2bl w:val="nil"/>
            </w:tcBorders>
            <w:shd w:val="clear" w:color="auto" w:fill="auto"/>
            <w:vAlign w:val="center"/>
          </w:tcPr>
          <w:p w14:paraId="0FE20347">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Collaborative Data - Corporate Common Prosperity - Primary Distribution</w:t>
            </w:r>
          </w:p>
        </w:tc>
        <w:tc>
          <w:tcPr>
            <w:tcW w:w="2557" w:type="dxa"/>
            <w:vMerge w:val="continue"/>
            <w:tcBorders>
              <w:tl2br w:val="nil"/>
              <w:tr2bl w:val="nil"/>
            </w:tcBorders>
            <w:shd w:val="clear" w:color="auto" w:fill="auto"/>
            <w:vAlign w:val="center"/>
          </w:tcPr>
          <w:p w14:paraId="124F2B2D">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3DFB22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3A15CD9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Employee_</w:t>
            </w:r>
            <w:r>
              <w:rPr>
                <w:rFonts w:hint="default"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t>train</w:t>
            </w:r>
          </w:p>
        </w:tc>
        <w:tc>
          <w:tcPr>
            <w:tcW w:w="4275" w:type="dxa"/>
            <w:tcBorders>
              <w:tl2br w:val="nil"/>
              <w:tr2bl w:val="nil"/>
            </w:tcBorders>
            <w:shd w:val="clear" w:color="auto" w:fill="auto"/>
            <w:vAlign w:val="center"/>
          </w:tcPr>
          <w:p w14:paraId="490DCB1D">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Notes to Financial Statements - Current Liabilities</w:t>
            </w:r>
          </w:p>
        </w:tc>
        <w:tc>
          <w:tcPr>
            <w:tcW w:w="2557" w:type="dxa"/>
            <w:vMerge w:val="continue"/>
            <w:tcBorders>
              <w:tl2br w:val="nil"/>
              <w:tr2bl w:val="nil"/>
            </w:tcBorders>
            <w:vAlign w:val="center"/>
          </w:tcPr>
          <w:p w14:paraId="026CF461">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0E37DB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6255DB7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Operational_Cash</w:t>
            </w:r>
          </w:p>
        </w:tc>
        <w:tc>
          <w:tcPr>
            <w:tcW w:w="4275" w:type="dxa"/>
            <w:tcBorders>
              <w:tl2br w:val="nil"/>
              <w:tr2bl w:val="nil"/>
            </w:tcBorders>
            <w:shd w:val="clear" w:color="auto" w:fill="auto"/>
            <w:vAlign w:val="center"/>
          </w:tcPr>
          <w:p w14:paraId="6C929AC8">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Operational Distress - Financial Indicators</w:t>
            </w:r>
          </w:p>
        </w:tc>
        <w:tc>
          <w:tcPr>
            <w:tcW w:w="2557" w:type="dxa"/>
            <w:vMerge w:val="continue"/>
            <w:tcBorders>
              <w:tl2br w:val="nil"/>
              <w:tr2bl w:val="nil"/>
            </w:tcBorders>
            <w:vAlign w:val="center"/>
          </w:tcPr>
          <w:p w14:paraId="2F06D92F">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2222E1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077C22A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Operational_Profit</w:t>
            </w:r>
          </w:p>
        </w:tc>
        <w:tc>
          <w:tcPr>
            <w:tcW w:w="4275" w:type="dxa"/>
            <w:tcBorders>
              <w:tl2br w:val="nil"/>
              <w:tr2bl w:val="nil"/>
            </w:tcBorders>
            <w:shd w:val="clear" w:color="auto" w:fill="auto"/>
            <w:vAlign w:val="center"/>
          </w:tcPr>
          <w:p w14:paraId="381C730B">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Operational Distress - Financial Indicators</w:t>
            </w:r>
          </w:p>
        </w:tc>
        <w:tc>
          <w:tcPr>
            <w:tcW w:w="2557" w:type="dxa"/>
            <w:vMerge w:val="continue"/>
            <w:tcBorders>
              <w:tl2br w:val="nil"/>
              <w:tr2bl w:val="nil"/>
            </w:tcBorders>
            <w:vAlign w:val="center"/>
          </w:tcPr>
          <w:p w14:paraId="3625F266">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26A507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347DC66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t>Short_manage</w:t>
            </w:r>
          </w:p>
        </w:tc>
        <w:tc>
          <w:tcPr>
            <w:tcW w:w="4275" w:type="dxa"/>
            <w:tcBorders>
              <w:tl2br w:val="nil"/>
              <w:tr2bl w:val="nil"/>
            </w:tcBorders>
            <w:shd w:val="clear" w:color="auto" w:fill="auto"/>
            <w:vAlign w:val="center"/>
          </w:tcPr>
          <w:p w14:paraId="5950CF85">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Collaborative Data - MD&amp;A Keywords - Managerial Myopia</w:t>
            </w:r>
          </w:p>
        </w:tc>
        <w:tc>
          <w:tcPr>
            <w:tcW w:w="2557" w:type="dxa"/>
            <w:vMerge w:val="continue"/>
            <w:tcBorders>
              <w:tl2br w:val="nil"/>
              <w:tr2bl w:val="nil"/>
            </w:tcBorders>
            <w:vAlign w:val="center"/>
          </w:tcPr>
          <w:p w14:paraId="4553A53D">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3F8960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16B19DF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t>Short_invest</w:t>
            </w:r>
          </w:p>
        </w:tc>
        <w:tc>
          <w:tcPr>
            <w:tcW w:w="4275" w:type="dxa"/>
            <w:tcBorders>
              <w:tl2br w:val="nil"/>
              <w:tr2bl w:val="nil"/>
            </w:tcBorders>
            <w:shd w:val="clear" w:color="auto" w:fill="auto"/>
            <w:vAlign w:val="center"/>
          </w:tcPr>
          <w:p w14:paraId="3F96576E">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Financial Statements - Balance Sheet</w:t>
            </w:r>
          </w:p>
        </w:tc>
        <w:tc>
          <w:tcPr>
            <w:tcW w:w="2557" w:type="dxa"/>
            <w:vMerge w:val="continue"/>
            <w:tcBorders>
              <w:tl2br w:val="nil"/>
              <w:tr2bl w:val="nil"/>
            </w:tcBorders>
            <w:vAlign w:val="center"/>
          </w:tcPr>
          <w:p w14:paraId="6CBB0CDC">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6BC7CE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78DBED5A">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t>Corporate Carbon Emissions</w:t>
            </w:r>
          </w:p>
        </w:tc>
        <w:tc>
          <w:tcPr>
            <w:tcW w:w="4275" w:type="dxa"/>
            <w:tcBorders>
              <w:tl2br w:val="nil"/>
              <w:tr2bl w:val="nil"/>
            </w:tcBorders>
            <w:shd w:val="clear" w:color="auto" w:fill="auto"/>
            <w:vAlign w:val="center"/>
          </w:tcPr>
          <w:p w14:paraId="0CEE0B4E">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Environmental Research - Schedule of Corporate Environmental Emissions &amp; Schedule of Resource Consumption</w:t>
            </w:r>
          </w:p>
        </w:tc>
        <w:tc>
          <w:tcPr>
            <w:tcW w:w="2557" w:type="dxa"/>
            <w:vMerge w:val="continue"/>
            <w:tcBorders>
              <w:tl2br w:val="nil"/>
              <w:tr2bl w:val="nil"/>
            </w:tcBorders>
            <w:vAlign w:val="center"/>
          </w:tcPr>
          <w:p w14:paraId="0A461100">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053A58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shd w:val="clear" w:color="auto" w:fill="auto"/>
            <w:vAlign w:val="center"/>
          </w:tcPr>
          <w:p w14:paraId="755B3515">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i/>
                <w:iCs/>
                <w:color w:val="0D0D0D" w:themeColor="text1" w:themeTint="F2"/>
                <w:sz w:val="18"/>
                <w:szCs w:val="18"/>
                <w:highlight w:val="none"/>
                <w14:textFill>
                  <w14:solidFill>
                    <w14:schemeClr w14:val="tx1">
                      <w14:lumMod w14:val="95000"/>
                      <w14:lumOff w14:val="5000"/>
                    </w14:schemeClr>
                  </w14:solidFill>
                </w14:textFill>
              </w:rPr>
              <w:t>Regional</w:t>
            </w:r>
            <w:r>
              <w:rPr>
                <w:rFonts w:hint="default" w:ascii="Times New Roman" w:hAnsi="Times New Roman"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i/>
                <w:iCs/>
                <w:color w:val="0D0D0D" w:themeColor="text1" w:themeTint="F2"/>
                <w:sz w:val="18"/>
                <w:szCs w:val="18"/>
                <w:highlight w:val="none"/>
                <w14:textFill>
                  <w14:solidFill>
                    <w14:schemeClr w14:val="tx1">
                      <w14:lumMod w14:val="95000"/>
                      <w14:lumOff w14:val="5000"/>
                    </w14:schemeClr>
                  </w14:solidFill>
                </w14:textFill>
              </w:rPr>
              <w:t>Carbon Emissions</w:t>
            </w:r>
          </w:p>
        </w:tc>
        <w:tc>
          <w:tcPr>
            <w:tcW w:w="4275" w:type="dxa"/>
            <w:tcBorders>
              <w:tl2br w:val="nil"/>
              <w:tr2bl w:val="nil"/>
            </w:tcBorders>
            <w:shd w:val="clear" w:color="auto" w:fill="auto"/>
            <w:vAlign w:val="center"/>
          </w:tcPr>
          <w:p w14:paraId="367A9EF3">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Times New Roman" w:hAnsi="Times New Roman" w:cs="Times New Roman" w:eastAsiaTheme="minorEastAsia"/>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t>China Research Data Service</w:t>
            </w:r>
          </w:p>
        </w:tc>
        <w:tc>
          <w:tcPr>
            <w:tcW w:w="2557" w:type="dxa"/>
            <w:tcBorders>
              <w:tl2br w:val="nil"/>
              <w:tr2bl w:val="nil"/>
            </w:tcBorders>
            <w:shd w:val="clear" w:color="auto" w:fill="auto"/>
            <w:vAlign w:val="center"/>
          </w:tcPr>
          <w:p w14:paraId="7885C0D5">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Times New Roman" w:hAnsi="Times New Roman" w:cs="Times New Roman" w:eastAsiaTheme="minorEastAsia"/>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t>https://www.cnrds.com/Home/Login</w:t>
            </w:r>
          </w:p>
        </w:tc>
      </w:tr>
      <w:tr w14:paraId="70B6BF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shd w:val="clear" w:color="auto" w:fill="auto"/>
            <w:vAlign w:val="center"/>
          </w:tcPr>
          <w:p w14:paraId="76BAF39D">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Industry</w:t>
            </w:r>
          </w:p>
        </w:tc>
        <w:tc>
          <w:tcPr>
            <w:tcW w:w="4275" w:type="dxa"/>
            <w:tcBorders>
              <w:tl2br w:val="nil"/>
              <w:tr2bl w:val="nil"/>
            </w:tcBorders>
            <w:shd w:val="clear" w:color="auto" w:fill="auto"/>
            <w:vAlign w:val="center"/>
          </w:tcPr>
          <w:p w14:paraId="0AEDB981">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t>China Statistical Yearbook</w:t>
            </w:r>
          </w:p>
        </w:tc>
        <w:tc>
          <w:tcPr>
            <w:tcW w:w="2557" w:type="dxa"/>
            <w:tcBorders>
              <w:tl2br w:val="nil"/>
              <w:tr2bl w:val="nil"/>
            </w:tcBorders>
            <w:shd w:val="clear" w:color="auto" w:fill="auto"/>
            <w:vAlign w:val="center"/>
          </w:tcPr>
          <w:p w14:paraId="39A3E097">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val="0"/>
                <w:iCs w:val="0"/>
                <w:color w:val="0D0D0D" w:themeColor="text1" w:themeTint="F2"/>
                <w:sz w:val="18"/>
                <w:szCs w:val="18"/>
                <w:highlight w:val="none"/>
                <w14:textFill>
                  <w14:solidFill>
                    <w14:schemeClr w14:val="tx1">
                      <w14:lumMod w14:val="95000"/>
                      <w14:lumOff w14:val="5000"/>
                    </w14:schemeClr>
                  </w14:solidFill>
                </w14:textFill>
              </w:rPr>
              <w:t>https://www.stats.gov.cn/sj/ndsj/</w:t>
            </w:r>
          </w:p>
        </w:tc>
      </w:tr>
      <w:tr w14:paraId="00C558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shd w:val="clear" w:color="auto" w:fill="auto"/>
            <w:vAlign w:val="center"/>
          </w:tcPr>
          <w:p w14:paraId="0C041C81">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Market</w:t>
            </w:r>
          </w:p>
        </w:tc>
        <w:tc>
          <w:tcPr>
            <w:tcW w:w="4275" w:type="dxa"/>
            <w:shd w:val="clear" w:color="auto" w:fill="auto"/>
            <w:vAlign w:val="center"/>
          </w:tcPr>
          <w:p w14:paraId="7638929E">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t xml:space="preserve">China Market Index </w:t>
            </w:r>
            <w:r>
              <w:rPr>
                <w:rFonts w:hint="eastAsia"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t>Database</w:t>
            </w:r>
          </w:p>
        </w:tc>
        <w:tc>
          <w:tcPr>
            <w:tcW w:w="2557" w:type="dxa"/>
            <w:shd w:val="clear" w:color="auto" w:fill="auto"/>
            <w:vAlign w:val="center"/>
          </w:tcPr>
          <w:p w14:paraId="1F1CDE4C">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val="0"/>
                <w:iCs w:val="0"/>
                <w:color w:val="0D0D0D" w:themeColor="text1" w:themeTint="F2"/>
                <w:sz w:val="18"/>
                <w:szCs w:val="18"/>
                <w:highlight w:val="none"/>
                <w14:textFill>
                  <w14:solidFill>
                    <w14:schemeClr w14:val="tx1">
                      <w14:lumMod w14:val="95000"/>
                      <w14:lumOff w14:val="5000"/>
                    </w14:schemeClr>
                  </w14:solidFill>
                </w14:textFill>
              </w:rPr>
              <w:t>https://cmi.ssap.com.cn/</w:t>
            </w:r>
          </w:p>
        </w:tc>
      </w:tr>
    </w:tbl>
    <w:p w14:paraId="50200645">
      <w:pPr>
        <w:bidi w:val="0"/>
        <w:rPr>
          <w:rFonts w:hint="eastAsia" w:eastAsiaTheme="minorEastAsia"/>
          <w:color w:val="0D0D0D" w:themeColor="text1" w:themeTint="F2"/>
          <w:highlight w:val="none"/>
          <w:lang w:val="en-US" w:eastAsia="zh-CN"/>
          <w14:textFill>
            <w14:solidFill>
              <w14:schemeClr w14:val="tx1">
                <w14:lumMod w14:val="95000"/>
                <w14:lumOff w14:val="5000"/>
              </w14:schemeClr>
            </w14:solidFill>
          </w14:textFill>
        </w:rPr>
      </w:pPr>
    </w:p>
    <w:p w14:paraId="4B837788">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1"/>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0"/>
          <w:szCs w:val="20"/>
          <w:highlight w:val="none"/>
          <w:lang w:eastAsia="zh-CN"/>
          <w14:textFill>
            <w14:solidFill>
              <w14:schemeClr w14:val="tx1">
                <w14:lumMod w14:val="95000"/>
                <w14:lumOff w14:val="5000"/>
              </w14:schemeClr>
            </w14:solidFill>
          </w14:textFill>
        </w:rPr>
        <w:t>Table S5</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IV</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-DID</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Results</w:t>
      </w:r>
    </w:p>
    <w:tbl>
      <w:tblPr>
        <w:tblStyle w:val="12"/>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78"/>
        <w:gridCol w:w="3320"/>
        <w:gridCol w:w="3321"/>
      </w:tblGrid>
      <w:tr w14:paraId="1D393D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vMerge w:val="restart"/>
            <w:vAlign w:val="center"/>
          </w:tcPr>
          <w:p w14:paraId="77C4C78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1948" w:type="pct"/>
            <w:tcBorders>
              <w:bottom w:val="single" w:color="auto" w:sz="4" w:space="0"/>
            </w:tcBorders>
            <w:vAlign w:val="center"/>
          </w:tcPr>
          <w:p w14:paraId="19C3C65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First Stage</w:t>
            </w:r>
          </w:p>
        </w:tc>
        <w:tc>
          <w:tcPr>
            <w:tcW w:w="1949" w:type="pct"/>
            <w:tcBorders>
              <w:bottom w:val="single" w:color="auto" w:sz="4" w:space="0"/>
            </w:tcBorders>
            <w:vAlign w:val="center"/>
          </w:tcPr>
          <w:p w14:paraId="1E6D453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Second Stage</w:t>
            </w:r>
          </w:p>
        </w:tc>
      </w:tr>
      <w:tr w14:paraId="476268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vMerge w:val="continue"/>
            <w:vAlign w:val="center"/>
          </w:tcPr>
          <w:p w14:paraId="3DB6173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48" w:type="pct"/>
            <w:tcBorders>
              <w:top w:val="single" w:color="auto" w:sz="4" w:space="0"/>
            </w:tcBorders>
            <w:vAlign w:val="center"/>
          </w:tcPr>
          <w:p w14:paraId="0410E84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w:t>
            </w:r>
          </w:p>
        </w:tc>
        <w:tc>
          <w:tcPr>
            <w:tcW w:w="1949" w:type="pct"/>
            <w:tcBorders>
              <w:top w:val="single" w:color="auto" w:sz="4" w:space="0"/>
            </w:tcBorders>
            <w:vAlign w:val="center"/>
          </w:tcPr>
          <w:p w14:paraId="697F0FA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w:t>
            </w:r>
          </w:p>
        </w:tc>
      </w:tr>
      <w:tr w14:paraId="409A9C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vMerge w:val="continue"/>
            <w:tcBorders>
              <w:bottom w:val="single" w:color="auto" w:sz="4" w:space="0"/>
            </w:tcBorders>
            <w:vAlign w:val="center"/>
          </w:tcPr>
          <w:p w14:paraId="0909973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48" w:type="pct"/>
            <w:tcBorders>
              <w:bottom w:val="single" w:color="auto" w:sz="4" w:space="0"/>
            </w:tcBorders>
            <w:vAlign w:val="center"/>
          </w:tcPr>
          <w:p w14:paraId="645CD6E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w:t>
            </w: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ST</w:t>
            </w:r>
          </w:p>
        </w:tc>
        <w:tc>
          <w:tcPr>
            <w:tcW w:w="1949" w:type="pct"/>
            <w:tcBorders>
              <w:bottom w:val="single" w:color="auto" w:sz="4" w:space="0"/>
            </w:tcBorders>
            <w:vAlign w:val="center"/>
          </w:tcPr>
          <w:p w14:paraId="067359F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r>
      <w:tr w14:paraId="38FC6D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op w:val="single" w:color="auto" w:sz="4" w:space="0"/>
              <w:tl2br w:val="nil"/>
              <w:tr2bl w:val="nil"/>
            </w:tcBorders>
            <w:vAlign w:val="center"/>
          </w:tcPr>
          <w:p w14:paraId="71C6260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IV</w:t>
            </w:r>
          </w:p>
        </w:tc>
        <w:tc>
          <w:tcPr>
            <w:tcW w:w="1948" w:type="pct"/>
            <w:tcBorders>
              <w:top w:val="single" w:color="auto" w:sz="4" w:space="0"/>
              <w:tl2br w:val="nil"/>
              <w:tr2bl w:val="nil"/>
            </w:tcBorders>
            <w:vAlign w:val="center"/>
          </w:tcPr>
          <w:p w14:paraId="5CFE537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511</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vertAlign w:val="superscript"/>
                <w:lang w:val="en-US" w:eastAsia="zh-CN"/>
                <w14:textFill>
                  <w14:solidFill>
                    <w14:schemeClr w14:val="tx1">
                      <w14:lumMod w14:val="95000"/>
                      <w14:lumOff w14:val="5000"/>
                    </w14:schemeClr>
                  </w14:solidFill>
                </w14:textFill>
              </w:rPr>
              <w:t>*</w:t>
            </w:r>
          </w:p>
        </w:tc>
        <w:tc>
          <w:tcPr>
            <w:tcW w:w="1949" w:type="pct"/>
            <w:tcBorders>
              <w:top w:val="single" w:color="auto" w:sz="4" w:space="0"/>
              <w:tl2br w:val="nil"/>
              <w:tr2bl w:val="nil"/>
            </w:tcBorders>
            <w:vAlign w:val="center"/>
          </w:tcPr>
          <w:p w14:paraId="70B5C2C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r>
      <w:tr w14:paraId="604019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30E69C8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948" w:type="pct"/>
            <w:tcBorders>
              <w:tl2br w:val="nil"/>
              <w:tr2bl w:val="nil"/>
            </w:tcBorders>
            <w:vAlign w:val="center"/>
          </w:tcPr>
          <w:p w14:paraId="385BAAA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39</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949" w:type="pct"/>
            <w:tcBorders>
              <w:tl2br w:val="nil"/>
              <w:tr2bl w:val="nil"/>
            </w:tcBorders>
            <w:vAlign w:val="center"/>
          </w:tcPr>
          <w:p w14:paraId="308E48C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r>
      <w:tr w14:paraId="151515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6AFE32B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EST_fit</w:t>
            </w:r>
          </w:p>
        </w:tc>
        <w:tc>
          <w:tcPr>
            <w:tcW w:w="1948" w:type="pct"/>
            <w:tcBorders>
              <w:tl2br w:val="nil"/>
              <w:tr2bl w:val="nil"/>
            </w:tcBorders>
            <w:vAlign w:val="center"/>
          </w:tcPr>
          <w:p w14:paraId="7B0D9E9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49" w:type="pct"/>
            <w:tcBorders>
              <w:tl2br w:val="nil"/>
              <w:tr2bl w:val="nil"/>
            </w:tcBorders>
            <w:vAlign w:val="center"/>
          </w:tcPr>
          <w:p w14:paraId="4CACD75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0</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.33</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8</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vertAlign w:val="superscript"/>
                <w:lang w:val="en-US" w:eastAsia="zh-CN"/>
                <w14:textFill>
                  <w14:solidFill>
                    <w14:schemeClr w14:val="tx1">
                      <w14:lumMod w14:val="95000"/>
                      <w14:lumOff w14:val="5000"/>
                    </w14:schemeClr>
                  </w14:solidFill>
                </w14:textFill>
              </w:rPr>
              <w:t>*</w:t>
            </w:r>
          </w:p>
        </w:tc>
      </w:tr>
      <w:tr w14:paraId="0C6249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443C2D2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948" w:type="pct"/>
            <w:tcBorders>
              <w:tl2br w:val="nil"/>
              <w:tr2bl w:val="nil"/>
            </w:tcBorders>
            <w:vAlign w:val="center"/>
          </w:tcPr>
          <w:p w14:paraId="20E33B9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49" w:type="pct"/>
            <w:tcBorders>
              <w:tl2br w:val="nil"/>
              <w:tr2bl w:val="nil"/>
            </w:tcBorders>
            <w:vAlign w:val="center"/>
          </w:tcPr>
          <w:p w14:paraId="163FA59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(0.16</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3</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w:t>
            </w:r>
          </w:p>
        </w:tc>
      </w:tr>
      <w:tr w14:paraId="7052AF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05FE658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Treat × Period</w:t>
            </w:r>
          </w:p>
        </w:tc>
        <w:tc>
          <w:tcPr>
            <w:tcW w:w="1948" w:type="pct"/>
            <w:tcBorders>
              <w:tl2br w:val="nil"/>
              <w:tr2bl w:val="nil"/>
            </w:tcBorders>
            <w:vAlign w:val="center"/>
          </w:tcPr>
          <w:p w14:paraId="4104C7C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14:ligatures w14:val="standardContextua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0.185</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vertAlign w:val="superscript"/>
                <w:lang w:val="en-US" w:eastAsia="zh-CN"/>
                <w14:textFill>
                  <w14:solidFill>
                    <w14:schemeClr w14:val="tx1">
                      <w14:lumMod w14:val="95000"/>
                      <w14:lumOff w14:val="5000"/>
                    </w14:schemeClr>
                  </w14:solidFill>
                </w14:textFill>
              </w:rPr>
              <w:t>**</w:t>
            </w:r>
          </w:p>
        </w:tc>
        <w:tc>
          <w:tcPr>
            <w:tcW w:w="1949" w:type="pct"/>
            <w:tcBorders>
              <w:tl2br w:val="nil"/>
              <w:tr2bl w:val="nil"/>
            </w:tcBorders>
            <w:vAlign w:val="center"/>
          </w:tcPr>
          <w:p w14:paraId="0C74586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6</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4</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vertAlign w:val="superscript"/>
                <w:lang w:val="en-US" w:eastAsia="zh-CN"/>
                <w14:textFill>
                  <w14:solidFill>
                    <w14:schemeClr w14:val="tx1">
                      <w14:lumMod w14:val="95000"/>
                      <w14:lumOff w14:val="5000"/>
                    </w14:schemeClr>
                  </w14:solidFill>
                </w14:textFill>
              </w:rPr>
              <w:t>*</w:t>
            </w:r>
          </w:p>
        </w:tc>
      </w:tr>
      <w:tr w14:paraId="71768F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6EC6357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948" w:type="pct"/>
            <w:tcBorders>
              <w:tl2br w:val="nil"/>
              <w:tr2bl w:val="nil"/>
            </w:tcBorders>
            <w:vAlign w:val="center"/>
          </w:tcPr>
          <w:p w14:paraId="29B501C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6</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949" w:type="pct"/>
            <w:tcBorders>
              <w:tl2br w:val="nil"/>
              <w:tr2bl w:val="nil"/>
            </w:tcBorders>
            <w:vAlign w:val="center"/>
          </w:tcPr>
          <w:p w14:paraId="49E96F3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30</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1D2226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0B69DC7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Treat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1948" w:type="pct"/>
            <w:tcBorders>
              <w:tl2br w:val="nil"/>
              <w:tr2bl w:val="nil"/>
            </w:tcBorders>
            <w:vAlign w:val="center"/>
          </w:tcPr>
          <w:p w14:paraId="4E1416B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426</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vertAlign w:val="superscript"/>
                <w:lang w:val="en-US" w:eastAsia="zh-CN"/>
                <w14:textFill>
                  <w14:solidFill>
                    <w14:schemeClr w14:val="tx1">
                      <w14:lumMod w14:val="95000"/>
                      <w14:lumOff w14:val="5000"/>
                    </w14:schemeClr>
                  </w14:solidFill>
                </w14:textFill>
              </w:rPr>
              <w:t>*</w:t>
            </w:r>
          </w:p>
        </w:tc>
        <w:tc>
          <w:tcPr>
            <w:tcW w:w="1949" w:type="pct"/>
            <w:tcBorders>
              <w:tl2br w:val="nil"/>
              <w:tr2bl w:val="nil"/>
            </w:tcBorders>
            <w:vAlign w:val="center"/>
          </w:tcPr>
          <w:p w14:paraId="2BCDFB9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13</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4</w:t>
            </w:r>
            <w:r>
              <w:rPr>
                <w:rFonts w:hint="default" w:ascii="Times New Roman" w:hAnsi="Times New Roman" w:eastAsia="宋体" w:cs="Times New Roman"/>
                <w:color w:val="0D0D0D" w:themeColor="text1" w:themeTint="F2"/>
                <w:sz w:val="20"/>
                <w:szCs w:val="20"/>
                <w:highlight w:val="none"/>
                <w:vertAlign w:val="superscript"/>
                <w:lang w:val="en-US" w:eastAsia="zh-CN"/>
                <w14:textFill>
                  <w14:solidFill>
                    <w14:schemeClr w14:val="tx1">
                      <w14:lumMod w14:val="95000"/>
                      <w14:lumOff w14:val="5000"/>
                    </w14:schemeClr>
                  </w14:solidFill>
                </w14:textFill>
              </w:rPr>
              <w:t>*</w:t>
            </w:r>
          </w:p>
        </w:tc>
      </w:tr>
      <w:tr w14:paraId="79B9F6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08F4B1B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948" w:type="pct"/>
            <w:tcBorders>
              <w:tl2br w:val="nil"/>
              <w:tr2bl w:val="nil"/>
            </w:tcBorders>
            <w:vAlign w:val="center"/>
          </w:tcPr>
          <w:p w14:paraId="66E3299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(0.03</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8</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949" w:type="pct"/>
            <w:tcBorders>
              <w:tl2br w:val="nil"/>
              <w:tr2bl w:val="nil"/>
            </w:tcBorders>
            <w:vAlign w:val="center"/>
          </w:tcPr>
          <w:p w14:paraId="5B0FA54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7</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4</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362FE9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5F6EDF8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Period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1948" w:type="pct"/>
            <w:tcBorders>
              <w:tl2br w:val="nil"/>
              <w:tr2bl w:val="nil"/>
            </w:tcBorders>
            <w:vAlign w:val="center"/>
          </w:tcPr>
          <w:p w14:paraId="1873D1C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0.573</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vertAlign w:val="superscript"/>
                <w:lang w:val="en-US" w:eastAsia="zh-CN"/>
                <w14:textFill>
                  <w14:solidFill>
                    <w14:schemeClr w14:val="tx1">
                      <w14:lumMod w14:val="95000"/>
                      <w14:lumOff w14:val="5000"/>
                    </w14:schemeClr>
                  </w14:solidFill>
                </w14:textFill>
              </w:rPr>
              <w:t>*</w:t>
            </w:r>
          </w:p>
        </w:tc>
        <w:tc>
          <w:tcPr>
            <w:tcW w:w="1949" w:type="pct"/>
            <w:tcBorders>
              <w:tl2br w:val="nil"/>
              <w:tr2bl w:val="nil"/>
            </w:tcBorders>
            <w:vAlign w:val="center"/>
          </w:tcPr>
          <w:p w14:paraId="7AF9DE4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19</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7</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2F55E7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bottom w:val="nil"/>
              <w:tl2br w:val="nil"/>
              <w:tr2bl w:val="nil"/>
            </w:tcBorders>
            <w:vAlign w:val="center"/>
          </w:tcPr>
          <w:p w14:paraId="68034E7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948" w:type="pct"/>
            <w:tcBorders>
              <w:bottom w:val="nil"/>
              <w:tl2br w:val="nil"/>
              <w:tr2bl w:val="nil"/>
            </w:tcBorders>
            <w:vAlign w:val="center"/>
          </w:tcPr>
          <w:p w14:paraId="540D181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13</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949" w:type="pct"/>
            <w:tcBorders>
              <w:bottom w:val="nil"/>
              <w:tl2br w:val="nil"/>
              <w:tr2bl w:val="nil"/>
            </w:tcBorders>
            <w:vAlign w:val="center"/>
          </w:tcPr>
          <w:p w14:paraId="40BE600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94</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1ED292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op w:val="single" w:color="auto" w:sz="4" w:space="0"/>
            </w:tcBorders>
            <w:vAlign w:val="center"/>
          </w:tcPr>
          <w:p w14:paraId="6615FD0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1948" w:type="pct"/>
            <w:tcBorders>
              <w:top w:val="single" w:color="auto" w:sz="4" w:space="0"/>
            </w:tcBorders>
            <w:vAlign w:val="center"/>
          </w:tcPr>
          <w:p w14:paraId="352BA95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949" w:type="pct"/>
            <w:tcBorders>
              <w:top w:val="single" w:color="auto" w:sz="4" w:space="0"/>
            </w:tcBorders>
            <w:vAlign w:val="center"/>
          </w:tcPr>
          <w:p w14:paraId="36C436B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6ED9A8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23D9E00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1948" w:type="pct"/>
            <w:tcBorders>
              <w:tl2br w:val="nil"/>
              <w:tr2bl w:val="nil"/>
            </w:tcBorders>
            <w:vAlign w:val="center"/>
          </w:tcPr>
          <w:p w14:paraId="4BA1517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949" w:type="pct"/>
            <w:tcBorders>
              <w:tl2br w:val="nil"/>
              <w:tr2bl w:val="nil"/>
            </w:tcBorders>
            <w:vAlign w:val="center"/>
          </w:tcPr>
          <w:p w14:paraId="46E4A32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30389E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6490922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1948" w:type="pct"/>
            <w:tcBorders>
              <w:tl2br w:val="nil"/>
              <w:tr2bl w:val="nil"/>
            </w:tcBorders>
            <w:vAlign w:val="center"/>
          </w:tcPr>
          <w:p w14:paraId="0274D9A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949" w:type="pct"/>
            <w:tcBorders>
              <w:tl2br w:val="nil"/>
              <w:tr2bl w:val="nil"/>
            </w:tcBorders>
            <w:vAlign w:val="center"/>
          </w:tcPr>
          <w:p w14:paraId="45F9A40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565CBD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1610AC9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1948" w:type="pct"/>
            <w:tcBorders>
              <w:tl2br w:val="nil"/>
              <w:tr2bl w:val="nil"/>
            </w:tcBorders>
            <w:vAlign w:val="center"/>
          </w:tcPr>
          <w:p w14:paraId="1B96D86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949" w:type="pct"/>
            <w:tcBorders>
              <w:tl2br w:val="nil"/>
              <w:tr2bl w:val="nil"/>
            </w:tcBorders>
            <w:vAlign w:val="center"/>
          </w:tcPr>
          <w:p w14:paraId="5190517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130EE8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09A3A45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1948" w:type="pct"/>
            <w:tcBorders>
              <w:tl2br w:val="nil"/>
              <w:tr2bl w:val="nil"/>
            </w:tcBorders>
            <w:vAlign w:val="center"/>
          </w:tcPr>
          <w:p w14:paraId="7A2A9E4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949" w:type="pct"/>
            <w:tcBorders>
              <w:tl2br w:val="nil"/>
              <w:tr2bl w:val="nil"/>
            </w:tcBorders>
            <w:vAlign w:val="center"/>
          </w:tcPr>
          <w:p w14:paraId="3479FE1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52A7F1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071E2A2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1948" w:type="pct"/>
            <w:tcBorders>
              <w:tl2br w:val="nil"/>
              <w:tr2bl w:val="nil"/>
            </w:tcBorders>
            <w:vAlign w:val="center"/>
          </w:tcPr>
          <w:p w14:paraId="17AB0A0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c>
          <w:tcPr>
            <w:tcW w:w="1949" w:type="pct"/>
            <w:tcBorders>
              <w:tl2br w:val="nil"/>
              <w:tr2bl w:val="nil"/>
            </w:tcBorders>
            <w:vAlign w:val="center"/>
          </w:tcPr>
          <w:p w14:paraId="05FBB82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10,256</w:t>
            </w:r>
          </w:p>
        </w:tc>
      </w:tr>
    </w:tbl>
    <w:p w14:paraId="316AD520">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Note: Robust standard errors in parentheses, ***, **, and * indicate significance at the 0.01, 0.05, and 0.1 levels, respectively.</w:t>
      </w:r>
    </w:p>
    <w:p w14:paraId="638AF30E">
      <w:pPr>
        <w:bidi w:val="0"/>
        <w:rPr>
          <w:rFonts w:hint="eastAsia" w:eastAsiaTheme="minorEastAsia"/>
          <w:color w:val="0D0D0D" w:themeColor="text1" w:themeTint="F2"/>
          <w:highlight w:val="none"/>
          <w:lang w:val="en-US" w:eastAsia="zh-CN"/>
          <w14:textFill>
            <w14:solidFill>
              <w14:schemeClr w14:val="tx1">
                <w14:lumMod w14:val="95000"/>
                <w14:lumOff w14:val="5000"/>
              </w14:schemeClr>
            </w14:solidFill>
          </w14:textFill>
        </w:rPr>
      </w:pPr>
    </w:p>
    <w:p w14:paraId="3A949893">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1"/>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Table S</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6</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Falsification </w:t>
      </w: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est</w:t>
      </w: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w:t>
      </w:r>
    </w:p>
    <w:tbl>
      <w:tblPr>
        <w:tblStyle w:val="12"/>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66"/>
        <w:gridCol w:w="1946"/>
        <w:gridCol w:w="1946"/>
        <w:gridCol w:w="1961"/>
      </w:tblGrid>
      <w:tr w14:paraId="71127B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4"/>
            <w:tcBorders>
              <w:bottom w:val="single" w:color="auto" w:sz="4" w:space="0"/>
            </w:tcBorders>
            <w:vAlign w:val="center"/>
          </w:tcPr>
          <w:p w14:paraId="282D45B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 xml:space="preserve">Panel A: </w:t>
            </w:r>
            <w:r>
              <w:rPr>
                <w:rFonts w:hint="default" w:ascii="Times New Roman" w:hAnsi="Times New Roman" w:eastAsia="宋体" w:cs="Times New Roman"/>
                <w:b/>
                <w:bCs/>
                <w:color w:val="0D0D0D" w:themeColor="text1" w:themeTint="F2"/>
                <w:sz w:val="20"/>
                <w:szCs w:val="20"/>
                <w:highlight w:val="none"/>
                <w14:textFill>
                  <w14:solidFill>
                    <w14:schemeClr w14:val="tx1">
                      <w14:lumMod w14:val="95000"/>
                      <w14:lumOff w14:val="5000"/>
                    </w14:schemeClr>
                  </w14:solidFill>
                </w14:textFill>
              </w:rPr>
              <w:t xml:space="preserve">Simplified </w:t>
            </w:r>
            <w:r>
              <w:rPr>
                <w:rFonts w:hint="default" w:ascii="Times New Roman" w:hAnsi="Times New Roman" w:eastAsia="宋体"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R</w:t>
            </w:r>
            <w:r>
              <w:rPr>
                <w:rFonts w:hint="default" w:ascii="Times New Roman" w:hAnsi="Times New Roman" w:eastAsia="宋体" w:cs="Times New Roman"/>
                <w:b/>
                <w:bCs/>
                <w:color w:val="0D0D0D" w:themeColor="text1" w:themeTint="F2"/>
                <w:sz w:val="20"/>
                <w:szCs w:val="20"/>
                <w:highlight w:val="none"/>
                <w14:textFill>
                  <w14:solidFill>
                    <w14:schemeClr w14:val="tx1">
                      <w14:lumMod w14:val="95000"/>
                      <w14:lumOff w14:val="5000"/>
                    </w14:schemeClr>
                  </w14:solidFill>
                </w14:textFill>
              </w:rPr>
              <w:t>egression</w:t>
            </w:r>
          </w:p>
        </w:tc>
      </w:tr>
      <w:tr w14:paraId="467E8E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vMerge w:val="restart"/>
            <w:tcBorders>
              <w:top w:val="single" w:color="auto" w:sz="4" w:space="0"/>
              <w:bottom w:val="single" w:color="auto" w:sz="4" w:space="0"/>
            </w:tcBorders>
            <w:vAlign w:val="center"/>
          </w:tcPr>
          <w:p w14:paraId="598AEAE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1142" w:type="pct"/>
            <w:tcBorders>
              <w:top w:val="single" w:color="auto" w:sz="4" w:space="0"/>
              <w:bottom w:val="nil"/>
            </w:tcBorders>
            <w:shd w:val="clear" w:color="auto" w:fill="auto"/>
            <w:vAlign w:val="center"/>
          </w:tcPr>
          <w:p w14:paraId="3555CF1C">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w:t>
            </w:r>
          </w:p>
        </w:tc>
        <w:tc>
          <w:tcPr>
            <w:tcW w:w="1142" w:type="pct"/>
            <w:tcBorders>
              <w:top w:val="single" w:color="auto" w:sz="4" w:space="0"/>
              <w:bottom w:val="nil"/>
            </w:tcBorders>
            <w:shd w:val="clear" w:color="auto" w:fill="auto"/>
            <w:vAlign w:val="center"/>
          </w:tcPr>
          <w:p w14:paraId="7FB0418A">
            <w:pPr>
              <w:keepNext w:val="0"/>
              <w:keepLines w:val="0"/>
              <w:pageBreakBefore w:val="0"/>
              <w:tabs>
                <w:tab w:val="center" w:pos="693"/>
              </w:tabs>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w:t>
            </w:r>
          </w:p>
        </w:tc>
        <w:tc>
          <w:tcPr>
            <w:tcW w:w="1149" w:type="pct"/>
            <w:tcBorders>
              <w:top w:val="single" w:color="auto" w:sz="4" w:space="0"/>
              <w:bottom w:val="nil"/>
            </w:tcBorders>
            <w:vAlign w:val="center"/>
          </w:tcPr>
          <w:p w14:paraId="1BF0A7CE">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3</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3BACF8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vMerge w:val="continue"/>
            <w:tcBorders>
              <w:top w:val="single" w:color="auto" w:sz="4" w:space="0"/>
              <w:bottom w:val="single" w:color="auto" w:sz="4" w:space="0"/>
            </w:tcBorders>
            <w:vAlign w:val="center"/>
          </w:tcPr>
          <w:p w14:paraId="4CFF00E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op w:val="nil"/>
              <w:bottom w:val="single" w:color="auto" w:sz="4" w:space="0"/>
            </w:tcBorders>
            <w:shd w:val="clear" w:color="auto" w:fill="auto"/>
            <w:vAlign w:val="center"/>
          </w:tcPr>
          <w:p w14:paraId="29751AFD">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142" w:type="pct"/>
            <w:tcBorders>
              <w:top w:val="nil"/>
              <w:bottom w:val="single" w:color="auto" w:sz="4" w:space="0"/>
            </w:tcBorders>
            <w:shd w:val="clear" w:color="auto" w:fill="auto"/>
            <w:vAlign w:val="center"/>
          </w:tcPr>
          <w:p w14:paraId="3144DA2F">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149" w:type="pct"/>
            <w:tcBorders>
              <w:top w:val="nil"/>
              <w:bottom w:val="single" w:color="auto" w:sz="4" w:space="0"/>
            </w:tcBorders>
            <w:vAlign w:val="center"/>
          </w:tcPr>
          <w:p w14:paraId="05EA9CE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r>
      <w:tr w14:paraId="1D921D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op w:val="single" w:color="auto" w:sz="4" w:space="0"/>
              <w:tl2br w:val="nil"/>
              <w:tr2bl w:val="nil"/>
            </w:tcBorders>
            <w:vAlign w:val="center"/>
          </w:tcPr>
          <w:p w14:paraId="392ACA0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IV</w:t>
            </w:r>
          </w:p>
        </w:tc>
        <w:tc>
          <w:tcPr>
            <w:tcW w:w="1142" w:type="pct"/>
            <w:tcBorders>
              <w:top w:val="single" w:color="auto" w:sz="4" w:space="0"/>
              <w:tl2br w:val="nil"/>
              <w:tr2bl w:val="nil"/>
            </w:tcBorders>
            <w:shd w:val="clear" w:color="auto" w:fill="auto"/>
            <w:vAlign w:val="top"/>
          </w:tcPr>
          <w:p w14:paraId="6C6C8A5A">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0.167</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142" w:type="pct"/>
            <w:tcBorders>
              <w:top w:val="single" w:color="auto" w:sz="4" w:space="0"/>
              <w:tl2br w:val="nil"/>
              <w:tr2bl w:val="nil"/>
            </w:tcBorders>
            <w:shd w:val="clear" w:color="auto" w:fill="auto"/>
            <w:vAlign w:val="top"/>
          </w:tcPr>
          <w:p w14:paraId="23B78C42">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0.166</w:t>
            </w:r>
          </w:p>
        </w:tc>
        <w:tc>
          <w:tcPr>
            <w:tcW w:w="1149" w:type="pct"/>
            <w:tcBorders>
              <w:top w:val="single" w:color="auto" w:sz="4" w:space="0"/>
              <w:tl2br w:val="nil"/>
              <w:tr2bl w:val="nil"/>
            </w:tcBorders>
            <w:shd w:val="clear" w:color="auto" w:fill="auto"/>
            <w:vAlign w:val="top"/>
          </w:tcPr>
          <w:p w14:paraId="3F4786C1">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0.496</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186A54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029CA11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1F332775">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(0.070)</w:t>
            </w:r>
          </w:p>
        </w:tc>
        <w:tc>
          <w:tcPr>
            <w:tcW w:w="1142" w:type="pct"/>
            <w:tcBorders>
              <w:tl2br w:val="nil"/>
              <w:tr2bl w:val="nil"/>
            </w:tcBorders>
            <w:shd w:val="clear" w:color="auto" w:fill="auto"/>
            <w:vAlign w:val="top"/>
          </w:tcPr>
          <w:p w14:paraId="6BD3EDB6">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(0.196)</w:t>
            </w:r>
          </w:p>
        </w:tc>
        <w:tc>
          <w:tcPr>
            <w:tcW w:w="1149" w:type="pct"/>
            <w:tcBorders>
              <w:tl2br w:val="nil"/>
              <w:tr2bl w:val="nil"/>
            </w:tcBorders>
            <w:shd w:val="clear" w:color="auto" w:fill="auto"/>
            <w:vAlign w:val="top"/>
          </w:tcPr>
          <w:p w14:paraId="31B24301">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(0.181)</w:t>
            </w:r>
          </w:p>
        </w:tc>
      </w:tr>
      <w:tr w14:paraId="3A20FB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op w:val="single" w:color="auto" w:sz="4" w:space="0"/>
            </w:tcBorders>
            <w:vAlign w:val="center"/>
          </w:tcPr>
          <w:p w14:paraId="061C1E6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1142" w:type="pct"/>
            <w:tcBorders>
              <w:top w:val="single" w:color="auto" w:sz="4" w:space="0"/>
            </w:tcBorders>
            <w:shd w:val="clear" w:color="auto" w:fill="auto"/>
            <w:vAlign w:val="center"/>
          </w:tcPr>
          <w:p w14:paraId="7458B0BD">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op w:val="single" w:color="auto" w:sz="4" w:space="0"/>
            </w:tcBorders>
            <w:shd w:val="clear" w:color="auto" w:fill="auto"/>
            <w:vAlign w:val="center"/>
          </w:tcPr>
          <w:p w14:paraId="065747AD">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op w:val="single" w:color="auto" w:sz="4" w:space="0"/>
            </w:tcBorders>
            <w:vAlign w:val="center"/>
          </w:tcPr>
          <w:p w14:paraId="4AC01E9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60E062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2508827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1142" w:type="pct"/>
            <w:tcBorders>
              <w:tl2br w:val="nil"/>
              <w:tr2bl w:val="nil"/>
            </w:tcBorders>
            <w:shd w:val="clear" w:color="auto" w:fill="auto"/>
            <w:vAlign w:val="center"/>
          </w:tcPr>
          <w:p w14:paraId="2BFB2E3F">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4364E24F">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31F6515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50CFD0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30C879F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1142" w:type="pct"/>
            <w:tcBorders>
              <w:tl2br w:val="nil"/>
              <w:tr2bl w:val="nil"/>
            </w:tcBorders>
            <w:shd w:val="clear" w:color="auto" w:fill="auto"/>
            <w:vAlign w:val="center"/>
          </w:tcPr>
          <w:p w14:paraId="590D6446">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2509C47E">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210A6E2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462900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7A68E10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1142" w:type="pct"/>
            <w:tcBorders>
              <w:tl2br w:val="nil"/>
              <w:tr2bl w:val="nil"/>
            </w:tcBorders>
            <w:shd w:val="clear" w:color="auto" w:fill="auto"/>
            <w:vAlign w:val="center"/>
          </w:tcPr>
          <w:p w14:paraId="5FEECC94">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399B6B8C">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52C6FBB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0F6132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0A9D677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1142" w:type="pct"/>
            <w:tcBorders>
              <w:tl2br w:val="nil"/>
              <w:tr2bl w:val="nil"/>
            </w:tcBorders>
            <w:shd w:val="clear" w:color="auto" w:fill="auto"/>
            <w:vAlign w:val="center"/>
          </w:tcPr>
          <w:p w14:paraId="2A6DC465">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260270B5">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326EE07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0B5444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7F5330A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1142" w:type="pct"/>
            <w:tcBorders>
              <w:tl2br w:val="nil"/>
              <w:tr2bl w:val="nil"/>
            </w:tcBorders>
            <w:shd w:val="clear" w:color="auto" w:fill="auto"/>
            <w:vAlign w:val="top"/>
          </w:tcPr>
          <w:p w14:paraId="08E1C00C">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c>
          <w:tcPr>
            <w:tcW w:w="1142" w:type="pct"/>
            <w:tcBorders>
              <w:tl2br w:val="nil"/>
              <w:tr2bl w:val="nil"/>
            </w:tcBorders>
            <w:shd w:val="clear" w:color="auto" w:fill="auto"/>
            <w:vAlign w:val="top"/>
          </w:tcPr>
          <w:p w14:paraId="6A00560E">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4,449</w:t>
            </w:r>
          </w:p>
        </w:tc>
        <w:tc>
          <w:tcPr>
            <w:tcW w:w="1149" w:type="pct"/>
            <w:tcBorders>
              <w:tl2br w:val="nil"/>
              <w:tr2bl w:val="nil"/>
            </w:tcBorders>
            <w:shd w:val="clear" w:color="auto" w:fill="auto"/>
            <w:vAlign w:val="top"/>
          </w:tcPr>
          <w:p w14:paraId="7EF66338">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5,651</w:t>
            </w:r>
          </w:p>
        </w:tc>
      </w:tr>
      <w:tr w14:paraId="69F126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bottom w:val="single" w:color="auto" w:sz="4" w:space="0"/>
              <w:tl2br w:val="nil"/>
              <w:tr2bl w:val="nil"/>
            </w:tcBorders>
            <w:vAlign w:val="center"/>
          </w:tcPr>
          <w:p w14:paraId="4D8694F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2</w:t>
            </w:r>
          </w:p>
        </w:tc>
        <w:tc>
          <w:tcPr>
            <w:tcW w:w="1142" w:type="pct"/>
            <w:tcBorders>
              <w:bottom w:val="single" w:color="auto" w:sz="4" w:space="0"/>
              <w:tl2br w:val="nil"/>
              <w:tr2bl w:val="nil"/>
            </w:tcBorders>
            <w:shd w:val="clear" w:color="auto" w:fill="auto"/>
            <w:vAlign w:val="top"/>
          </w:tcPr>
          <w:p w14:paraId="524C6D33">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0.627</w:t>
            </w:r>
          </w:p>
        </w:tc>
        <w:tc>
          <w:tcPr>
            <w:tcW w:w="1142" w:type="pct"/>
            <w:tcBorders>
              <w:bottom w:val="single" w:color="auto" w:sz="4" w:space="0"/>
              <w:tl2br w:val="nil"/>
              <w:tr2bl w:val="nil"/>
            </w:tcBorders>
            <w:shd w:val="clear" w:color="auto" w:fill="auto"/>
            <w:vAlign w:val="top"/>
          </w:tcPr>
          <w:p w14:paraId="45118644">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0.706</w:t>
            </w:r>
          </w:p>
        </w:tc>
        <w:tc>
          <w:tcPr>
            <w:tcW w:w="1149" w:type="pct"/>
            <w:tcBorders>
              <w:bottom w:val="single" w:color="auto" w:sz="4" w:space="0"/>
              <w:tl2br w:val="nil"/>
              <w:tr2bl w:val="nil"/>
            </w:tcBorders>
            <w:shd w:val="clear" w:color="auto" w:fill="auto"/>
            <w:vAlign w:val="top"/>
          </w:tcPr>
          <w:p w14:paraId="4B4D3840">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0.757</w:t>
            </w:r>
          </w:p>
        </w:tc>
      </w:tr>
      <w:tr w14:paraId="5F5D97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4"/>
            <w:tcBorders>
              <w:top w:val="single" w:color="auto" w:sz="4" w:space="0"/>
              <w:bottom w:val="single" w:color="auto" w:sz="4" w:space="0"/>
            </w:tcBorders>
            <w:vAlign w:val="center"/>
          </w:tcPr>
          <w:p w14:paraId="63AD440D">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 xml:space="preserve">Panel B: </w:t>
            </w:r>
            <w:r>
              <w:rPr>
                <w:rFonts w:hint="default" w:ascii="Times New Roman" w:hAnsi="Times New Roman" w:eastAsia="宋体" w:cs="Times New Roman"/>
                <w:b/>
                <w:bCs/>
                <w:color w:val="0D0D0D" w:themeColor="text1" w:themeTint="F2"/>
                <w:sz w:val="20"/>
                <w:szCs w:val="20"/>
                <w:highlight w:val="none"/>
                <w14:textFill>
                  <w14:solidFill>
                    <w14:schemeClr w14:val="tx1">
                      <w14:lumMod w14:val="95000"/>
                      <w14:lumOff w14:val="5000"/>
                    </w14:schemeClr>
                  </w14:solidFill>
                </w14:textFill>
              </w:rPr>
              <w:t xml:space="preserve">Power </w:t>
            </w:r>
            <w:r>
              <w:rPr>
                <w:rFonts w:hint="default" w:ascii="Times New Roman" w:hAnsi="Times New Roman" w:eastAsia="宋体"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P</w:t>
            </w:r>
            <w:r>
              <w:rPr>
                <w:rFonts w:hint="default" w:ascii="Times New Roman" w:hAnsi="Times New Roman" w:eastAsia="宋体" w:cs="Times New Roman"/>
                <w:b/>
                <w:bCs/>
                <w:color w:val="0D0D0D" w:themeColor="text1" w:themeTint="F2"/>
                <w:sz w:val="20"/>
                <w:szCs w:val="20"/>
                <w:highlight w:val="none"/>
                <w14:textFill>
                  <w14:solidFill>
                    <w14:schemeClr w14:val="tx1">
                      <w14:lumMod w14:val="95000"/>
                      <w14:lumOff w14:val="5000"/>
                    </w14:schemeClr>
                  </w14:solidFill>
                </w14:textFill>
              </w:rPr>
              <w:t>ath</w:t>
            </w:r>
          </w:p>
        </w:tc>
      </w:tr>
      <w:tr w14:paraId="061FFC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vMerge w:val="restart"/>
            <w:tcBorders>
              <w:top w:val="single" w:color="auto" w:sz="4" w:space="0"/>
              <w:bottom w:val="single" w:color="auto" w:sz="4" w:space="0"/>
            </w:tcBorders>
            <w:vAlign w:val="center"/>
          </w:tcPr>
          <w:p w14:paraId="1EF6C37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1142" w:type="pct"/>
            <w:tcBorders>
              <w:top w:val="single" w:color="auto" w:sz="4" w:space="0"/>
              <w:bottom w:val="nil"/>
            </w:tcBorders>
            <w:shd w:val="clear" w:color="auto" w:fill="auto"/>
            <w:vAlign w:val="center"/>
          </w:tcPr>
          <w:p w14:paraId="43ABEADD">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4</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142" w:type="pct"/>
            <w:tcBorders>
              <w:top w:val="single" w:color="auto" w:sz="4" w:space="0"/>
              <w:bottom w:val="nil"/>
            </w:tcBorders>
            <w:shd w:val="clear" w:color="auto" w:fill="auto"/>
            <w:vAlign w:val="center"/>
          </w:tcPr>
          <w:p w14:paraId="1D053081">
            <w:pPr>
              <w:keepNext w:val="0"/>
              <w:keepLines w:val="0"/>
              <w:pageBreakBefore w:val="0"/>
              <w:tabs>
                <w:tab w:val="center" w:pos="693"/>
              </w:tabs>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5</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149" w:type="pct"/>
            <w:tcBorders>
              <w:top w:val="single" w:color="auto" w:sz="4" w:space="0"/>
              <w:bottom w:val="nil"/>
            </w:tcBorders>
            <w:vAlign w:val="center"/>
          </w:tcPr>
          <w:p w14:paraId="25E72BE2">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6</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4AF4BE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vMerge w:val="continue"/>
            <w:tcBorders>
              <w:top w:val="single" w:color="auto" w:sz="4" w:space="0"/>
              <w:bottom w:val="single" w:color="auto" w:sz="4" w:space="0"/>
            </w:tcBorders>
            <w:vAlign w:val="center"/>
          </w:tcPr>
          <w:p w14:paraId="32B4757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op w:val="nil"/>
              <w:bottom w:val="single" w:color="auto" w:sz="4" w:space="0"/>
            </w:tcBorders>
            <w:shd w:val="clear" w:color="auto" w:fill="auto"/>
            <w:vAlign w:val="center"/>
          </w:tcPr>
          <w:p w14:paraId="01D97CA3">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142" w:type="pct"/>
            <w:tcBorders>
              <w:top w:val="nil"/>
              <w:bottom w:val="single" w:color="auto" w:sz="4" w:space="0"/>
            </w:tcBorders>
            <w:shd w:val="clear" w:color="auto" w:fill="auto"/>
            <w:vAlign w:val="center"/>
          </w:tcPr>
          <w:p w14:paraId="35253AF3">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Power</w:t>
            </w:r>
          </w:p>
        </w:tc>
        <w:tc>
          <w:tcPr>
            <w:tcW w:w="1149" w:type="pct"/>
            <w:tcBorders>
              <w:top w:val="nil"/>
              <w:bottom w:val="single" w:color="auto" w:sz="4" w:space="0"/>
            </w:tcBorders>
            <w:vAlign w:val="center"/>
          </w:tcPr>
          <w:p w14:paraId="782D5D0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r>
      <w:tr w14:paraId="379B32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op w:val="single" w:color="auto" w:sz="4" w:space="0"/>
              <w:tl2br w:val="nil"/>
              <w:tr2bl w:val="nil"/>
            </w:tcBorders>
            <w:vAlign w:val="center"/>
          </w:tcPr>
          <w:p w14:paraId="41D068C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Power</w:t>
            </w:r>
          </w:p>
        </w:tc>
        <w:tc>
          <w:tcPr>
            <w:tcW w:w="1142" w:type="pct"/>
            <w:tcBorders>
              <w:top w:val="single" w:color="auto" w:sz="4" w:space="0"/>
              <w:tl2br w:val="nil"/>
              <w:tr2bl w:val="nil"/>
            </w:tcBorders>
            <w:shd w:val="clear" w:color="auto" w:fill="auto"/>
            <w:vAlign w:val="top"/>
          </w:tcPr>
          <w:p w14:paraId="68278FC3">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-0.188</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142" w:type="pct"/>
            <w:tcBorders>
              <w:top w:val="single" w:color="auto" w:sz="4" w:space="0"/>
              <w:tl2br w:val="nil"/>
              <w:tr2bl w:val="nil"/>
            </w:tcBorders>
            <w:shd w:val="clear" w:color="auto" w:fill="auto"/>
            <w:vAlign w:val="top"/>
          </w:tcPr>
          <w:p w14:paraId="74C4E02A">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op w:val="single" w:color="auto" w:sz="4" w:space="0"/>
              <w:tl2br w:val="nil"/>
              <w:tr2bl w:val="nil"/>
            </w:tcBorders>
            <w:shd w:val="clear" w:color="auto" w:fill="auto"/>
            <w:vAlign w:val="top"/>
          </w:tcPr>
          <w:p w14:paraId="053B177B">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761E00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3946F5C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1F5E8440">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(0.104)</w:t>
            </w:r>
          </w:p>
        </w:tc>
        <w:tc>
          <w:tcPr>
            <w:tcW w:w="1142" w:type="pct"/>
            <w:tcBorders>
              <w:tl2br w:val="nil"/>
              <w:tr2bl w:val="nil"/>
            </w:tcBorders>
            <w:shd w:val="clear" w:color="auto" w:fill="auto"/>
            <w:vAlign w:val="top"/>
          </w:tcPr>
          <w:p w14:paraId="509430C5">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l2br w:val="nil"/>
              <w:tr2bl w:val="nil"/>
            </w:tcBorders>
            <w:shd w:val="clear" w:color="auto" w:fill="auto"/>
            <w:vAlign w:val="top"/>
          </w:tcPr>
          <w:p w14:paraId="5B4BDDB0">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00EB46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7CB4AF5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IV</w:t>
            </w:r>
          </w:p>
        </w:tc>
        <w:tc>
          <w:tcPr>
            <w:tcW w:w="1142" w:type="pct"/>
            <w:tcBorders>
              <w:tl2br w:val="nil"/>
              <w:tr2bl w:val="nil"/>
            </w:tcBorders>
            <w:shd w:val="clear" w:color="auto" w:fill="auto"/>
            <w:vAlign w:val="top"/>
          </w:tcPr>
          <w:p w14:paraId="3C9412F8">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6AB85DFD">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0</w:t>
            </w:r>
            <w:r>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.025</w:t>
            </w:r>
          </w:p>
        </w:tc>
        <w:tc>
          <w:tcPr>
            <w:tcW w:w="1149" w:type="pct"/>
            <w:tcBorders>
              <w:tl2br w:val="nil"/>
              <w:tr2bl w:val="nil"/>
            </w:tcBorders>
            <w:shd w:val="clear" w:color="auto" w:fill="auto"/>
            <w:vAlign w:val="top"/>
          </w:tcPr>
          <w:p w14:paraId="67561AF1">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78C33A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4C4C455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25D8CA96">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22038CA1">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(0.023)</w:t>
            </w:r>
          </w:p>
        </w:tc>
        <w:tc>
          <w:tcPr>
            <w:tcW w:w="1149" w:type="pct"/>
            <w:tcBorders>
              <w:tl2br w:val="nil"/>
              <w:tr2bl w:val="nil"/>
            </w:tcBorders>
            <w:shd w:val="clear" w:color="auto" w:fill="auto"/>
            <w:vAlign w:val="top"/>
          </w:tcPr>
          <w:p w14:paraId="3D84E135">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40C481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284AF9D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Power_fit</w:t>
            </w:r>
          </w:p>
        </w:tc>
        <w:tc>
          <w:tcPr>
            <w:tcW w:w="1142" w:type="pct"/>
            <w:tcBorders>
              <w:tl2br w:val="nil"/>
              <w:tr2bl w:val="nil"/>
            </w:tcBorders>
            <w:shd w:val="clear" w:color="auto" w:fill="auto"/>
            <w:vAlign w:val="top"/>
          </w:tcPr>
          <w:p w14:paraId="3F668043">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4868CE72">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l2br w:val="nil"/>
              <w:tr2bl w:val="nil"/>
            </w:tcBorders>
            <w:shd w:val="clear" w:color="auto" w:fill="auto"/>
            <w:vAlign w:val="top"/>
          </w:tcPr>
          <w:p w14:paraId="52E041FB">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-6.56</w:t>
            </w:r>
            <w:r>
              <w:rPr>
                <w:rFonts w:hint="default" w:ascii="Times New Roman" w:hAnsi="Times New Roman"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2</w:t>
            </w:r>
          </w:p>
        </w:tc>
      </w:tr>
      <w:tr w14:paraId="0D68BE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5D0A939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58DCEC64">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75561A6C">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l2br w:val="nil"/>
              <w:tr2bl w:val="nil"/>
            </w:tcBorders>
            <w:shd w:val="clear" w:color="auto" w:fill="auto"/>
            <w:vAlign w:val="top"/>
          </w:tcPr>
          <w:p w14:paraId="4746CA8E">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(6.424)</w:t>
            </w:r>
          </w:p>
        </w:tc>
      </w:tr>
      <w:tr w14:paraId="03E72C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op w:val="single" w:color="auto" w:sz="4" w:space="0"/>
            </w:tcBorders>
            <w:vAlign w:val="center"/>
          </w:tcPr>
          <w:p w14:paraId="0595A3C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1142" w:type="pct"/>
            <w:tcBorders>
              <w:top w:val="single" w:color="auto" w:sz="4" w:space="0"/>
            </w:tcBorders>
            <w:shd w:val="clear" w:color="auto" w:fill="auto"/>
            <w:vAlign w:val="center"/>
          </w:tcPr>
          <w:p w14:paraId="0888BB0D">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op w:val="single" w:color="auto" w:sz="4" w:space="0"/>
            </w:tcBorders>
            <w:shd w:val="clear" w:color="auto" w:fill="auto"/>
            <w:vAlign w:val="center"/>
          </w:tcPr>
          <w:p w14:paraId="212E608F">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op w:val="single" w:color="auto" w:sz="4" w:space="0"/>
            </w:tcBorders>
            <w:vAlign w:val="center"/>
          </w:tcPr>
          <w:p w14:paraId="328786B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0D9AC4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0F0034B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1142" w:type="pct"/>
            <w:tcBorders>
              <w:tl2br w:val="nil"/>
              <w:tr2bl w:val="nil"/>
            </w:tcBorders>
            <w:shd w:val="clear" w:color="auto" w:fill="auto"/>
            <w:vAlign w:val="center"/>
          </w:tcPr>
          <w:p w14:paraId="3C1DD4A5">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1A47018D">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39EB595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0963F6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64F7EA9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1142" w:type="pct"/>
            <w:tcBorders>
              <w:tl2br w:val="nil"/>
              <w:tr2bl w:val="nil"/>
            </w:tcBorders>
            <w:shd w:val="clear" w:color="auto" w:fill="auto"/>
            <w:vAlign w:val="center"/>
          </w:tcPr>
          <w:p w14:paraId="4F1DEDF5">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042C7DC3">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4EC0847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26FD52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07B9E22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1142" w:type="pct"/>
            <w:tcBorders>
              <w:tl2br w:val="nil"/>
              <w:tr2bl w:val="nil"/>
            </w:tcBorders>
            <w:shd w:val="clear" w:color="auto" w:fill="auto"/>
            <w:vAlign w:val="center"/>
          </w:tcPr>
          <w:p w14:paraId="56D0D3F3">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0D9ECEAA">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493341F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5986B6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6B5A563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1142" w:type="pct"/>
            <w:tcBorders>
              <w:tl2br w:val="nil"/>
              <w:tr2bl w:val="nil"/>
            </w:tcBorders>
            <w:shd w:val="clear" w:color="auto" w:fill="auto"/>
            <w:vAlign w:val="center"/>
          </w:tcPr>
          <w:p w14:paraId="2E27B42A">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52A60881">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193AEDD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1A8AEB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6D243C6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1142" w:type="pct"/>
            <w:tcBorders>
              <w:tl2br w:val="nil"/>
              <w:tr2bl w:val="nil"/>
            </w:tcBorders>
            <w:shd w:val="clear" w:color="auto" w:fill="auto"/>
            <w:vAlign w:val="top"/>
          </w:tcPr>
          <w:p w14:paraId="06AE6729">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c>
          <w:tcPr>
            <w:tcW w:w="1142" w:type="pct"/>
            <w:tcBorders>
              <w:tl2br w:val="nil"/>
              <w:tr2bl w:val="nil"/>
            </w:tcBorders>
            <w:shd w:val="clear" w:color="auto" w:fill="auto"/>
            <w:vAlign w:val="top"/>
          </w:tcPr>
          <w:p w14:paraId="5716DC0D">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c>
          <w:tcPr>
            <w:tcW w:w="1149" w:type="pct"/>
            <w:tcBorders>
              <w:tl2br w:val="nil"/>
              <w:tr2bl w:val="nil"/>
            </w:tcBorders>
            <w:shd w:val="clear" w:color="auto" w:fill="auto"/>
            <w:vAlign w:val="top"/>
          </w:tcPr>
          <w:p w14:paraId="28021D8F">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r>
      <w:tr w14:paraId="01B6BD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bottom w:val="single" w:color="auto" w:sz="4" w:space="0"/>
              <w:tl2br w:val="nil"/>
              <w:tr2bl w:val="nil"/>
            </w:tcBorders>
            <w:vAlign w:val="center"/>
          </w:tcPr>
          <w:p w14:paraId="3790E6E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2</w:t>
            </w:r>
          </w:p>
        </w:tc>
        <w:tc>
          <w:tcPr>
            <w:tcW w:w="1142" w:type="pct"/>
            <w:tcBorders>
              <w:bottom w:val="single" w:color="auto" w:sz="4" w:space="0"/>
              <w:tl2br w:val="nil"/>
              <w:tr2bl w:val="nil"/>
            </w:tcBorders>
            <w:shd w:val="clear" w:color="auto" w:fill="auto"/>
            <w:vAlign w:val="top"/>
          </w:tcPr>
          <w:p w14:paraId="41D08346">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0.6</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27</w:t>
            </w:r>
          </w:p>
        </w:tc>
        <w:tc>
          <w:tcPr>
            <w:tcW w:w="1142" w:type="pct"/>
            <w:tcBorders>
              <w:bottom w:val="single" w:color="auto" w:sz="4" w:space="0"/>
              <w:tl2br w:val="nil"/>
              <w:tr2bl w:val="nil"/>
            </w:tcBorders>
            <w:shd w:val="clear" w:color="auto" w:fill="auto"/>
            <w:vAlign w:val="top"/>
          </w:tcPr>
          <w:p w14:paraId="155AE153">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bottom w:val="single" w:color="auto" w:sz="4" w:space="0"/>
              <w:tl2br w:val="nil"/>
              <w:tr2bl w:val="nil"/>
            </w:tcBorders>
            <w:shd w:val="clear" w:color="auto" w:fill="auto"/>
            <w:vAlign w:val="top"/>
          </w:tcPr>
          <w:p w14:paraId="1B6A2E98">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0CF812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4"/>
            <w:tcBorders>
              <w:top w:val="single" w:color="auto" w:sz="4" w:space="0"/>
              <w:bottom w:val="single" w:color="auto" w:sz="4" w:space="0"/>
            </w:tcBorders>
            <w:vAlign w:val="center"/>
          </w:tcPr>
          <w:p w14:paraId="1E84BA76">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Panel C: Cost</w:t>
            </w:r>
            <w:r>
              <w:rPr>
                <w:rFonts w:hint="default" w:ascii="Times New Roman" w:hAnsi="Times New Roman" w:eastAsia="宋体"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eastAsia="宋体"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P</w:t>
            </w:r>
            <w:r>
              <w:rPr>
                <w:rFonts w:hint="default" w:ascii="Times New Roman" w:hAnsi="Times New Roman" w:eastAsia="宋体" w:cs="Times New Roman"/>
                <w:b/>
                <w:bCs/>
                <w:color w:val="0D0D0D" w:themeColor="text1" w:themeTint="F2"/>
                <w:sz w:val="20"/>
                <w:szCs w:val="20"/>
                <w:highlight w:val="none"/>
                <w14:textFill>
                  <w14:solidFill>
                    <w14:schemeClr w14:val="tx1">
                      <w14:lumMod w14:val="95000"/>
                      <w14:lumOff w14:val="5000"/>
                    </w14:schemeClr>
                  </w14:solidFill>
                </w14:textFill>
              </w:rPr>
              <w:t>ath</w:t>
            </w:r>
          </w:p>
        </w:tc>
      </w:tr>
      <w:tr w14:paraId="59112D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vMerge w:val="restart"/>
            <w:tcBorders>
              <w:top w:val="single" w:color="auto" w:sz="4" w:space="0"/>
              <w:bottom w:val="single" w:color="auto" w:sz="4" w:space="0"/>
            </w:tcBorders>
            <w:vAlign w:val="center"/>
          </w:tcPr>
          <w:p w14:paraId="17890AD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1142" w:type="pct"/>
            <w:tcBorders>
              <w:top w:val="single" w:color="auto" w:sz="4" w:space="0"/>
              <w:bottom w:val="nil"/>
            </w:tcBorders>
            <w:shd w:val="clear" w:color="auto" w:fill="auto"/>
            <w:vAlign w:val="center"/>
          </w:tcPr>
          <w:p w14:paraId="1EB8B4D2">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7</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142" w:type="pct"/>
            <w:tcBorders>
              <w:top w:val="single" w:color="auto" w:sz="4" w:space="0"/>
              <w:bottom w:val="nil"/>
            </w:tcBorders>
            <w:shd w:val="clear" w:color="auto" w:fill="auto"/>
            <w:vAlign w:val="center"/>
          </w:tcPr>
          <w:p w14:paraId="375D2449">
            <w:pPr>
              <w:keepNext w:val="0"/>
              <w:keepLines w:val="0"/>
              <w:pageBreakBefore w:val="0"/>
              <w:tabs>
                <w:tab w:val="center" w:pos="693"/>
              </w:tabs>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8</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149" w:type="pct"/>
            <w:tcBorders>
              <w:top w:val="single" w:color="auto" w:sz="4" w:space="0"/>
              <w:bottom w:val="nil"/>
            </w:tcBorders>
            <w:vAlign w:val="center"/>
          </w:tcPr>
          <w:p w14:paraId="3CD67EFD">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9</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1F80E2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vMerge w:val="continue"/>
            <w:tcBorders>
              <w:top w:val="single" w:color="auto" w:sz="4" w:space="0"/>
              <w:bottom w:val="single" w:color="auto" w:sz="4" w:space="0"/>
            </w:tcBorders>
            <w:vAlign w:val="center"/>
          </w:tcPr>
          <w:p w14:paraId="68D26DB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op w:val="nil"/>
              <w:bottom w:val="single" w:color="auto" w:sz="4" w:space="0"/>
            </w:tcBorders>
            <w:shd w:val="clear" w:color="auto" w:fill="auto"/>
            <w:vAlign w:val="center"/>
          </w:tcPr>
          <w:p w14:paraId="6D0505F3">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142" w:type="pct"/>
            <w:tcBorders>
              <w:top w:val="nil"/>
              <w:bottom w:val="single" w:color="auto" w:sz="4" w:space="0"/>
            </w:tcBorders>
            <w:shd w:val="clear" w:color="auto" w:fill="auto"/>
            <w:vAlign w:val="center"/>
          </w:tcPr>
          <w:p w14:paraId="428ABF15">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Cost</w:t>
            </w:r>
          </w:p>
        </w:tc>
        <w:tc>
          <w:tcPr>
            <w:tcW w:w="1149" w:type="pct"/>
            <w:tcBorders>
              <w:top w:val="nil"/>
              <w:bottom w:val="single" w:color="auto" w:sz="4" w:space="0"/>
            </w:tcBorders>
            <w:vAlign w:val="center"/>
          </w:tcPr>
          <w:p w14:paraId="6D93A1A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r>
      <w:tr w14:paraId="4F2B60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op w:val="single" w:color="auto" w:sz="4" w:space="0"/>
              <w:tl2br w:val="nil"/>
              <w:tr2bl w:val="nil"/>
            </w:tcBorders>
            <w:vAlign w:val="center"/>
          </w:tcPr>
          <w:p w14:paraId="4587178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Cost</w:t>
            </w:r>
          </w:p>
        </w:tc>
        <w:tc>
          <w:tcPr>
            <w:tcW w:w="1142" w:type="pct"/>
            <w:tcBorders>
              <w:top w:val="single" w:color="auto" w:sz="4" w:space="0"/>
              <w:tl2br w:val="nil"/>
              <w:tr2bl w:val="nil"/>
            </w:tcBorders>
            <w:shd w:val="clear" w:color="auto" w:fill="auto"/>
            <w:vAlign w:val="top"/>
          </w:tcPr>
          <w:p w14:paraId="6FDF78A6">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-0.021</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142" w:type="pct"/>
            <w:tcBorders>
              <w:top w:val="single" w:color="auto" w:sz="4" w:space="0"/>
              <w:tl2br w:val="nil"/>
              <w:tr2bl w:val="nil"/>
            </w:tcBorders>
            <w:shd w:val="clear" w:color="auto" w:fill="auto"/>
            <w:vAlign w:val="top"/>
          </w:tcPr>
          <w:p w14:paraId="7920597C">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op w:val="single" w:color="auto" w:sz="4" w:space="0"/>
              <w:tl2br w:val="nil"/>
              <w:tr2bl w:val="nil"/>
            </w:tcBorders>
            <w:shd w:val="clear" w:color="auto" w:fill="auto"/>
            <w:vAlign w:val="top"/>
          </w:tcPr>
          <w:p w14:paraId="2F1CCEE0">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3A2048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59DFD7E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237CF189">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(0.011)</w:t>
            </w:r>
          </w:p>
        </w:tc>
        <w:tc>
          <w:tcPr>
            <w:tcW w:w="1142" w:type="pct"/>
            <w:tcBorders>
              <w:tl2br w:val="nil"/>
              <w:tr2bl w:val="nil"/>
            </w:tcBorders>
            <w:shd w:val="clear" w:color="auto" w:fill="auto"/>
            <w:vAlign w:val="top"/>
          </w:tcPr>
          <w:p w14:paraId="24867D13">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l2br w:val="nil"/>
              <w:tr2bl w:val="nil"/>
            </w:tcBorders>
            <w:shd w:val="clear" w:color="auto" w:fill="auto"/>
            <w:vAlign w:val="top"/>
          </w:tcPr>
          <w:p w14:paraId="7CAFED3C">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4943A1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68DEF16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IV</w:t>
            </w:r>
          </w:p>
        </w:tc>
        <w:tc>
          <w:tcPr>
            <w:tcW w:w="1142" w:type="pct"/>
            <w:tcBorders>
              <w:tl2br w:val="nil"/>
              <w:tr2bl w:val="nil"/>
            </w:tcBorders>
            <w:shd w:val="clear" w:color="auto" w:fill="auto"/>
            <w:vAlign w:val="top"/>
          </w:tcPr>
          <w:p w14:paraId="4555AD3B">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611BC40F">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0</w:t>
            </w:r>
            <w:r>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.067</w:t>
            </w:r>
          </w:p>
        </w:tc>
        <w:tc>
          <w:tcPr>
            <w:tcW w:w="1149" w:type="pct"/>
            <w:tcBorders>
              <w:tl2br w:val="nil"/>
              <w:tr2bl w:val="nil"/>
            </w:tcBorders>
            <w:shd w:val="clear" w:color="auto" w:fill="auto"/>
            <w:vAlign w:val="top"/>
          </w:tcPr>
          <w:p w14:paraId="04174FD5">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23EF98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433E2CE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77E81436">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3594D33F">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(0.093)</w:t>
            </w:r>
          </w:p>
        </w:tc>
        <w:tc>
          <w:tcPr>
            <w:tcW w:w="1149" w:type="pct"/>
            <w:tcBorders>
              <w:tl2br w:val="nil"/>
              <w:tr2bl w:val="nil"/>
            </w:tcBorders>
            <w:shd w:val="clear" w:color="auto" w:fill="auto"/>
            <w:vAlign w:val="top"/>
          </w:tcPr>
          <w:p w14:paraId="38B8839E">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60D003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12937BB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Cost_fit</w:t>
            </w:r>
          </w:p>
        </w:tc>
        <w:tc>
          <w:tcPr>
            <w:tcW w:w="1142" w:type="pct"/>
            <w:tcBorders>
              <w:tl2br w:val="nil"/>
              <w:tr2bl w:val="nil"/>
            </w:tcBorders>
            <w:shd w:val="clear" w:color="auto" w:fill="auto"/>
            <w:vAlign w:val="top"/>
          </w:tcPr>
          <w:p w14:paraId="6DB9E2EF">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271635E7">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l2br w:val="nil"/>
              <w:tr2bl w:val="nil"/>
            </w:tcBorders>
            <w:shd w:val="clear" w:color="auto" w:fill="auto"/>
            <w:vAlign w:val="top"/>
          </w:tcPr>
          <w:p w14:paraId="792798FD">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-2.478</w:t>
            </w:r>
          </w:p>
        </w:tc>
      </w:tr>
      <w:tr w14:paraId="0CF94C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02B6BE0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60847160">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00A69D17">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l2br w:val="nil"/>
              <w:tr2bl w:val="nil"/>
            </w:tcBorders>
            <w:shd w:val="clear" w:color="auto" w:fill="auto"/>
            <w:vAlign w:val="top"/>
          </w:tcPr>
          <w:p w14:paraId="1C567803">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(3.545)</w:t>
            </w:r>
          </w:p>
        </w:tc>
      </w:tr>
      <w:tr w14:paraId="27FFB9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op w:val="single" w:color="auto" w:sz="4" w:space="0"/>
            </w:tcBorders>
            <w:vAlign w:val="center"/>
          </w:tcPr>
          <w:p w14:paraId="7FD8910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1142" w:type="pct"/>
            <w:tcBorders>
              <w:top w:val="single" w:color="auto" w:sz="4" w:space="0"/>
            </w:tcBorders>
            <w:shd w:val="clear" w:color="auto" w:fill="auto"/>
            <w:vAlign w:val="center"/>
          </w:tcPr>
          <w:p w14:paraId="47959FA1">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op w:val="single" w:color="auto" w:sz="4" w:space="0"/>
            </w:tcBorders>
            <w:shd w:val="clear" w:color="auto" w:fill="auto"/>
            <w:vAlign w:val="center"/>
          </w:tcPr>
          <w:p w14:paraId="24413748">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op w:val="single" w:color="auto" w:sz="4" w:space="0"/>
            </w:tcBorders>
            <w:vAlign w:val="center"/>
          </w:tcPr>
          <w:p w14:paraId="7D4867D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10D388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5270C4A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1142" w:type="pct"/>
            <w:tcBorders>
              <w:tl2br w:val="nil"/>
              <w:tr2bl w:val="nil"/>
            </w:tcBorders>
            <w:shd w:val="clear" w:color="auto" w:fill="auto"/>
            <w:vAlign w:val="center"/>
          </w:tcPr>
          <w:p w14:paraId="423AF520">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2455E31A">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7463D31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52C069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7234328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1142" w:type="pct"/>
            <w:tcBorders>
              <w:tl2br w:val="nil"/>
              <w:tr2bl w:val="nil"/>
            </w:tcBorders>
            <w:shd w:val="clear" w:color="auto" w:fill="auto"/>
            <w:vAlign w:val="center"/>
          </w:tcPr>
          <w:p w14:paraId="29F3948A">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548B6CF1">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66A67D9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412208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1C74B6D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1142" w:type="pct"/>
            <w:tcBorders>
              <w:tl2br w:val="nil"/>
              <w:tr2bl w:val="nil"/>
            </w:tcBorders>
            <w:shd w:val="clear" w:color="auto" w:fill="auto"/>
            <w:vAlign w:val="center"/>
          </w:tcPr>
          <w:p w14:paraId="5F73E194">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391FB3B0">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00A5C12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78EC33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3B164A6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1142" w:type="pct"/>
            <w:tcBorders>
              <w:tl2br w:val="nil"/>
              <w:tr2bl w:val="nil"/>
            </w:tcBorders>
            <w:shd w:val="clear" w:color="auto" w:fill="auto"/>
            <w:vAlign w:val="center"/>
          </w:tcPr>
          <w:p w14:paraId="1909251B">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61822F3B">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2361CB1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02C6E0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2325007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1142" w:type="pct"/>
            <w:tcBorders>
              <w:tl2br w:val="nil"/>
              <w:tr2bl w:val="nil"/>
            </w:tcBorders>
            <w:shd w:val="clear" w:color="auto" w:fill="auto"/>
            <w:vAlign w:val="top"/>
          </w:tcPr>
          <w:p w14:paraId="340E8031">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c>
          <w:tcPr>
            <w:tcW w:w="1142" w:type="pct"/>
            <w:tcBorders>
              <w:tl2br w:val="nil"/>
              <w:tr2bl w:val="nil"/>
            </w:tcBorders>
            <w:shd w:val="clear" w:color="auto" w:fill="auto"/>
            <w:vAlign w:val="top"/>
          </w:tcPr>
          <w:p w14:paraId="23CF9D31">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c>
          <w:tcPr>
            <w:tcW w:w="1149" w:type="pct"/>
            <w:tcBorders>
              <w:tl2br w:val="nil"/>
              <w:tr2bl w:val="nil"/>
            </w:tcBorders>
            <w:shd w:val="clear" w:color="auto" w:fill="auto"/>
            <w:vAlign w:val="top"/>
          </w:tcPr>
          <w:p w14:paraId="1D36B5AF">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r>
      <w:tr w14:paraId="020E0E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4254FC0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2</w:t>
            </w:r>
          </w:p>
        </w:tc>
        <w:tc>
          <w:tcPr>
            <w:tcW w:w="1142" w:type="pct"/>
            <w:tcBorders>
              <w:tl2br w:val="nil"/>
              <w:tr2bl w:val="nil"/>
            </w:tcBorders>
            <w:shd w:val="clear" w:color="auto" w:fill="auto"/>
            <w:vAlign w:val="top"/>
          </w:tcPr>
          <w:p w14:paraId="7546ED05">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0.6</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27</w:t>
            </w:r>
          </w:p>
        </w:tc>
        <w:tc>
          <w:tcPr>
            <w:tcW w:w="1142" w:type="pct"/>
            <w:tcBorders>
              <w:tl2br w:val="nil"/>
              <w:tr2bl w:val="nil"/>
            </w:tcBorders>
            <w:shd w:val="clear" w:color="auto" w:fill="auto"/>
            <w:vAlign w:val="top"/>
          </w:tcPr>
          <w:p w14:paraId="5A103E8C">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l2br w:val="nil"/>
              <w:tr2bl w:val="nil"/>
            </w:tcBorders>
            <w:shd w:val="clear" w:color="auto" w:fill="auto"/>
            <w:vAlign w:val="top"/>
          </w:tcPr>
          <w:p w14:paraId="34DE0011">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bl>
    <w:p w14:paraId="726EC2BE">
      <w:pPr>
        <w:bidi w:val="0"/>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Note: Robust standard errors in parentheses, ***, **, and * indicate significance at the 0.01, 0.05, and 0.1 levels, respectively.</w:t>
      </w:r>
    </w:p>
    <w:p w14:paraId="0FAF7E8C">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p w14:paraId="04E29DF6">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1"/>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0"/>
          <w:szCs w:val="20"/>
          <w:highlight w:val="none"/>
          <w:lang w:eastAsia="zh-CN"/>
          <w14:textFill>
            <w14:solidFill>
              <w14:schemeClr w14:val="tx1">
                <w14:lumMod w14:val="95000"/>
                <w14:lumOff w14:val="5000"/>
              </w14:schemeClr>
            </w14:solidFill>
          </w14:textFill>
        </w:rPr>
        <w:t>Table S7</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PSM-DID </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Tests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Results</w:t>
      </w:r>
    </w:p>
    <w:tbl>
      <w:tblPr>
        <w:tblStyle w:val="12"/>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11"/>
        <w:gridCol w:w="1912"/>
        <w:gridCol w:w="1926"/>
        <w:gridCol w:w="2970"/>
      </w:tblGrid>
      <w:tr w14:paraId="4B7AC4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vMerge w:val="restart"/>
            <w:vAlign w:val="center"/>
          </w:tcPr>
          <w:p w14:paraId="36755BB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1122" w:type="pct"/>
            <w:tcBorders>
              <w:bottom w:val="single" w:color="auto" w:sz="4" w:space="0"/>
            </w:tcBorders>
            <w:vAlign w:val="center"/>
          </w:tcPr>
          <w:p w14:paraId="3521E98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Kernel M</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ethod</w:t>
            </w:r>
          </w:p>
        </w:tc>
        <w:tc>
          <w:tcPr>
            <w:tcW w:w="1130" w:type="pct"/>
            <w:tcBorders>
              <w:bottom w:val="single" w:color="auto" w:sz="4" w:space="0"/>
            </w:tcBorders>
            <w:vAlign w:val="center"/>
          </w:tcPr>
          <w:p w14:paraId="32EF181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Radius M</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ethod</w:t>
            </w:r>
          </w:p>
        </w:tc>
        <w:tc>
          <w:tcPr>
            <w:tcW w:w="1743" w:type="pct"/>
            <w:tcBorders>
              <w:bottom w:val="single" w:color="auto" w:sz="4" w:space="0"/>
            </w:tcBorders>
            <w:vAlign w:val="center"/>
          </w:tcPr>
          <w:p w14:paraId="2026C97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Nearest Neighbor M</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ethod</w:t>
            </w:r>
          </w:p>
        </w:tc>
      </w:tr>
      <w:tr w14:paraId="5EA5BE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vMerge w:val="continue"/>
            <w:vAlign w:val="center"/>
          </w:tcPr>
          <w:p w14:paraId="7D46C06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op w:val="single" w:color="auto" w:sz="4" w:space="0"/>
            </w:tcBorders>
            <w:vAlign w:val="center"/>
          </w:tcPr>
          <w:p w14:paraId="62F420E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w:t>
            </w:r>
          </w:p>
        </w:tc>
        <w:tc>
          <w:tcPr>
            <w:tcW w:w="1130" w:type="pct"/>
            <w:tcBorders>
              <w:top w:val="single" w:color="auto" w:sz="4" w:space="0"/>
            </w:tcBorders>
            <w:vAlign w:val="center"/>
          </w:tcPr>
          <w:p w14:paraId="11327E1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w:t>
            </w:r>
          </w:p>
        </w:tc>
        <w:tc>
          <w:tcPr>
            <w:tcW w:w="1743" w:type="pct"/>
            <w:tcBorders>
              <w:top w:val="single" w:color="auto" w:sz="4" w:space="0"/>
            </w:tcBorders>
            <w:vAlign w:val="center"/>
          </w:tcPr>
          <w:p w14:paraId="4B1B74B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(3)</w:t>
            </w:r>
          </w:p>
        </w:tc>
      </w:tr>
      <w:tr w14:paraId="0D000C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vMerge w:val="continue"/>
            <w:tcBorders>
              <w:bottom w:val="single" w:color="auto" w:sz="4" w:space="0"/>
            </w:tcBorders>
            <w:vAlign w:val="center"/>
          </w:tcPr>
          <w:p w14:paraId="47DF09A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bottom w:val="single" w:color="auto" w:sz="4" w:space="0"/>
            </w:tcBorders>
            <w:vAlign w:val="center"/>
          </w:tcPr>
          <w:p w14:paraId="0060B9F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130" w:type="pct"/>
            <w:tcBorders>
              <w:bottom w:val="single" w:color="auto" w:sz="4" w:space="0"/>
            </w:tcBorders>
            <w:vAlign w:val="center"/>
          </w:tcPr>
          <w:p w14:paraId="696261C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743" w:type="pct"/>
            <w:tcBorders>
              <w:bottom w:val="single" w:color="auto" w:sz="4" w:space="0"/>
            </w:tcBorders>
            <w:vAlign w:val="center"/>
          </w:tcPr>
          <w:p w14:paraId="03540F1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r>
      <w:tr w14:paraId="3F7832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op w:val="single" w:color="auto" w:sz="4" w:space="0"/>
              <w:tl2br w:val="nil"/>
              <w:tr2bl w:val="nil"/>
            </w:tcBorders>
            <w:vAlign w:val="center"/>
          </w:tcPr>
          <w:p w14:paraId="3C89D69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EST</w:t>
            </w:r>
          </w:p>
        </w:tc>
        <w:tc>
          <w:tcPr>
            <w:tcW w:w="1122" w:type="pct"/>
            <w:tcBorders>
              <w:top w:val="single" w:color="auto" w:sz="4" w:space="0"/>
              <w:tl2br w:val="nil"/>
              <w:tr2bl w:val="nil"/>
            </w:tcBorders>
            <w:shd w:val="clear" w:color="auto" w:fill="auto"/>
            <w:vAlign w:val="top"/>
          </w:tcPr>
          <w:p w14:paraId="47DDF12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0.012</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130" w:type="pct"/>
            <w:tcBorders>
              <w:top w:val="single" w:color="auto" w:sz="4" w:space="0"/>
              <w:tl2br w:val="nil"/>
              <w:tr2bl w:val="nil"/>
            </w:tcBorders>
            <w:shd w:val="clear" w:color="auto" w:fill="auto"/>
            <w:vAlign w:val="top"/>
          </w:tcPr>
          <w:p w14:paraId="79A57A99">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0.013</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743" w:type="pct"/>
            <w:tcBorders>
              <w:top w:val="single" w:color="auto" w:sz="4" w:space="0"/>
              <w:tl2br w:val="nil"/>
              <w:tr2bl w:val="nil"/>
            </w:tcBorders>
            <w:shd w:val="clear" w:color="auto" w:fill="auto"/>
            <w:vAlign w:val="top"/>
          </w:tcPr>
          <w:p w14:paraId="45DDF6D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0.021</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1CC002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25DB571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shd w:val="clear" w:color="auto" w:fill="auto"/>
            <w:vAlign w:val="top"/>
          </w:tcPr>
          <w:p w14:paraId="50427538">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130" w:type="pct"/>
            <w:tcBorders>
              <w:tl2br w:val="nil"/>
              <w:tr2bl w:val="nil"/>
            </w:tcBorders>
            <w:shd w:val="clear" w:color="auto" w:fill="auto"/>
            <w:vAlign w:val="top"/>
          </w:tcPr>
          <w:p w14:paraId="02F3ACE1">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743" w:type="pct"/>
            <w:tcBorders>
              <w:tl2br w:val="nil"/>
              <w:tr2bl w:val="nil"/>
            </w:tcBorders>
            <w:shd w:val="clear" w:color="auto" w:fill="auto"/>
            <w:vAlign w:val="top"/>
          </w:tcPr>
          <w:p w14:paraId="22E454C0">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(0.006)</w:t>
            </w:r>
          </w:p>
        </w:tc>
      </w:tr>
      <w:tr w14:paraId="4B9655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1F2EC6B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Treat × Period</w:t>
            </w:r>
          </w:p>
        </w:tc>
        <w:tc>
          <w:tcPr>
            <w:tcW w:w="1122" w:type="pct"/>
            <w:tcBorders>
              <w:tl2br w:val="nil"/>
              <w:tr2bl w:val="nil"/>
            </w:tcBorders>
            <w:shd w:val="clear" w:color="auto" w:fill="auto"/>
            <w:vAlign w:val="top"/>
          </w:tcPr>
          <w:p w14:paraId="115CA7E4">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130" w:type="pct"/>
            <w:tcBorders>
              <w:tl2br w:val="nil"/>
              <w:tr2bl w:val="nil"/>
            </w:tcBorders>
            <w:shd w:val="clear" w:color="auto" w:fill="auto"/>
            <w:vAlign w:val="top"/>
          </w:tcPr>
          <w:p w14:paraId="432920E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-0.003</w:t>
            </w:r>
          </w:p>
        </w:tc>
        <w:tc>
          <w:tcPr>
            <w:tcW w:w="1743" w:type="pct"/>
            <w:tcBorders>
              <w:tl2br w:val="nil"/>
              <w:tr2bl w:val="nil"/>
            </w:tcBorders>
            <w:shd w:val="clear" w:color="auto" w:fill="auto"/>
            <w:vAlign w:val="top"/>
          </w:tcPr>
          <w:p w14:paraId="48964E98">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-0.006</w:t>
            </w:r>
          </w:p>
        </w:tc>
      </w:tr>
      <w:tr w14:paraId="1DA9F1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55A804A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shd w:val="clear" w:color="auto" w:fill="auto"/>
            <w:vAlign w:val="top"/>
          </w:tcPr>
          <w:p w14:paraId="76C82A0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130" w:type="pct"/>
            <w:tcBorders>
              <w:tl2br w:val="nil"/>
              <w:tr2bl w:val="nil"/>
            </w:tcBorders>
            <w:shd w:val="clear" w:color="auto" w:fill="auto"/>
            <w:vAlign w:val="top"/>
          </w:tcPr>
          <w:p w14:paraId="7F62438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743" w:type="pct"/>
            <w:tcBorders>
              <w:tl2br w:val="nil"/>
              <w:tr2bl w:val="nil"/>
            </w:tcBorders>
            <w:shd w:val="clear" w:color="auto" w:fill="auto"/>
            <w:vAlign w:val="top"/>
          </w:tcPr>
          <w:p w14:paraId="602F8FE9">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(0.006)</w:t>
            </w:r>
          </w:p>
        </w:tc>
      </w:tr>
      <w:tr w14:paraId="65F872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3DE6714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Treat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1122" w:type="pct"/>
            <w:tcBorders>
              <w:tl2br w:val="nil"/>
              <w:tr2bl w:val="nil"/>
            </w:tcBorders>
            <w:shd w:val="clear" w:color="auto" w:fill="auto"/>
            <w:vAlign w:val="top"/>
          </w:tcPr>
          <w:p w14:paraId="504ADAEB">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130" w:type="pct"/>
            <w:tcBorders>
              <w:tl2br w:val="nil"/>
              <w:tr2bl w:val="nil"/>
            </w:tcBorders>
            <w:shd w:val="clear" w:color="auto" w:fill="auto"/>
            <w:vAlign w:val="top"/>
          </w:tcPr>
          <w:p w14:paraId="4314442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743" w:type="pct"/>
            <w:tcBorders>
              <w:tl2br w:val="nil"/>
              <w:tr2bl w:val="nil"/>
            </w:tcBorders>
            <w:shd w:val="clear" w:color="auto" w:fill="auto"/>
            <w:vAlign w:val="top"/>
          </w:tcPr>
          <w:p w14:paraId="26EF0DC5">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0.003</w:t>
            </w:r>
          </w:p>
        </w:tc>
      </w:tr>
      <w:tr w14:paraId="48FE49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2E943CC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shd w:val="clear" w:color="auto" w:fill="auto"/>
            <w:vAlign w:val="top"/>
          </w:tcPr>
          <w:p w14:paraId="469CE218">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(0.038)</w:t>
            </w:r>
          </w:p>
        </w:tc>
        <w:tc>
          <w:tcPr>
            <w:tcW w:w="1130" w:type="pct"/>
            <w:tcBorders>
              <w:tl2br w:val="nil"/>
              <w:tr2bl w:val="nil"/>
            </w:tcBorders>
            <w:shd w:val="clear" w:color="auto" w:fill="auto"/>
            <w:vAlign w:val="top"/>
          </w:tcPr>
          <w:p w14:paraId="6464C7EB">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(0.037)</w:t>
            </w:r>
          </w:p>
        </w:tc>
        <w:tc>
          <w:tcPr>
            <w:tcW w:w="1743" w:type="pct"/>
            <w:tcBorders>
              <w:tl2br w:val="nil"/>
              <w:tr2bl w:val="nil"/>
            </w:tcBorders>
            <w:shd w:val="clear" w:color="auto" w:fill="auto"/>
            <w:vAlign w:val="top"/>
          </w:tcPr>
          <w:p w14:paraId="41070304">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(0.032)</w:t>
            </w:r>
          </w:p>
        </w:tc>
      </w:tr>
      <w:tr w14:paraId="3D135E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10F928E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Period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1122" w:type="pct"/>
            <w:tcBorders>
              <w:tl2br w:val="nil"/>
              <w:tr2bl w:val="nil"/>
            </w:tcBorders>
            <w:shd w:val="clear" w:color="auto" w:fill="auto"/>
            <w:vAlign w:val="top"/>
          </w:tcPr>
          <w:p w14:paraId="70AAC2ED">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-0.009</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130" w:type="pct"/>
            <w:tcBorders>
              <w:tl2br w:val="nil"/>
              <w:tr2bl w:val="nil"/>
            </w:tcBorders>
            <w:shd w:val="clear" w:color="auto" w:fill="auto"/>
            <w:vAlign w:val="top"/>
          </w:tcPr>
          <w:p w14:paraId="286F1AAC">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-0.010</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743" w:type="pct"/>
            <w:tcBorders>
              <w:tl2br w:val="nil"/>
              <w:tr2bl w:val="nil"/>
            </w:tcBorders>
            <w:shd w:val="clear" w:color="auto" w:fill="auto"/>
            <w:vAlign w:val="top"/>
          </w:tcPr>
          <w:p w14:paraId="7F641005">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-0.018</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791EED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bottom w:val="single" w:color="auto" w:sz="4" w:space="0"/>
              <w:tl2br w:val="nil"/>
              <w:tr2bl w:val="nil"/>
            </w:tcBorders>
            <w:vAlign w:val="center"/>
          </w:tcPr>
          <w:p w14:paraId="04FB242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bottom w:val="single" w:color="auto" w:sz="4" w:space="0"/>
              <w:tl2br w:val="nil"/>
              <w:tr2bl w:val="nil"/>
            </w:tcBorders>
            <w:shd w:val="clear" w:color="auto" w:fill="auto"/>
            <w:vAlign w:val="top"/>
          </w:tcPr>
          <w:p w14:paraId="34F850E4">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130" w:type="pct"/>
            <w:tcBorders>
              <w:bottom w:val="single" w:color="auto" w:sz="4" w:space="0"/>
              <w:tl2br w:val="nil"/>
              <w:tr2bl w:val="nil"/>
            </w:tcBorders>
            <w:shd w:val="clear" w:color="auto" w:fill="auto"/>
            <w:vAlign w:val="top"/>
          </w:tcPr>
          <w:p w14:paraId="26926C1F">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(0.003)</w:t>
            </w:r>
          </w:p>
        </w:tc>
        <w:tc>
          <w:tcPr>
            <w:tcW w:w="1743" w:type="pct"/>
            <w:tcBorders>
              <w:bottom w:val="single" w:color="auto" w:sz="4" w:space="0"/>
              <w:tl2br w:val="nil"/>
              <w:tr2bl w:val="nil"/>
            </w:tcBorders>
            <w:shd w:val="clear" w:color="auto" w:fill="auto"/>
            <w:vAlign w:val="top"/>
          </w:tcPr>
          <w:p w14:paraId="55723AEF">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r>
      <w:tr w14:paraId="49D864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op w:val="single" w:color="auto" w:sz="4" w:space="0"/>
            </w:tcBorders>
            <w:vAlign w:val="center"/>
          </w:tcPr>
          <w:p w14:paraId="6FF747D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1122" w:type="pct"/>
            <w:tcBorders>
              <w:top w:val="single" w:color="auto" w:sz="4" w:space="0"/>
            </w:tcBorders>
            <w:vAlign w:val="center"/>
          </w:tcPr>
          <w:p w14:paraId="782F0BA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op w:val="single" w:color="auto" w:sz="4" w:space="0"/>
            </w:tcBorders>
            <w:vAlign w:val="center"/>
          </w:tcPr>
          <w:p w14:paraId="3E2717D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op w:val="single" w:color="auto" w:sz="4" w:space="0"/>
            </w:tcBorders>
            <w:vAlign w:val="center"/>
          </w:tcPr>
          <w:p w14:paraId="170E09B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7BC904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72D6184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1122" w:type="pct"/>
            <w:tcBorders>
              <w:tl2br w:val="nil"/>
              <w:tr2bl w:val="nil"/>
            </w:tcBorders>
            <w:vAlign w:val="center"/>
          </w:tcPr>
          <w:p w14:paraId="5858FA7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0565893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6E3DCDF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205BC2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275621A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1122" w:type="pct"/>
            <w:tcBorders>
              <w:tl2br w:val="nil"/>
              <w:tr2bl w:val="nil"/>
            </w:tcBorders>
            <w:vAlign w:val="center"/>
          </w:tcPr>
          <w:p w14:paraId="10D41FB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491FE41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6973890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064451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6357D50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1122" w:type="pct"/>
            <w:tcBorders>
              <w:tl2br w:val="nil"/>
              <w:tr2bl w:val="nil"/>
            </w:tcBorders>
            <w:vAlign w:val="center"/>
          </w:tcPr>
          <w:p w14:paraId="7603246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2A117E9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26482EA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5EA82E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260D971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1122" w:type="pct"/>
            <w:tcBorders>
              <w:tl2br w:val="nil"/>
              <w:tr2bl w:val="nil"/>
            </w:tcBorders>
            <w:vAlign w:val="center"/>
          </w:tcPr>
          <w:p w14:paraId="00D0CCC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788DA55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33EDFC4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55DEAF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792CFB9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1122" w:type="pct"/>
            <w:tcBorders>
              <w:tl2br w:val="nil"/>
              <w:tr2bl w:val="nil"/>
            </w:tcBorders>
            <w:vAlign w:val="center"/>
          </w:tcPr>
          <w:p w14:paraId="2EA1EA6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10,1</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78</w:t>
            </w:r>
          </w:p>
        </w:tc>
        <w:tc>
          <w:tcPr>
            <w:tcW w:w="1130" w:type="pct"/>
            <w:tcBorders>
              <w:tl2br w:val="nil"/>
              <w:tr2bl w:val="nil"/>
            </w:tcBorders>
            <w:vAlign w:val="center"/>
          </w:tcPr>
          <w:p w14:paraId="2BCEA2F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9,954</w:t>
            </w:r>
          </w:p>
        </w:tc>
        <w:tc>
          <w:tcPr>
            <w:tcW w:w="1743" w:type="pct"/>
            <w:tcBorders>
              <w:tl2br w:val="nil"/>
              <w:tr2bl w:val="nil"/>
            </w:tcBorders>
            <w:vAlign w:val="center"/>
          </w:tcPr>
          <w:p w14:paraId="35B5825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2,659</w:t>
            </w:r>
          </w:p>
        </w:tc>
      </w:tr>
      <w:tr w14:paraId="5D27F7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261F2EF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2</w:t>
            </w:r>
          </w:p>
        </w:tc>
        <w:tc>
          <w:tcPr>
            <w:tcW w:w="1122" w:type="pct"/>
            <w:tcBorders>
              <w:tl2br w:val="nil"/>
              <w:tr2bl w:val="nil"/>
            </w:tcBorders>
            <w:vAlign w:val="center"/>
          </w:tcPr>
          <w:p w14:paraId="66B5647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0.626</w:t>
            </w:r>
          </w:p>
        </w:tc>
        <w:tc>
          <w:tcPr>
            <w:tcW w:w="1130" w:type="pct"/>
            <w:tcBorders>
              <w:tl2br w:val="nil"/>
              <w:tr2bl w:val="nil"/>
            </w:tcBorders>
            <w:vAlign w:val="center"/>
          </w:tcPr>
          <w:p w14:paraId="626D6F5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0.625</w:t>
            </w:r>
          </w:p>
        </w:tc>
        <w:tc>
          <w:tcPr>
            <w:tcW w:w="1743" w:type="pct"/>
            <w:tcBorders>
              <w:tl2br w:val="nil"/>
              <w:tr2bl w:val="nil"/>
            </w:tcBorders>
            <w:vAlign w:val="center"/>
          </w:tcPr>
          <w:p w14:paraId="38F0FD3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0.685</w:t>
            </w:r>
          </w:p>
        </w:tc>
      </w:tr>
    </w:tbl>
    <w:p w14:paraId="70B64B35">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Note: Robust standard errors in parentheses, ***, **, and * indicate significance at the 0.01, 0.05, and 0.1 levels, respectively.</w:t>
      </w:r>
    </w:p>
    <w:p w14:paraId="16117735">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p w14:paraId="042F2D1A">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1"/>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0"/>
          <w:szCs w:val="20"/>
          <w:highlight w:val="none"/>
          <w:lang w:eastAsia="zh-CN"/>
          <w14:textFill>
            <w14:solidFill>
              <w14:schemeClr w14:val="tx1">
                <w14:lumMod w14:val="95000"/>
                <w14:lumOff w14:val="5000"/>
              </w14:schemeClr>
            </w14:solidFill>
          </w14:textFill>
        </w:rPr>
        <w:t>Table S8</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Controlling for Other Policy Interferences</w:t>
      </w:r>
    </w:p>
    <w:tbl>
      <w:tblPr>
        <w:tblStyle w:val="12"/>
        <w:tblW w:w="4998" w:type="pct"/>
        <w:tblInd w:w="0" w:type="dxa"/>
        <w:tblBorders>
          <w:top w:val="single" w:color="auto" w:sz="8"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11"/>
        <w:gridCol w:w="1912"/>
        <w:gridCol w:w="1926"/>
        <w:gridCol w:w="2970"/>
      </w:tblGrid>
      <w:tr w14:paraId="69C7EEA8">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vMerge w:val="restart"/>
            <w:tcBorders>
              <w:top w:val="single" w:color="auto" w:sz="4" w:space="0"/>
            </w:tcBorders>
            <w:vAlign w:val="center"/>
          </w:tcPr>
          <w:p w14:paraId="79D3645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1122" w:type="pct"/>
            <w:tcBorders>
              <w:top w:val="single" w:color="auto" w:sz="4" w:space="0"/>
              <w:bottom w:val="single" w:color="auto" w:sz="4" w:space="0"/>
            </w:tcBorders>
            <w:vAlign w:val="center"/>
          </w:tcPr>
          <w:p w14:paraId="441BCC0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Control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ECRT</w:t>
            </w:r>
          </w:p>
        </w:tc>
        <w:tc>
          <w:tcPr>
            <w:tcW w:w="1130" w:type="pct"/>
            <w:tcBorders>
              <w:top w:val="single" w:color="auto" w:sz="4" w:space="0"/>
              <w:bottom w:val="single" w:color="auto" w:sz="4" w:space="0"/>
            </w:tcBorders>
            <w:vAlign w:val="center"/>
          </w:tcPr>
          <w:p w14:paraId="26DAE44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Control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GFR</w:t>
            </w:r>
          </w:p>
        </w:tc>
        <w:tc>
          <w:tcPr>
            <w:tcW w:w="1743" w:type="pct"/>
            <w:tcBorders>
              <w:top w:val="single" w:color="auto" w:sz="4" w:space="0"/>
              <w:bottom w:val="single" w:color="auto" w:sz="4" w:space="0"/>
            </w:tcBorders>
            <w:vAlign w:val="center"/>
          </w:tcPr>
          <w:p w14:paraId="367BC7D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Control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EPT</w:t>
            </w:r>
          </w:p>
        </w:tc>
      </w:tr>
      <w:tr w14:paraId="259F2A72">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vMerge w:val="continue"/>
            <w:vAlign w:val="center"/>
          </w:tcPr>
          <w:p w14:paraId="03088A8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op w:val="single" w:color="auto" w:sz="4" w:space="0"/>
            </w:tcBorders>
            <w:vAlign w:val="center"/>
          </w:tcPr>
          <w:p w14:paraId="7E0F827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w:t>
            </w:r>
          </w:p>
        </w:tc>
        <w:tc>
          <w:tcPr>
            <w:tcW w:w="1130" w:type="pct"/>
            <w:tcBorders>
              <w:top w:val="single" w:color="auto" w:sz="4" w:space="0"/>
            </w:tcBorders>
            <w:vAlign w:val="center"/>
          </w:tcPr>
          <w:p w14:paraId="4C687AC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w:t>
            </w:r>
          </w:p>
        </w:tc>
        <w:tc>
          <w:tcPr>
            <w:tcW w:w="1743" w:type="pct"/>
            <w:tcBorders>
              <w:top w:val="single" w:color="auto" w:sz="4" w:space="0"/>
            </w:tcBorders>
            <w:vAlign w:val="center"/>
          </w:tcPr>
          <w:p w14:paraId="782475C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(3)</w:t>
            </w:r>
          </w:p>
        </w:tc>
      </w:tr>
      <w:tr w14:paraId="3F9028F3">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vMerge w:val="continue"/>
            <w:tcBorders>
              <w:bottom w:val="single" w:color="auto" w:sz="4" w:space="0"/>
            </w:tcBorders>
            <w:vAlign w:val="center"/>
          </w:tcPr>
          <w:p w14:paraId="2884BC9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bottom w:val="single" w:color="auto" w:sz="4" w:space="0"/>
            </w:tcBorders>
            <w:vAlign w:val="center"/>
          </w:tcPr>
          <w:p w14:paraId="134AFF7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130" w:type="pct"/>
            <w:tcBorders>
              <w:bottom w:val="single" w:color="auto" w:sz="4" w:space="0"/>
            </w:tcBorders>
            <w:vAlign w:val="center"/>
          </w:tcPr>
          <w:p w14:paraId="42F4029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743" w:type="pct"/>
            <w:tcBorders>
              <w:bottom w:val="single" w:color="auto" w:sz="4" w:space="0"/>
            </w:tcBorders>
            <w:vAlign w:val="center"/>
          </w:tcPr>
          <w:p w14:paraId="4E83369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r>
      <w:tr w14:paraId="478C7706">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op w:val="single" w:color="auto" w:sz="4" w:space="0"/>
              <w:tl2br w:val="nil"/>
              <w:tr2bl w:val="nil"/>
            </w:tcBorders>
            <w:vAlign w:val="center"/>
          </w:tcPr>
          <w:p w14:paraId="289F90E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EST</w:t>
            </w:r>
          </w:p>
        </w:tc>
        <w:tc>
          <w:tcPr>
            <w:tcW w:w="1122" w:type="pct"/>
            <w:tcBorders>
              <w:top w:val="single" w:color="auto" w:sz="4" w:space="0"/>
              <w:tl2br w:val="nil"/>
              <w:tr2bl w:val="nil"/>
            </w:tcBorders>
          </w:tcPr>
          <w:p w14:paraId="41E5FDF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0.012</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130" w:type="pct"/>
            <w:tcBorders>
              <w:top w:val="single" w:color="auto" w:sz="4" w:space="0"/>
              <w:tl2br w:val="nil"/>
              <w:tr2bl w:val="nil"/>
            </w:tcBorders>
          </w:tcPr>
          <w:p w14:paraId="7D7E6FD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0.011</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743" w:type="pct"/>
            <w:tcBorders>
              <w:top w:val="single" w:color="auto" w:sz="4" w:space="0"/>
              <w:tl2br w:val="nil"/>
              <w:tr2bl w:val="nil"/>
            </w:tcBorders>
          </w:tcPr>
          <w:p w14:paraId="2495AE4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0.012</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1302A39D">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1036670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tcPr>
          <w:p w14:paraId="659657C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130" w:type="pct"/>
            <w:tcBorders>
              <w:tl2br w:val="nil"/>
              <w:tr2bl w:val="nil"/>
            </w:tcBorders>
          </w:tcPr>
          <w:p w14:paraId="38845C6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743" w:type="pct"/>
            <w:tcBorders>
              <w:tl2br w:val="nil"/>
              <w:tr2bl w:val="nil"/>
            </w:tcBorders>
          </w:tcPr>
          <w:p w14:paraId="4D051CB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r>
      <w:tr w14:paraId="33C0EA76">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5A8165A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Treat × Period</w:t>
            </w:r>
          </w:p>
        </w:tc>
        <w:tc>
          <w:tcPr>
            <w:tcW w:w="1122" w:type="pct"/>
            <w:tcBorders>
              <w:tl2br w:val="nil"/>
              <w:tr2bl w:val="nil"/>
            </w:tcBorders>
          </w:tcPr>
          <w:p w14:paraId="176F780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130" w:type="pct"/>
            <w:tcBorders>
              <w:tl2br w:val="nil"/>
              <w:tr2bl w:val="nil"/>
            </w:tcBorders>
          </w:tcPr>
          <w:p w14:paraId="23868CD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-0.001</w:t>
            </w:r>
          </w:p>
        </w:tc>
        <w:tc>
          <w:tcPr>
            <w:tcW w:w="1743" w:type="pct"/>
            <w:tcBorders>
              <w:tl2br w:val="nil"/>
              <w:tr2bl w:val="nil"/>
            </w:tcBorders>
          </w:tcPr>
          <w:p w14:paraId="4D6EA53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r>
      <w:tr w14:paraId="16986A86">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68FC101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tcPr>
          <w:p w14:paraId="307705A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130" w:type="pct"/>
            <w:tcBorders>
              <w:tl2br w:val="nil"/>
              <w:tr2bl w:val="nil"/>
            </w:tcBorders>
          </w:tcPr>
          <w:p w14:paraId="006F56F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(0.006)</w:t>
            </w:r>
          </w:p>
        </w:tc>
        <w:tc>
          <w:tcPr>
            <w:tcW w:w="1743" w:type="pct"/>
            <w:tcBorders>
              <w:tl2br w:val="nil"/>
              <w:tr2bl w:val="nil"/>
            </w:tcBorders>
          </w:tcPr>
          <w:p w14:paraId="74B0B2A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r>
      <w:tr w14:paraId="1106764A">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6E6B272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Treat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1122" w:type="pct"/>
            <w:tcBorders>
              <w:tl2br w:val="nil"/>
              <w:tr2bl w:val="nil"/>
            </w:tcBorders>
          </w:tcPr>
          <w:p w14:paraId="01071D8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130" w:type="pct"/>
            <w:tcBorders>
              <w:tl2br w:val="nil"/>
              <w:tr2bl w:val="nil"/>
            </w:tcBorders>
          </w:tcPr>
          <w:p w14:paraId="2CF1BCD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743" w:type="pct"/>
            <w:tcBorders>
              <w:tl2br w:val="nil"/>
              <w:tr2bl w:val="nil"/>
            </w:tcBorders>
          </w:tcPr>
          <w:p w14:paraId="208BE36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r>
      <w:tr w14:paraId="450E7E43">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7C73DF0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tcPr>
          <w:p w14:paraId="2895230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(0.039)</w:t>
            </w:r>
          </w:p>
        </w:tc>
        <w:tc>
          <w:tcPr>
            <w:tcW w:w="1130" w:type="pct"/>
            <w:tcBorders>
              <w:tl2br w:val="nil"/>
              <w:tr2bl w:val="nil"/>
            </w:tcBorders>
          </w:tcPr>
          <w:p w14:paraId="71D6123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(0.039)</w:t>
            </w:r>
          </w:p>
        </w:tc>
        <w:tc>
          <w:tcPr>
            <w:tcW w:w="1743" w:type="pct"/>
            <w:tcBorders>
              <w:tl2br w:val="nil"/>
              <w:tr2bl w:val="nil"/>
            </w:tcBorders>
          </w:tcPr>
          <w:p w14:paraId="1CAB4FD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(0.038)</w:t>
            </w:r>
          </w:p>
        </w:tc>
      </w:tr>
      <w:tr w14:paraId="47FE133B">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587BDA0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Period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1122" w:type="pct"/>
            <w:tcBorders>
              <w:tl2br w:val="nil"/>
              <w:tr2bl w:val="nil"/>
            </w:tcBorders>
          </w:tcPr>
          <w:p w14:paraId="48DF105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-0.010</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130" w:type="pct"/>
            <w:tcBorders>
              <w:tl2br w:val="nil"/>
              <w:tr2bl w:val="nil"/>
            </w:tcBorders>
          </w:tcPr>
          <w:p w14:paraId="714B1B7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-0.010</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743" w:type="pct"/>
            <w:tcBorders>
              <w:tl2br w:val="nil"/>
              <w:tr2bl w:val="nil"/>
            </w:tcBorders>
          </w:tcPr>
          <w:p w14:paraId="0811C37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-0.011</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44DD987B">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395720E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tcPr>
          <w:p w14:paraId="22BFB1D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130" w:type="pct"/>
            <w:tcBorders>
              <w:tl2br w:val="nil"/>
              <w:tr2bl w:val="nil"/>
            </w:tcBorders>
          </w:tcPr>
          <w:p w14:paraId="19B3CDF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743" w:type="pct"/>
            <w:tcBorders>
              <w:tl2br w:val="nil"/>
              <w:tr2bl w:val="nil"/>
            </w:tcBorders>
          </w:tcPr>
          <w:p w14:paraId="47CBE2E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r>
      <w:tr w14:paraId="39AD16BB">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68D6108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ECRT</w:t>
            </w:r>
          </w:p>
        </w:tc>
        <w:tc>
          <w:tcPr>
            <w:tcW w:w="1122" w:type="pct"/>
            <w:tcBorders>
              <w:tl2br w:val="nil"/>
              <w:tr2bl w:val="nil"/>
            </w:tcBorders>
          </w:tcPr>
          <w:p w14:paraId="616AA82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0.002</w:t>
            </w:r>
          </w:p>
        </w:tc>
        <w:tc>
          <w:tcPr>
            <w:tcW w:w="1130" w:type="pct"/>
            <w:tcBorders>
              <w:tl2br w:val="nil"/>
              <w:tr2bl w:val="nil"/>
            </w:tcBorders>
          </w:tcPr>
          <w:p w14:paraId="2F1F465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743" w:type="pct"/>
            <w:tcBorders>
              <w:tl2br w:val="nil"/>
              <w:tr2bl w:val="nil"/>
            </w:tcBorders>
          </w:tcPr>
          <w:p w14:paraId="06890C1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r>
      <w:tr w14:paraId="618B6354">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5FFEFEC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tcPr>
          <w:p w14:paraId="3FA2488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130" w:type="pct"/>
            <w:tcBorders>
              <w:tl2br w:val="nil"/>
              <w:tr2bl w:val="nil"/>
            </w:tcBorders>
          </w:tcPr>
          <w:p w14:paraId="48FC38A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743" w:type="pct"/>
            <w:tcBorders>
              <w:tl2br w:val="nil"/>
              <w:tr2bl w:val="nil"/>
            </w:tcBorders>
          </w:tcPr>
          <w:p w14:paraId="66A7541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r>
      <w:tr w14:paraId="5D6DF84F">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02D38D9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GFR</w:t>
            </w:r>
          </w:p>
        </w:tc>
        <w:tc>
          <w:tcPr>
            <w:tcW w:w="1122" w:type="pct"/>
            <w:tcBorders>
              <w:tl2br w:val="nil"/>
              <w:tr2bl w:val="nil"/>
            </w:tcBorders>
          </w:tcPr>
          <w:p w14:paraId="5161916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130" w:type="pct"/>
            <w:tcBorders>
              <w:tl2br w:val="nil"/>
              <w:tr2bl w:val="nil"/>
            </w:tcBorders>
          </w:tcPr>
          <w:p w14:paraId="62F3E4F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743" w:type="pct"/>
            <w:tcBorders>
              <w:tl2br w:val="nil"/>
              <w:tr2bl w:val="nil"/>
            </w:tcBorders>
          </w:tcPr>
          <w:p w14:paraId="400F1FB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r>
      <w:tr w14:paraId="76ECDD19">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101AF8C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tcPr>
          <w:p w14:paraId="5B355EF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130" w:type="pct"/>
            <w:tcBorders>
              <w:tl2br w:val="nil"/>
              <w:tr2bl w:val="nil"/>
            </w:tcBorders>
          </w:tcPr>
          <w:p w14:paraId="09B65D3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(0.006)</w:t>
            </w:r>
          </w:p>
        </w:tc>
        <w:tc>
          <w:tcPr>
            <w:tcW w:w="1743" w:type="pct"/>
            <w:tcBorders>
              <w:tl2br w:val="nil"/>
              <w:tr2bl w:val="nil"/>
            </w:tcBorders>
          </w:tcPr>
          <w:p w14:paraId="718229D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r>
      <w:tr w14:paraId="54F8574E">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6ECDAEA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EPT</w:t>
            </w:r>
          </w:p>
        </w:tc>
        <w:tc>
          <w:tcPr>
            <w:tcW w:w="1122" w:type="pct"/>
            <w:tcBorders>
              <w:tl2br w:val="nil"/>
              <w:tr2bl w:val="nil"/>
            </w:tcBorders>
          </w:tcPr>
          <w:p w14:paraId="46EC0C4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130" w:type="pct"/>
            <w:tcBorders>
              <w:tl2br w:val="nil"/>
              <w:tr2bl w:val="nil"/>
            </w:tcBorders>
          </w:tcPr>
          <w:p w14:paraId="11631D4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743" w:type="pct"/>
            <w:tcBorders>
              <w:tl2br w:val="nil"/>
              <w:tr2bl w:val="nil"/>
            </w:tcBorders>
          </w:tcPr>
          <w:p w14:paraId="1B410AA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0.007</w:t>
            </w:r>
          </w:p>
        </w:tc>
      </w:tr>
      <w:tr w14:paraId="42626B34">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bottom w:val="single" w:color="auto" w:sz="4" w:space="0"/>
              <w:tl2br w:val="nil"/>
              <w:tr2bl w:val="nil"/>
            </w:tcBorders>
            <w:vAlign w:val="center"/>
          </w:tcPr>
          <w:p w14:paraId="22620F6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bottom w:val="single" w:color="auto" w:sz="4" w:space="0"/>
              <w:tl2br w:val="nil"/>
              <w:tr2bl w:val="nil"/>
            </w:tcBorders>
          </w:tcPr>
          <w:p w14:paraId="2A0B1EB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130" w:type="pct"/>
            <w:tcBorders>
              <w:bottom w:val="single" w:color="auto" w:sz="4" w:space="0"/>
              <w:tl2br w:val="nil"/>
              <w:tr2bl w:val="nil"/>
            </w:tcBorders>
          </w:tcPr>
          <w:p w14:paraId="005E195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743" w:type="pct"/>
            <w:tcBorders>
              <w:bottom w:val="single" w:color="auto" w:sz="4" w:space="0"/>
              <w:tl2br w:val="nil"/>
              <w:tr2bl w:val="nil"/>
            </w:tcBorders>
          </w:tcPr>
          <w:p w14:paraId="69A45ED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r>
      <w:tr w14:paraId="05701022">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op w:val="single" w:color="auto" w:sz="4" w:space="0"/>
            </w:tcBorders>
            <w:vAlign w:val="center"/>
          </w:tcPr>
          <w:p w14:paraId="6D9EF8B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1122" w:type="pct"/>
            <w:tcBorders>
              <w:top w:val="single" w:color="auto" w:sz="4" w:space="0"/>
            </w:tcBorders>
            <w:vAlign w:val="center"/>
          </w:tcPr>
          <w:p w14:paraId="0B800A1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op w:val="single" w:color="auto" w:sz="4" w:space="0"/>
            </w:tcBorders>
            <w:vAlign w:val="center"/>
          </w:tcPr>
          <w:p w14:paraId="7CDF74B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op w:val="single" w:color="auto" w:sz="4" w:space="0"/>
            </w:tcBorders>
            <w:vAlign w:val="center"/>
          </w:tcPr>
          <w:p w14:paraId="6F0B18E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4AE05B3C">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1B69526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1122" w:type="pct"/>
            <w:tcBorders>
              <w:tl2br w:val="nil"/>
              <w:tr2bl w:val="nil"/>
            </w:tcBorders>
            <w:vAlign w:val="center"/>
          </w:tcPr>
          <w:p w14:paraId="0F690CD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5A873EE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00058EC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16D886CD">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4A6639F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1122" w:type="pct"/>
            <w:tcBorders>
              <w:tl2br w:val="nil"/>
              <w:tr2bl w:val="nil"/>
            </w:tcBorders>
            <w:vAlign w:val="center"/>
          </w:tcPr>
          <w:p w14:paraId="6C29DFF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7C80650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05D890A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106D8757">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0C9EB15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1122" w:type="pct"/>
            <w:tcBorders>
              <w:tl2br w:val="nil"/>
              <w:tr2bl w:val="nil"/>
            </w:tcBorders>
            <w:vAlign w:val="center"/>
          </w:tcPr>
          <w:p w14:paraId="75F1972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3AC2EE6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0018A2A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0B281F8C">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5F7482D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1122" w:type="pct"/>
            <w:tcBorders>
              <w:tl2br w:val="nil"/>
              <w:tr2bl w:val="nil"/>
            </w:tcBorders>
            <w:vAlign w:val="center"/>
          </w:tcPr>
          <w:p w14:paraId="42D37D2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6E69EBE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4F063AE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695BA6D0">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7E36E35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1122" w:type="pct"/>
            <w:tcBorders>
              <w:tl2br w:val="nil"/>
              <w:tr2bl w:val="nil"/>
            </w:tcBorders>
            <w:vAlign w:val="center"/>
          </w:tcPr>
          <w:p w14:paraId="7AD37D4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10,256</w:t>
            </w:r>
          </w:p>
        </w:tc>
        <w:tc>
          <w:tcPr>
            <w:tcW w:w="1130" w:type="pct"/>
            <w:tcBorders>
              <w:tl2br w:val="nil"/>
              <w:tr2bl w:val="nil"/>
            </w:tcBorders>
            <w:vAlign w:val="center"/>
          </w:tcPr>
          <w:p w14:paraId="750B753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10,256</w:t>
            </w:r>
          </w:p>
        </w:tc>
        <w:tc>
          <w:tcPr>
            <w:tcW w:w="1743" w:type="pct"/>
            <w:tcBorders>
              <w:tl2br w:val="nil"/>
              <w:tr2bl w:val="nil"/>
            </w:tcBorders>
            <w:vAlign w:val="center"/>
          </w:tcPr>
          <w:p w14:paraId="1030063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10,256</w:t>
            </w:r>
          </w:p>
        </w:tc>
      </w:tr>
      <w:tr w14:paraId="0B95848C">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44D22B0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2</w:t>
            </w:r>
          </w:p>
        </w:tc>
        <w:tc>
          <w:tcPr>
            <w:tcW w:w="1122" w:type="pct"/>
            <w:tcBorders>
              <w:tl2br w:val="nil"/>
              <w:tr2bl w:val="nil"/>
            </w:tcBorders>
          </w:tcPr>
          <w:p w14:paraId="0A2A884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0.627</w:t>
            </w:r>
          </w:p>
        </w:tc>
        <w:tc>
          <w:tcPr>
            <w:tcW w:w="1130" w:type="pct"/>
            <w:tcBorders>
              <w:tl2br w:val="nil"/>
              <w:tr2bl w:val="nil"/>
            </w:tcBorders>
          </w:tcPr>
          <w:p w14:paraId="33AF673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0.627</w:t>
            </w:r>
          </w:p>
        </w:tc>
        <w:tc>
          <w:tcPr>
            <w:tcW w:w="1743" w:type="pct"/>
            <w:tcBorders>
              <w:tl2br w:val="nil"/>
              <w:tr2bl w:val="nil"/>
            </w:tcBorders>
          </w:tcPr>
          <w:p w14:paraId="3936ED5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0.627</w:t>
            </w:r>
          </w:p>
        </w:tc>
      </w:tr>
    </w:tbl>
    <w:p w14:paraId="332F9505">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Note: Robust standard errors in parentheses, ***, **, and * indicate significance at the 0.01, 0.05, and 0.1 levels, respectively.</w:t>
      </w:r>
    </w:p>
    <w:p w14:paraId="1B1D7146">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p w14:paraId="7F53D4A7">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1"/>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0"/>
          <w:szCs w:val="20"/>
          <w:highlight w:val="none"/>
          <w:lang w:eastAsia="zh-CN"/>
          <w14:textFill>
            <w14:solidFill>
              <w14:schemeClr w14:val="tx1">
                <w14:lumMod w14:val="95000"/>
                <w14:lumOff w14:val="5000"/>
              </w14:schemeClr>
            </w14:solidFill>
          </w14:textFill>
        </w:rPr>
        <w:t>Table S9</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Other Robustness</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Tests</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Results</w:t>
      </w:r>
    </w:p>
    <w:tbl>
      <w:tblPr>
        <w:tblStyle w:val="12"/>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46"/>
        <w:gridCol w:w="1270"/>
        <w:gridCol w:w="1100"/>
        <w:gridCol w:w="1100"/>
        <w:gridCol w:w="1740"/>
        <w:gridCol w:w="1466"/>
      </w:tblGrid>
      <w:tr w14:paraId="0518CA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vMerge w:val="restart"/>
            <w:tcBorders>
              <w:tl2br w:val="nil"/>
              <w:tr2bl w:val="nil"/>
            </w:tcBorders>
            <w:vAlign w:val="center"/>
          </w:tcPr>
          <w:p w14:paraId="4BB655C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745" w:type="pct"/>
            <w:tcBorders>
              <w:bottom w:val="single" w:color="auto" w:sz="4" w:space="0"/>
            </w:tcBorders>
            <w:vAlign w:val="center"/>
          </w:tcPr>
          <w:p w14:paraId="0B9BBC6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Multi-period DDD</w:t>
            </w:r>
          </w:p>
        </w:tc>
        <w:tc>
          <w:tcPr>
            <w:tcW w:w="1290" w:type="pct"/>
            <w:gridSpan w:val="2"/>
            <w:tcBorders>
              <w:bottom w:val="single" w:color="auto" w:sz="4" w:space="0"/>
            </w:tcBorders>
            <w:vAlign w:val="center"/>
          </w:tcPr>
          <w:p w14:paraId="6230A77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Replace </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M</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easures</w:t>
            </w:r>
          </w:p>
        </w:tc>
        <w:tc>
          <w:tcPr>
            <w:tcW w:w="1020" w:type="pct"/>
            <w:tcBorders>
              <w:bottom w:val="single" w:color="auto" w:sz="4" w:space="0"/>
            </w:tcBorders>
            <w:vAlign w:val="center"/>
          </w:tcPr>
          <w:p w14:paraId="3BA170D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Exclude </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M</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igrating</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Enterprises</w:t>
            </w:r>
          </w:p>
        </w:tc>
        <w:tc>
          <w:tcPr>
            <w:tcW w:w="860" w:type="pct"/>
            <w:tcBorders>
              <w:bottom w:val="single" w:color="auto" w:sz="4" w:space="0"/>
            </w:tcBorders>
            <w:vAlign w:val="center"/>
          </w:tcPr>
          <w:p w14:paraId="1147E6F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Include </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L</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agged </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T</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erms</w:t>
            </w:r>
          </w:p>
        </w:tc>
      </w:tr>
      <w:tr w14:paraId="13181E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vMerge w:val="continue"/>
            <w:tcBorders>
              <w:tl2br w:val="nil"/>
              <w:tr2bl w:val="nil"/>
            </w:tcBorders>
            <w:vAlign w:val="center"/>
          </w:tcPr>
          <w:p w14:paraId="10265CF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745" w:type="pct"/>
            <w:tcBorders>
              <w:top w:val="single" w:color="auto" w:sz="4" w:space="0"/>
              <w:tl2br w:val="nil"/>
              <w:tr2bl w:val="nil"/>
            </w:tcBorders>
            <w:vAlign w:val="center"/>
          </w:tcPr>
          <w:p w14:paraId="638C1BC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w:t>
            </w:r>
          </w:p>
        </w:tc>
        <w:tc>
          <w:tcPr>
            <w:tcW w:w="645" w:type="pct"/>
            <w:tcBorders>
              <w:top w:val="single" w:color="auto" w:sz="4" w:space="0"/>
              <w:tl2br w:val="nil"/>
              <w:tr2bl w:val="nil"/>
            </w:tcBorders>
            <w:vAlign w:val="center"/>
          </w:tcPr>
          <w:p w14:paraId="1730C25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645" w:type="pct"/>
            <w:tcBorders>
              <w:top w:val="single" w:color="auto" w:sz="4" w:space="0"/>
              <w:tl2br w:val="nil"/>
              <w:tr2bl w:val="nil"/>
            </w:tcBorders>
            <w:shd w:val="clear" w:color="auto" w:fill="auto"/>
            <w:vAlign w:val="center"/>
          </w:tcPr>
          <w:p w14:paraId="51C2E663">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3</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020" w:type="pct"/>
            <w:tcBorders>
              <w:top w:val="single" w:color="auto" w:sz="4" w:space="0"/>
              <w:tl2br w:val="nil"/>
              <w:tr2bl w:val="nil"/>
            </w:tcBorders>
            <w:shd w:val="clear" w:color="auto" w:fill="auto"/>
            <w:vAlign w:val="center"/>
          </w:tcPr>
          <w:p w14:paraId="3AC7A427">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4</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860" w:type="pct"/>
            <w:tcBorders>
              <w:top w:val="single" w:color="auto" w:sz="4" w:space="0"/>
              <w:tl2br w:val="nil"/>
              <w:tr2bl w:val="nil"/>
            </w:tcBorders>
            <w:vAlign w:val="center"/>
          </w:tcPr>
          <w:p w14:paraId="775A723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5</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0F17A7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vMerge w:val="continue"/>
            <w:tcBorders>
              <w:bottom w:val="single" w:color="auto" w:sz="4" w:space="0"/>
              <w:tl2br w:val="nil"/>
              <w:tr2bl w:val="nil"/>
            </w:tcBorders>
            <w:vAlign w:val="center"/>
          </w:tcPr>
          <w:p w14:paraId="7C76008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745" w:type="pct"/>
            <w:tcBorders>
              <w:bottom w:val="single" w:color="auto" w:sz="4" w:space="0"/>
              <w:tl2br w:val="nil"/>
              <w:tr2bl w:val="nil"/>
            </w:tcBorders>
            <w:shd w:val="clear" w:color="auto" w:fill="auto"/>
            <w:vAlign w:val="center"/>
          </w:tcPr>
          <w:p w14:paraId="7AB59551">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645" w:type="pct"/>
            <w:tcBorders>
              <w:bottom w:val="single" w:color="auto" w:sz="4" w:space="0"/>
              <w:tl2br w:val="nil"/>
              <w:tr2bl w:val="nil"/>
            </w:tcBorders>
            <w:shd w:val="clear" w:color="auto" w:fill="auto"/>
            <w:vAlign w:val="center"/>
          </w:tcPr>
          <w:p w14:paraId="3FFEE15A">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Hexun</w:t>
            </w:r>
          </w:p>
        </w:tc>
        <w:tc>
          <w:tcPr>
            <w:tcW w:w="645" w:type="pct"/>
            <w:tcBorders>
              <w:bottom w:val="single" w:color="auto" w:sz="4" w:space="0"/>
              <w:tl2br w:val="nil"/>
              <w:tr2bl w:val="nil"/>
            </w:tcBorders>
            <w:shd w:val="clear" w:color="auto" w:fill="auto"/>
            <w:vAlign w:val="center"/>
          </w:tcPr>
          <w:p w14:paraId="468E6094">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Huazheng</w:t>
            </w:r>
          </w:p>
        </w:tc>
        <w:tc>
          <w:tcPr>
            <w:tcW w:w="1020" w:type="pct"/>
            <w:tcBorders>
              <w:bottom w:val="single" w:color="auto" w:sz="4" w:space="0"/>
              <w:tl2br w:val="nil"/>
              <w:tr2bl w:val="nil"/>
            </w:tcBorders>
            <w:shd w:val="clear" w:color="auto" w:fill="auto"/>
            <w:vAlign w:val="center"/>
          </w:tcPr>
          <w:p w14:paraId="246EEAAA">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860" w:type="pct"/>
            <w:tcBorders>
              <w:bottom w:val="single" w:color="auto" w:sz="4" w:space="0"/>
              <w:tl2br w:val="nil"/>
              <w:tr2bl w:val="nil"/>
            </w:tcBorders>
            <w:vAlign w:val="center"/>
          </w:tcPr>
          <w:p w14:paraId="57D42C7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r>
      <w:tr w14:paraId="4BD71E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op w:val="single" w:color="auto" w:sz="4" w:space="0"/>
            </w:tcBorders>
            <w:vAlign w:val="center"/>
          </w:tcPr>
          <w:p w14:paraId="0D533DD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EST</w:t>
            </w:r>
          </w:p>
        </w:tc>
        <w:tc>
          <w:tcPr>
            <w:tcW w:w="745" w:type="pct"/>
            <w:tcBorders>
              <w:top w:val="single" w:color="auto" w:sz="4" w:space="0"/>
            </w:tcBorders>
            <w:shd w:val="clear" w:color="auto" w:fill="auto"/>
            <w:vAlign w:val="top"/>
          </w:tcPr>
          <w:p w14:paraId="4D11D86A">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0.008</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645" w:type="pct"/>
            <w:tcBorders>
              <w:top w:val="single" w:color="auto" w:sz="4" w:space="0"/>
            </w:tcBorders>
            <w:shd w:val="clear" w:color="auto" w:fill="auto"/>
            <w:vAlign w:val="top"/>
          </w:tcPr>
          <w:p w14:paraId="4823592F">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0.227</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645" w:type="pct"/>
            <w:tcBorders>
              <w:top w:val="single" w:color="auto" w:sz="4" w:space="0"/>
            </w:tcBorders>
            <w:shd w:val="clear" w:color="auto" w:fill="auto"/>
            <w:vAlign w:val="top"/>
          </w:tcPr>
          <w:p w14:paraId="1B048E79">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0.750</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020" w:type="pct"/>
            <w:tcBorders>
              <w:top w:val="single" w:color="auto" w:sz="4" w:space="0"/>
            </w:tcBorders>
            <w:shd w:val="clear" w:color="auto" w:fill="auto"/>
            <w:vAlign w:val="top"/>
          </w:tcPr>
          <w:p w14:paraId="167FAD2D">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0.014</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860" w:type="pct"/>
            <w:tcBorders>
              <w:top w:val="single" w:color="auto" w:sz="4" w:space="0"/>
            </w:tcBorders>
            <w:shd w:val="clear" w:color="auto" w:fill="auto"/>
            <w:vAlign w:val="top"/>
          </w:tcPr>
          <w:p w14:paraId="7E4CFA4B">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0.011</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262BDC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27E6550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745" w:type="pct"/>
            <w:tcBorders>
              <w:tl2br w:val="nil"/>
              <w:tr2bl w:val="nil"/>
            </w:tcBorders>
            <w:shd w:val="clear" w:color="auto" w:fill="auto"/>
            <w:vAlign w:val="top"/>
          </w:tcPr>
          <w:p w14:paraId="0BCE50A8">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(0.003)</w:t>
            </w:r>
          </w:p>
        </w:tc>
        <w:tc>
          <w:tcPr>
            <w:tcW w:w="645" w:type="pct"/>
            <w:tcBorders>
              <w:tl2br w:val="nil"/>
              <w:tr2bl w:val="nil"/>
            </w:tcBorders>
            <w:shd w:val="clear" w:color="auto" w:fill="auto"/>
            <w:vAlign w:val="top"/>
          </w:tcPr>
          <w:p w14:paraId="75BEB45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(0.110)</w:t>
            </w:r>
          </w:p>
        </w:tc>
        <w:tc>
          <w:tcPr>
            <w:tcW w:w="645" w:type="pct"/>
            <w:tcBorders>
              <w:tl2br w:val="nil"/>
              <w:tr2bl w:val="nil"/>
            </w:tcBorders>
            <w:shd w:val="clear" w:color="auto" w:fill="auto"/>
            <w:vAlign w:val="top"/>
          </w:tcPr>
          <w:p w14:paraId="7D13607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(0.353)</w:t>
            </w:r>
          </w:p>
        </w:tc>
        <w:tc>
          <w:tcPr>
            <w:tcW w:w="1020" w:type="pct"/>
            <w:tcBorders>
              <w:tl2br w:val="nil"/>
              <w:tr2bl w:val="nil"/>
            </w:tcBorders>
            <w:shd w:val="clear" w:color="auto" w:fill="auto"/>
            <w:vAlign w:val="top"/>
          </w:tcPr>
          <w:p w14:paraId="0DC86A7A">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860" w:type="pct"/>
            <w:tcBorders>
              <w:tl2br w:val="nil"/>
              <w:tr2bl w:val="nil"/>
            </w:tcBorders>
            <w:shd w:val="clear" w:color="auto" w:fill="auto"/>
            <w:vAlign w:val="top"/>
          </w:tcPr>
          <w:p w14:paraId="4C78A6CD">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r>
      <w:tr w14:paraId="4AF73D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55AE4DB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Treat × Period</w:t>
            </w:r>
          </w:p>
        </w:tc>
        <w:tc>
          <w:tcPr>
            <w:tcW w:w="745" w:type="pct"/>
            <w:tcBorders>
              <w:tl2br w:val="nil"/>
              <w:tr2bl w:val="nil"/>
            </w:tcBorders>
            <w:shd w:val="clear" w:color="auto" w:fill="auto"/>
            <w:vAlign w:val="top"/>
          </w:tcPr>
          <w:p w14:paraId="4954B96C">
            <w:pPr>
              <w:spacing w:beforeLines="0" w:afterLines="0"/>
              <w:jc w:val="left"/>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tc>
        <w:tc>
          <w:tcPr>
            <w:tcW w:w="645" w:type="pct"/>
            <w:tcBorders>
              <w:tl2br w:val="nil"/>
              <w:tr2bl w:val="nil"/>
            </w:tcBorders>
            <w:shd w:val="clear" w:color="auto" w:fill="auto"/>
            <w:vAlign w:val="top"/>
          </w:tcPr>
          <w:p w14:paraId="3518E39C">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-0.043</w:t>
            </w:r>
          </w:p>
        </w:tc>
        <w:tc>
          <w:tcPr>
            <w:tcW w:w="645" w:type="pct"/>
            <w:tcBorders>
              <w:tl2br w:val="nil"/>
              <w:tr2bl w:val="nil"/>
            </w:tcBorders>
            <w:shd w:val="clear" w:color="auto" w:fill="auto"/>
            <w:vAlign w:val="top"/>
          </w:tcPr>
          <w:p w14:paraId="4D1A935D">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-0.268</w:t>
            </w:r>
          </w:p>
        </w:tc>
        <w:tc>
          <w:tcPr>
            <w:tcW w:w="1020" w:type="pct"/>
            <w:tcBorders>
              <w:tl2br w:val="nil"/>
              <w:tr2bl w:val="nil"/>
            </w:tcBorders>
            <w:shd w:val="clear" w:color="auto" w:fill="auto"/>
            <w:vAlign w:val="top"/>
          </w:tcPr>
          <w:p w14:paraId="2F36A130">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860" w:type="pct"/>
            <w:tcBorders>
              <w:tl2br w:val="nil"/>
              <w:tr2bl w:val="nil"/>
            </w:tcBorders>
            <w:shd w:val="clear" w:color="auto" w:fill="auto"/>
            <w:vAlign w:val="top"/>
          </w:tcPr>
          <w:p w14:paraId="7A39EDD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r>
      <w:tr w14:paraId="3059E2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79A1751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745" w:type="pct"/>
            <w:tcBorders>
              <w:tl2br w:val="nil"/>
              <w:tr2bl w:val="nil"/>
            </w:tcBorders>
            <w:shd w:val="clear" w:color="auto" w:fill="auto"/>
            <w:vAlign w:val="top"/>
          </w:tcPr>
          <w:p w14:paraId="7E34DC3C">
            <w:pPr>
              <w:spacing w:beforeLines="0" w:afterLines="0"/>
              <w:jc w:val="left"/>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tc>
        <w:tc>
          <w:tcPr>
            <w:tcW w:w="645" w:type="pct"/>
            <w:tcBorders>
              <w:tl2br w:val="nil"/>
              <w:tr2bl w:val="nil"/>
            </w:tcBorders>
            <w:shd w:val="clear" w:color="auto" w:fill="auto"/>
            <w:vAlign w:val="top"/>
          </w:tcPr>
          <w:p w14:paraId="036C5F8B">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(0.047)</w:t>
            </w:r>
          </w:p>
        </w:tc>
        <w:tc>
          <w:tcPr>
            <w:tcW w:w="645" w:type="pct"/>
            <w:tcBorders>
              <w:tl2br w:val="nil"/>
              <w:tr2bl w:val="nil"/>
            </w:tcBorders>
            <w:shd w:val="clear" w:color="auto" w:fill="auto"/>
            <w:vAlign w:val="top"/>
          </w:tcPr>
          <w:p w14:paraId="76378C20">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(0.318)</w:t>
            </w:r>
          </w:p>
        </w:tc>
        <w:tc>
          <w:tcPr>
            <w:tcW w:w="1020" w:type="pct"/>
            <w:tcBorders>
              <w:tl2br w:val="nil"/>
              <w:tr2bl w:val="nil"/>
            </w:tcBorders>
            <w:shd w:val="clear" w:color="auto" w:fill="auto"/>
            <w:vAlign w:val="top"/>
          </w:tcPr>
          <w:p w14:paraId="4EAC6356">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860" w:type="pct"/>
            <w:tcBorders>
              <w:tl2br w:val="nil"/>
              <w:tr2bl w:val="nil"/>
            </w:tcBorders>
            <w:shd w:val="clear" w:color="auto" w:fill="auto"/>
            <w:vAlign w:val="top"/>
          </w:tcPr>
          <w:p w14:paraId="5817F725">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(0.005)</w:t>
            </w:r>
          </w:p>
        </w:tc>
      </w:tr>
      <w:tr w14:paraId="7312A3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2F0250E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Treat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745" w:type="pct"/>
            <w:tcBorders>
              <w:tl2br w:val="nil"/>
              <w:tr2bl w:val="nil"/>
            </w:tcBorders>
            <w:shd w:val="clear" w:color="auto" w:fill="auto"/>
            <w:vAlign w:val="top"/>
          </w:tcPr>
          <w:p w14:paraId="2036890A">
            <w:pPr>
              <w:spacing w:beforeLines="0" w:afterLines="0"/>
              <w:jc w:val="left"/>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tc>
        <w:tc>
          <w:tcPr>
            <w:tcW w:w="645" w:type="pct"/>
            <w:tcBorders>
              <w:tl2br w:val="nil"/>
              <w:tr2bl w:val="nil"/>
            </w:tcBorders>
            <w:shd w:val="clear" w:color="auto" w:fill="auto"/>
            <w:vAlign w:val="top"/>
          </w:tcPr>
          <w:p w14:paraId="2B38FA5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0.062</w:t>
            </w:r>
          </w:p>
        </w:tc>
        <w:tc>
          <w:tcPr>
            <w:tcW w:w="645" w:type="pct"/>
            <w:tcBorders>
              <w:tl2br w:val="nil"/>
              <w:tr2bl w:val="nil"/>
            </w:tcBorders>
            <w:shd w:val="clear" w:color="auto" w:fill="auto"/>
            <w:vAlign w:val="top"/>
          </w:tcPr>
          <w:p w14:paraId="51422EF0">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0.212</w:t>
            </w:r>
          </w:p>
        </w:tc>
        <w:tc>
          <w:tcPr>
            <w:tcW w:w="1020" w:type="pct"/>
            <w:tcBorders>
              <w:tl2br w:val="nil"/>
              <w:tr2bl w:val="nil"/>
            </w:tcBorders>
            <w:shd w:val="clear" w:color="auto" w:fill="auto"/>
            <w:vAlign w:val="top"/>
          </w:tcPr>
          <w:p w14:paraId="2B8E2886">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-0.001</w:t>
            </w:r>
          </w:p>
        </w:tc>
        <w:tc>
          <w:tcPr>
            <w:tcW w:w="860" w:type="pct"/>
            <w:tcBorders>
              <w:tl2br w:val="nil"/>
              <w:tr2bl w:val="nil"/>
            </w:tcBorders>
            <w:shd w:val="clear" w:color="auto" w:fill="auto"/>
            <w:vAlign w:val="top"/>
          </w:tcPr>
          <w:p w14:paraId="38563E4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0.006</w:t>
            </w:r>
          </w:p>
        </w:tc>
      </w:tr>
      <w:tr w14:paraId="415B9D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71FBD7D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745" w:type="pct"/>
            <w:tcBorders>
              <w:tl2br w:val="nil"/>
              <w:tr2bl w:val="nil"/>
            </w:tcBorders>
            <w:shd w:val="clear" w:color="auto" w:fill="auto"/>
            <w:vAlign w:val="top"/>
          </w:tcPr>
          <w:p w14:paraId="24315DC0">
            <w:pPr>
              <w:spacing w:beforeLines="0" w:afterLines="0"/>
              <w:jc w:val="left"/>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tc>
        <w:tc>
          <w:tcPr>
            <w:tcW w:w="645" w:type="pct"/>
            <w:tcBorders>
              <w:tl2br w:val="nil"/>
              <w:tr2bl w:val="nil"/>
            </w:tcBorders>
            <w:shd w:val="clear" w:color="auto" w:fill="auto"/>
            <w:vAlign w:val="top"/>
          </w:tcPr>
          <w:p w14:paraId="2513B88C">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(0.283)</w:t>
            </w:r>
          </w:p>
        </w:tc>
        <w:tc>
          <w:tcPr>
            <w:tcW w:w="645" w:type="pct"/>
            <w:tcBorders>
              <w:tl2br w:val="nil"/>
              <w:tr2bl w:val="nil"/>
            </w:tcBorders>
            <w:shd w:val="clear" w:color="auto" w:fill="auto"/>
            <w:vAlign w:val="top"/>
          </w:tcPr>
          <w:p w14:paraId="1E47BBE6">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(2.646)</w:t>
            </w:r>
          </w:p>
        </w:tc>
        <w:tc>
          <w:tcPr>
            <w:tcW w:w="1020" w:type="pct"/>
            <w:tcBorders>
              <w:tl2br w:val="nil"/>
              <w:tr2bl w:val="nil"/>
            </w:tcBorders>
            <w:shd w:val="clear" w:color="auto" w:fill="auto"/>
            <w:vAlign w:val="top"/>
          </w:tcPr>
          <w:p w14:paraId="2720CA16">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(0.039)</w:t>
            </w:r>
          </w:p>
        </w:tc>
        <w:tc>
          <w:tcPr>
            <w:tcW w:w="860" w:type="pct"/>
            <w:tcBorders>
              <w:tl2br w:val="nil"/>
              <w:tr2bl w:val="nil"/>
            </w:tcBorders>
            <w:shd w:val="clear" w:color="auto" w:fill="auto"/>
            <w:vAlign w:val="top"/>
          </w:tcPr>
          <w:p w14:paraId="5676547C">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(0.031)</w:t>
            </w:r>
          </w:p>
        </w:tc>
      </w:tr>
      <w:tr w14:paraId="7E5F0F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7E38858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Period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745" w:type="pct"/>
            <w:tcBorders>
              <w:tl2br w:val="nil"/>
              <w:tr2bl w:val="nil"/>
            </w:tcBorders>
            <w:shd w:val="clear" w:color="auto" w:fill="auto"/>
            <w:vAlign w:val="top"/>
          </w:tcPr>
          <w:p w14:paraId="4A497593">
            <w:pPr>
              <w:spacing w:beforeLines="0" w:afterLines="0"/>
              <w:jc w:val="left"/>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tc>
        <w:tc>
          <w:tcPr>
            <w:tcW w:w="645" w:type="pct"/>
            <w:tcBorders>
              <w:tl2br w:val="nil"/>
              <w:tr2bl w:val="nil"/>
            </w:tcBorders>
            <w:shd w:val="clear" w:color="auto" w:fill="auto"/>
            <w:vAlign w:val="top"/>
          </w:tcPr>
          <w:p w14:paraId="749C30DA">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-0.006</w:t>
            </w:r>
          </w:p>
        </w:tc>
        <w:tc>
          <w:tcPr>
            <w:tcW w:w="645" w:type="pct"/>
            <w:tcBorders>
              <w:tl2br w:val="nil"/>
              <w:tr2bl w:val="nil"/>
            </w:tcBorders>
            <w:shd w:val="clear" w:color="auto" w:fill="auto"/>
            <w:vAlign w:val="top"/>
          </w:tcPr>
          <w:p w14:paraId="3D45A3E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-0.634</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020" w:type="pct"/>
            <w:tcBorders>
              <w:tl2br w:val="nil"/>
              <w:tr2bl w:val="nil"/>
            </w:tcBorders>
            <w:shd w:val="clear" w:color="auto" w:fill="auto"/>
            <w:vAlign w:val="top"/>
          </w:tcPr>
          <w:p w14:paraId="69881FE3">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-0.011</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860" w:type="pct"/>
            <w:tcBorders>
              <w:tl2br w:val="nil"/>
              <w:tr2bl w:val="nil"/>
            </w:tcBorders>
            <w:shd w:val="clear" w:color="auto" w:fill="auto"/>
            <w:vAlign w:val="top"/>
          </w:tcPr>
          <w:p w14:paraId="7B6660B5">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-0.007</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667AAF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12F3DD7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745" w:type="pct"/>
            <w:tcBorders>
              <w:tl2br w:val="nil"/>
              <w:tr2bl w:val="nil"/>
            </w:tcBorders>
            <w:shd w:val="clear" w:color="auto" w:fill="auto"/>
            <w:vAlign w:val="top"/>
          </w:tcPr>
          <w:p w14:paraId="5F84DAD7">
            <w:pPr>
              <w:spacing w:beforeLines="0" w:afterLines="0"/>
              <w:jc w:val="left"/>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tc>
        <w:tc>
          <w:tcPr>
            <w:tcW w:w="645" w:type="pct"/>
            <w:tcBorders>
              <w:tl2br w:val="nil"/>
              <w:tr2bl w:val="nil"/>
            </w:tcBorders>
            <w:shd w:val="clear" w:color="auto" w:fill="auto"/>
            <w:vAlign w:val="top"/>
          </w:tcPr>
          <w:p w14:paraId="6FF6D8AD">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(0.089)</w:t>
            </w:r>
          </w:p>
        </w:tc>
        <w:tc>
          <w:tcPr>
            <w:tcW w:w="645" w:type="pct"/>
            <w:tcBorders>
              <w:tl2br w:val="nil"/>
              <w:tr2bl w:val="nil"/>
            </w:tcBorders>
            <w:shd w:val="clear" w:color="auto" w:fill="auto"/>
            <w:vAlign w:val="top"/>
          </w:tcPr>
          <w:p w14:paraId="157EE69B">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(0.268)</w:t>
            </w:r>
          </w:p>
        </w:tc>
        <w:tc>
          <w:tcPr>
            <w:tcW w:w="1020" w:type="pct"/>
            <w:tcBorders>
              <w:tl2br w:val="nil"/>
              <w:tr2bl w:val="nil"/>
            </w:tcBorders>
            <w:shd w:val="clear" w:color="auto" w:fill="auto"/>
            <w:vAlign w:val="top"/>
          </w:tcPr>
          <w:p w14:paraId="466CD76A">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860" w:type="pct"/>
            <w:tcBorders>
              <w:tl2br w:val="nil"/>
              <w:tr2bl w:val="nil"/>
            </w:tcBorders>
            <w:shd w:val="clear" w:color="auto" w:fill="auto"/>
            <w:vAlign w:val="top"/>
          </w:tcPr>
          <w:p w14:paraId="469E9ED1">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(0.003)</w:t>
            </w:r>
          </w:p>
        </w:tc>
      </w:tr>
      <w:tr w14:paraId="3ECCE0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7FD67D0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L1.ESG</w:t>
            </w:r>
          </w:p>
        </w:tc>
        <w:tc>
          <w:tcPr>
            <w:tcW w:w="745" w:type="pct"/>
            <w:tcBorders>
              <w:tl2br w:val="nil"/>
              <w:tr2bl w:val="nil"/>
            </w:tcBorders>
          </w:tcPr>
          <w:p w14:paraId="3D8F3B6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645" w:type="pct"/>
            <w:tcBorders>
              <w:tl2br w:val="nil"/>
              <w:tr2bl w:val="nil"/>
            </w:tcBorders>
          </w:tcPr>
          <w:p w14:paraId="41ED9CB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645" w:type="pct"/>
            <w:tcBorders>
              <w:tl2br w:val="nil"/>
              <w:tr2bl w:val="nil"/>
            </w:tcBorders>
          </w:tcPr>
          <w:p w14:paraId="015A433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020" w:type="pct"/>
            <w:tcBorders>
              <w:tl2br w:val="nil"/>
              <w:tr2bl w:val="nil"/>
            </w:tcBorders>
          </w:tcPr>
          <w:p w14:paraId="3116963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860" w:type="pct"/>
            <w:tcBorders>
              <w:tl2br w:val="nil"/>
              <w:tr2bl w:val="nil"/>
            </w:tcBorders>
            <w:shd w:val="clear" w:color="auto" w:fill="auto"/>
            <w:vAlign w:val="top"/>
          </w:tcPr>
          <w:p w14:paraId="69F29F8F">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0.307</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473DA9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bottom w:val="single" w:color="auto" w:sz="4" w:space="0"/>
              <w:tl2br w:val="nil"/>
              <w:tr2bl w:val="nil"/>
            </w:tcBorders>
            <w:vAlign w:val="center"/>
          </w:tcPr>
          <w:p w14:paraId="255F798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745" w:type="pct"/>
            <w:tcBorders>
              <w:bottom w:val="single" w:color="auto" w:sz="4" w:space="0"/>
              <w:tl2br w:val="nil"/>
              <w:tr2bl w:val="nil"/>
            </w:tcBorders>
          </w:tcPr>
          <w:p w14:paraId="4CFECDD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645" w:type="pct"/>
            <w:tcBorders>
              <w:bottom w:val="single" w:color="auto" w:sz="4" w:space="0"/>
              <w:tl2br w:val="nil"/>
              <w:tr2bl w:val="nil"/>
            </w:tcBorders>
          </w:tcPr>
          <w:p w14:paraId="5B12D3D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645" w:type="pct"/>
            <w:tcBorders>
              <w:bottom w:val="single" w:color="auto" w:sz="4" w:space="0"/>
              <w:tl2br w:val="nil"/>
              <w:tr2bl w:val="nil"/>
            </w:tcBorders>
          </w:tcPr>
          <w:p w14:paraId="7A7F99F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020" w:type="pct"/>
            <w:tcBorders>
              <w:bottom w:val="single" w:color="auto" w:sz="4" w:space="0"/>
              <w:tl2br w:val="nil"/>
              <w:tr2bl w:val="nil"/>
            </w:tcBorders>
          </w:tcPr>
          <w:p w14:paraId="5F25F6C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860" w:type="pct"/>
            <w:tcBorders>
              <w:bottom w:val="single" w:color="auto" w:sz="4" w:space="0"/>
              <w:tl2br w:val="nil"/>
              <w:tr2bl w:val="nil"/>
            </w:tcBorders>
            <w:shd w:val="clear" w:color="auto" w:fill="auto"/>
            <w:vAlign w:val="top"/>
          </w:tcPr>
          <w:p w14:paraId="48A975D1">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(0.019)</w:t>
            </w:r>
          </w:p>
        </w:tc>
      </w:tr>
      <w:tr w14:paraId="46A16C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op w:val="single" w:color="auto" w:sz="4" w:space="0"/>
            </w:tcBorders>
            <w:vAlign w:val="center"/>
          </w:tcPr>
          <w:p w14:paraId="2BDB9F4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745" w:type="pct"/>
            <w:tcBorders>
              <w:top w:val="single" w:color="auto" w:sz="4" w:space="0"/>
            </w:tcBorders>
            <w:vAlign w:val="center"/>
          </w:tcPr>
          <w:p w14:paraId="05F89FC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op w:val="single" w:color="auto" w:sz="4" w:space="0"/>
            </w:tcBorders>
            <w:vAlign w:val="center"/>
          </w:tcPr>
          <w:p w14:paraId="2829C28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op w:val="single" w:color="auto" w:sz="4" w:space="0"/>
            </w:tcBorders>
            <w:shd w:val="clear" w:color="auto" w:fill="auto"/>
            <w:vAlign w:val="center"/>
          </w:tcPr>
          <w:p w14:paraId="4424F690">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020" w:type="pct"/>
            <w:tcBorders>
              <w:top w:val="single" w:color="auto" w:sz="4" w:space="0"/>
            </w:tcBorders>
            <w:vAlign w:val="center"/>
          </w:tcPr>
          <w:p w14:paraId="3A2BCA9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860" w:type="pct"/>
            <w:tcBorders>
              <w:top w:val="single" w:color="auto" w:sz="4" w:space="0"/>
            </w:tcBorders>
            <w:vAlign w:val="center"/>
          </w:tcPr>
          <w:p w14:paraId="3611A66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483659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42D14034">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i w:val="0"/>
                <w:iCs w:val="0"/>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745" w:type="pct"/>
            <w:tcBorders>
              <w:tl2br w:val="nil"/>
              <w:tr2bl w:val="nil"/>
            </w:tcBorders>
            <w:vAlign w:val="center"/>
          </w:tcPr>
          <w:p w14:paraId="4FEBCB6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vAlign w:val="center"/>
          </w:tcPr>
          <w:p w14:paraId="295208E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645" w:type="pct"/>
            <w:tcBorders>
              <w:tl2br w:val="nil"/>
              <w:tr2bl w:val="nil"/>
            </w:tcBorders>
            <w:shd w:val="clear" w:color="auto" w:fill="auto"/>
            <w:vAlign w:val="center"/>
          </w:tcPr>
          <w:p w14:paraId="49FF0C70">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1020" w:type="pct"/>
            <w:tcBorders>
              <w:tl2br w:val="nil"/>
              <w:tr2bl w:val="nil"/>
            </w:tcBorders>
            <w:vAlign w:val="center"/>
          </w:tcPr>
          <w:p w14:paraId="4A576E4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860" w:type="pct"/>
            <w:tcBorders>
              <w:tl2br w:val="nil"/>
              <w:tr2bl w:val="nil"/>
            </w:tcBorders>
            <w:vAlign w:val="center"/>
          </w:tcPr>
          <w:p w14:paraId="6B2D170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r>
      <w:tr w14:paraId="51484F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54F2EC9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Province </w:t>
            </w:r>
            <w:r>
              <w:rPr>
                <w:rFonts w:hint="default" w:ascii="Times New Roman" w:hAnsi="Times New Roman" w:eastAsia="宋体" w:cs="Times New Roman"/>
                <w:i w:val="0"/>
                <w:iCs w:val="0"/>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745" w:type="pct"/>
            <w:tcBorders>
              <w:tl2br w:val="nil"/>
              <w:tr2bl w:val="nil"/>
            </w:tcBorders>
            <w:vAlign w:val="center"/>
          </w:tcPr>
          <w:p w14:paraId="6178326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vAlign w:val="center"/>
          </w:tcPr>
          <w:p w14:paraId="7D615C4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645" w:type="pct"/>
            <w:tcBorders>
              <w:tl2br w:val="nil"/>
              <w:tr2bl w:val="nil"/>
            </w:tcBorders>
            <w:shd w:val="clear" w:color="auto" w:fill="auto"/>
            <w:vAlign w:val="center"/>
          </w:tcPr>
          <w:p w14:paraId="4516C07C">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1020" w:type="pct"/>
            <w:tcBorders>
              <w:tl2br w:val="nil"/>
              <w:tr2bl w:val="nil"/>
            </w:tcBorders>
            <w:vAlign w:val="center"/>
          </w:tcPr>
          <w:p w14:paraId="2ADC961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860" w:type="pct"/>
            <w:tcBorders>
              <w:tl2br w:val="nil"/>
              <w:tr2bl w:val="nil"/>
            </w:tcBorders>
            <w:vAlign w:val="center"/>
          </w:tcPr>
          <w:p w14:paraId="1487AA1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r>
      <w:tr w14:paraId="424FA8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5613D35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745" w:type="pct"/>
            <w:tcBorders>
              <w:tl2br w:val="nil"/>
              <w:tr2bl w:val="nil"/>
            </w:tcBorders>
            <w:shd w:val="clear" w:color="auto" w:fill="auto"/>
            <w:vAlign w:val="center"/>
          </w:tcPr>
          <w:p w14:paraId="3B628B80">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vAlign w:val="center"/>
          </w:tcPr>
          <w:p w14:paraId="451E14F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shd w:val="clear" w:color="auto" w:fill="auto"/>
            <w:vAlign w:val="center"/>
          </w:tcPr>
          <w:p w14:paraId="58268E02">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020" w:type="pct"/>
            <w:tcBorders>
              <w:tl2br w:val="nil"/>
              <w:tr2bl w:val="nil"/>
            </w:tcBorders>
            <w:vAlign w:val="center"/>
          </w:tcPr>
          <w:p w14:paraId="43A4406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860" w:type="pct"/>
            <w:tcBorders>
              <w:tl2br w:val="nil"/>
              <w:tr2bl w:val="nil"/>
            </w:tcBorders>
            <w:vAlign w:val="center"/>
          </w:tcPr>
          <w:p w14:paraId="3D2FED1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6DAEAC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6F8B5A6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745" w:type="pct"/>
            <w:tcBorders>
              <w:tl2br w:val="nil"/>
              <w:tr2bl w:val="nil"/>
            </w:tcBorders>
            <w:shd w:val="clear" w:color="auto" w:fill="auto"/>
            <w:vAlign w:val="center"/>
          </w:tcPr>
          <w:p w14:paraId="74134DBB">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vAlign w:val="center"/>
          </w:tcPr>
          <w:p w14:paraId="4BEA678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shd w:val="clear" w:color="auto" w:fill="auto"/>
            <w:vAlign w:val="center"/>
          </w:tcPr>
          <w:p w14:paraId="0B6FB3BE">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020" w:type="pct"/>
            <w:tcBorders>
              <w:tl2br w:val="nil"/>
              <w:tr2bl w:val="nil"/>
            </w:tcBorders>
            <w:vAlign w:val="center"/>
          </w:tcPr>
          <w:p w14:paraId="5C6A2FB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860" w:type="pct"/>
            <w:tcBorders>
              <w:tl2br w:val="nil"/>
              <w:tr2bl w:val="nil"/>
            </w:tcBorders>
            <w:vAlign w:val="center"/>
          </w:tcPr>
          <w:p w14:paraId="7B12279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469C51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5793F00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745" w:type="pct"/>
            <w:tcBorders>
              <w:tl2br w:val="nil"/>
              <w:tr2bl w:val="nil"/>
            </w:tcBorders>
            <w:shd w:val="clear" w:color="auto" w:fill="auto"/>
            <w:vAlign w:val="center"/>
          </w:tcPr>
          <w:p w14:paraId="3638BA4F">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vAlign w:val="center"/>
          </w:tcPr>
          <w:p w14:paraId="0FF7B86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shd w:val="clear" w:color="auto" w:fill="auto"/>
            <w:vAlign w:val="center"/>
          </w:tcPr>
          <w:p w14:paraId="6E1AEDCD">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020" w:type="pct"/>
            <w:tcBorders>
              <w:tl2br w:val="nil"/>
              <w:tr2bl w:val="nil"/>
            </w:tcBorders>
            <w:vAlign w:val="center"/>
          </w:tcPr>
          <w:p w14:paraId="296C68F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860" w:type="pct"/>
            <w:tcBorders>
              <w:tl2br w:val="nil"/>
              <w:tr2bl w:val="nil"/>
            </w:tcBorders>
            <w:vAlign w:val="center"/>
          </w:tcPr>
          <w:p w14:paraId="1D1ADA5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7B36E7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5A539F5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745" w:type="pct"/>
            <w:tcBorders>
              <w:tl2br w:val="nil"/>
              <w:tr2bl w:val="nil"/>
            </w:tcBorders>
            <w:shd w:val="clear" w:color="auto" w:fill="auto"/>
            <w:vAlign w:val="center"/>
          </w:tcPr>
          <w:p w14:paraId="61C7C67F">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vAlign w:val="center"/>
          </w:tcPr>
          <w:p w14:paraId="3697475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shd w:val="clear" w:color="auto" w:fill="auto"/>
            <w:vAlign w:val="center"/>
          </w:tcPr>
          <w:p w14:paraId="50A1D661">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020" w:type="pct"/>
            <w:tcBorders>
              <w:tl2br w:val="nil"/>
              <w:tr2bl w:val="nil"/>
            </w:tcBorders>
            <w:vAlign w:val="center"/>
          </w:tcPr>
          <w:p w14:paraId="1C14F57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860" w:type="pct"/>
            <w:tcBorders>
              <w:tl2br w:val="nil"/>
              <w:tr2bl w:val="nil"/>
            </w:tcBorders>
            <w:vAlign w:val="center"/>
          </w:tcPr>
          <w:p w14:paraId="6990113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18A61B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0D42328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745" w:type="pct"/>
            <w:tcBorders>
              <w:tl2br w:val="nil"/>
              <w:tr2bl w:val="nil"/>
            </w:tcBorders>
            <w:vAlign w:val="center"/>
          </w:tcPr>
          <w:p w14:paraId="6874ABA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27,517</w:t>
            </w:r>
          </w:p>
        </w:tc>
        <w:tc>
          <w:tcPr>
            <w:tcW w:w="645" w:type="pct"/>
            <w:tcBorders>
              <w:tl2br w:val="nil"/>
              <w:tr2bl w:val="nil"/>
            </w:tcBorders>
            <w:vAlign w:val="center"/>
          </w:tcPr>
          <w:p w14:paraId="4766330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8,945</w:t>
            </w:r>
          </w:p>
        </w:tc>
        <w:tc>
          <w:tcPr>
            <w:tcW w:w="645" w:type="pct"/>
            <w:tcBorders>
              <w:tl2br w:val="nil"/>
              <w:tr2bl w:val="nil"/>
            </w:tcBorders>
            <w:shd w:val="clear" w:color="auto" w:fill="auto"/>
            <w:vAlign w:val="center"/>
          </w:tcPr>
          <w:p w14:paraId="095AA754">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10,256</w:t>
            </w:r>
          </w:p>
        </w:tc>
        <w:tc>
          <w:tcPr>
            <w:tcW w:w="1020" w:type="pct"/>
            <w:tcBorders>
              <w:tl2br w:val="nil"/>
              <w:tr2bl w:val="nil"/>
            </w:tcBorders>
            <w:vAlign w:val="center"/>
          </w:tcPr>
          <w:p w14:paraId="33A2D13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114</w:t>
            </w:r>
          </w:p>
        </w:tc>
        <w:tc>
          <w:tcPr>
            <w:tcW w:w="860" w:type="pct"/>
            <w:tcBorders>
              <w:tl2br w:val="nil"/>
              <w:tr2bl w:val="nil"/>
            </w:tcBorders>
            <w:vAlign w:val="center"/>
          </w:tcPr>
          <w:p w14:paraId="3E13C9F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127</w:t>
            </w:r>
          </w:p>
        </w:tc>
      </w:tr>
      <w:tr w14:paraId="4C6BCC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2040C17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2</w:t>
            </w:r>
          </w:p>
        </w:tc>
        <w:tc>
          <w:tcPr>
            <w:tcW w:w="745" w:type="pct"/>
            <w:tcBorders>
              <w:tl2br w:val="nil"/>
              <w:tr2bl w:val="nil"/>
            </w:tcBorders>
            <w:shd w:val="clear" w:color="auto" w:fill="auto"/>
            <w:vAlign w:val="top"/>
          </w:tcPr>
          <w:p w14:paraId="19E79935">
            <w:pPr>
              <w:spacing w:beforeLines="0" w:afterLines="0"/>
              <w:jc w:val="left"/>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0.621</w:t>
            </w:r>
          </w:p>
        </w:tc>
        <w:tc>
          <w:tcPr>
            <w:tcW w:w="645" w:type="pct"/>
            <w:tcBorders>
              <w:tl2br w:val="nil"/>
              <w:tr2bl w:val="nil"/>
            </w:tcBorders>
            <w:shd w:val="clear" w:color="auto" w:fill="auto"/>
            <w:vAlign w:val="top"/>
          </w:tcPr>
          <w:p w14:paraId="0D6871A0">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0.500</w:t>
            </w:r>
          </w:p>
        </w:tc>
        <w:tc>
          <w:tcPr>
            <w:tcW w:w="645" w:type="pct"/>
            <w:tcBorders>
              <w:tl2br w:val="nil"/>
              <w:tr2bl w:val="nil"/>
            </w:tcBorders>
            <w:shd w:val="clear" w:color="auto" w:fill="auto"/>
            <w:vAlign w:val="top"/>
          </w:tcPr>
          <w:p w14:paraId="40948135">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0.639</w:t>
            </w:r>
          </w:p>
        </w:tc>
        <w:tc>
          <w:tcPr>
            <w:tcW w:w="1020" w:type="pct"/>
            <w:tcBorders>
              <w:tl2br w:val="nil"/>
              <w:tr2bl w:val="nil"/>
            </w:tcBorders>
            <w:shd w:val="clear" w:color="auto" w:fill="auto"/>
            <w:vAlign w:val="top"/>
          </w:tcPr>
          <w:p w14:paraId="249BDDB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0.6</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24</w:t>
            </w:r>
          </w:p>
        </w:tc>
        <w:tc>
          <w:tcPr>
            <w:tcW w:w="860" w:type="pct"/>
            <w:tcBorders>
              <w:tl2br w:val="nil"/>
              <w:tr2bl w:val="nil"/>
            </w:tcBorders>
            <w:shd w:val="clear" w:color="auto" w:fill="auto"/>
            <w:vAlign w:val="top"/>
          </w:tcPr>
          <w:p w14:paraId="57E14526">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0.660</w:t>
            </w:r>
          </w:p>
        </w:tc>
      </w:tr>
    </w:tbl>
    <w:p w14:paraId="648EC621">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Note: Robust standard errors in parentheses, ***, **, and * indicate significance at the 0.01, 0.05, and 0.1 levels, respectively.</w:t>
      </w:r>
    </w:p>
    <w:p w14:paraId="49405034">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p w14:paraId="1E22C698">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1"/>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Table S</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10</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 City-Level Variable Definitions and Descriptive Statistics</w:t>
      </w:r>
    </w:p>
    <w:tbl>
      <w:tblPr>
        <w:tblStyle w:val="12"/>
        <w:tblW w:w="50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94"/>
        <w:gridCol w:w="3942"/>
        <w:gridCol w:w="866"/>
        <w:gridCol w:w="901"/>
        <w:gridCol w:w="766"/>
        <w:gridCol w:w="953"/>
      </w:tblGrid>
      <w:tr w14:paraId="65D365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bottom w:val="single" w:color="auto" w:sz="4" w:space="0"/>
            </w:tcBorders>
            <w:vAlign w:val="center"/>
          </w:tcPr>
          <w:p w14:paraId="79D5781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Symbol</w:t>
            </w:r>
          </w:p>
        </w:tc>
        <w:tc>
          <w:tcPr>
            <w:tcW w:w="2312" w:type="pct"/>
            <w:tcBorders>
              <w:bottom w:val="single" w:color="auto" w:sz="4" w:space="0"/>
            </w:tcBorders>
            <w:vAlign w:val="center"/>
          </w:tcPr>
          <w:p w14:paraId="4C9090D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Measure</w:t>
            </w:r>
          </w:p>
        </w:tc>
        <w:tc>
          <w:tcPr>
            <w:tcW w:w="508" w:type="pct"/>
            <w:tcBorders>
              <w:bottom w:val="single" w:color="auto" w:sz="4" w:space="0"/>
            </w:tcBorders>
            <w:vAlign w:val="center"/>
          </w:tcPr>
          <w:p w14:paraId="46B54D2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Mean</w:t>
            </w:r>
          </w:p>
        </w:tc>
        <w:tc>
          <w:tcPr>
            <w:tcW w:w="529" w:type="pct"/>
            <w:tcBorders>
              <w:bottom w:val="single" w:color="auto" w:sz="4" w:space="0"/>
            </w:tcBorders>
            <w:vAlign w:val="center"/>
          </w:tcPr>
          <w:p w14:paraId="63E5E38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Std. Dev.</w:t>
            </w:r>
          </w:p>
        </w:tc>
        <w:tc>
          <w:tcPr>
            <w:tcW w:w="449" w:type="pct"/>
            <w:tcBorders>
              <w:bottom w:val="single" w:color="auto" w:sz="4" w:space="0"/>
            </w:tcBorders>
            <w:vAlign w:val="center"/>
          </w:tcPr>
          <w:p w14:paraId="395FD96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Min</w:t>
            </w:r>
          </w:p>
        </w:tc>
        <w:tc>
          <w:tcPr>
            <w:tcW w:w="558" w:type="pct"/>
            <w:tcBorders>
              <w:bottom w:val="single" w:color="auto" w:sz="4" w:space="0"/>
            </w:tcBorders>
            <w:vAlign w:val="center"/>
          </w:tcPr>
          <w:p w14:paraId="51D96F6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Max</w:t>
            </w:r>
          </w:p>
        </w:tc>
      </w:tr>
      <w:tr w14:paraId="0F8926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op w:val="single" w:color="auto" w:sz="4" w:space="0"/>
              <w:tl2br w:val="nil"/>
              <w:tr2bl w:val="nil"/>
            </w:tcBorders>
            <w:vAlign w:val="center"/>
          </w:tcPr>
          <w:p w14:paraId="71DCFD7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_ln</w:t>
            </w:r>
          </w:p>
        </w:tc>
        <w:tc>
          <w:tcPr>
            <w:tcW w:w="2312" w:type="pct"/>
            <w:tcBorders>
              <w:top w:val="single" w:color="auto" w:sz="4" w:space="0"/>
              <w:tl2br w:val="nil"/>
              <w:tr2bl w:val="nil"/>
            </w:tcBorders>
            <w:vAlign w:val="center"/>
          </w:tcPr>
          <w:p w14:paraId="1718C8D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Total Carbon Emissions (Ln)</w:t>
            </w:r>
          </w:p>
        </w:tc>
        <w:tc>
          <w:tcPr>
            <w:tcW w:w="508" w:type="pct"/>
            <w:tcBorders>
              <w:top w:val="single" w:color="auto" w:sz="4" w:space="0"/>
              <w:tl2br w:val="nil"/>
              <w:tr2bl w:val="nil"/>
            </w:tcBorders>
            <w:vAlign w:val="center"/>
          </w:tcPr>
          <w:p w14:paraId="72CB0B7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8.099</w:t>
            </w:r>
          </w:p>
        </w:tc>
        <w:tc>
          <w:tcPr>
            <w:tcW w:w="529" w:type="pct"/>
            <w:tcBorders>
              <w:top w:val="single" w:color="auto" w:sz="4" w:space="0"/>
              <w:tl2br w:val="nil"/>
              <w:tr2bl w:val="nil"/>
            </w:tcBorders>
            <w:vAlign w:val="center"/>
          </w:tcPr>
          <w:p w14:paraId="71EC6FD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0</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.417</w:t>
            </w:r>
          </w:p>
        </w:tc>
        <w:tc>
          <w:tcPr>
            <w:tcW w:w="449" w:type="pct"/>
            <w:tcBorders>
              <w:top w:val="single" w:color="auto" w:sz="4" w:space="0"/>
              <w:tl2br w:val="nil"/>
              <w:tr2bl w:val="nil"/>
            </w:tcBorders>
            <w:vAlign w:val="center"/>
          </w:tcPr>
          <w:p w14:paraId="20E18C2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6.58</w:t>
            </w:r>
          </w:p>
        </w:tc>
        <w:tc>
          <w:tcPr>
            <w:tcW w:w="558" w:type="pct"/>
            <w:tcBorders>
              <w:top w:val="single" w:color="auto" w:sz="4" w:space="0"/>
              <w:tl2br w:val="nil"/>
              <w:tr2bl w:val="nil"/>
            </w:tcBorders>
            <w:vAlign w:val="center"/>
          </w:tcPr>
          <w:p w14:paraId="5D2683A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11.539</w:t>
            </w:r>
          </w:p>
        </w:tc>
      </w:tr>
      <w:tr w14:paraId="4041E5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6C2F35B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w:t>
            </w:r>
          </w:p>
        </w:tc>
        <w:tc>
          <w:tcPr>
            <w:tcW w:w="2312" w:type="pct"/>
            <w:tcBorders>
              <w:tl2br w:val="nil"/>
              <w:tr2bl w:val="nil"/>
            </w:tcBorders>
            <w:vAlign w:val="center"/>
          </w:tcPr>
          <w:p w14:paraId="712763B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Total Carbon Emissions / Regional GDP</w:t>
            </w:r>
          </w:p>
        </w:tc>
        <w:tc>
          <w:tcPr>
            <w:tcW w:w="508" w:type="pct"/>
            <w:tcBorders>
              <w:tl2br w:val="nil"/>
              <w:tr2bl w:val="nil"/>
            </w:tcBorders>
            <w:vAlign w:val="center"/>
          </w:tcPr>
          <w:p w14:paraId="6EEABF5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2.285</w:t>
            </w:r>
          </w:p>
        </w:tc>
        <w:tc>
          <w:tcPr>
            <w:tcW w:w="529" w:type="pct"/>
            <w:tcBorders>
              <w:tl2br w:val="nil"/>
              <w:tr2bl w:val="nil"/>
            </w:tcBorders>
            <w:vAlign w:val="center"/>
          </w:tcPr>
          <w:p w14:paraId="0C806C1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1.992</w:t>
            </w:r>
          </w:p>
        </w:tc>
        <w:tc>
          <w:tcPr>
            <w:tcW w:w="449" w:type="pct"/>
            <w:tcBorders>
              <w:tl2br w:val="nil"/>
              <w:tr2bl w:val="nil"/>
            </w:tcBorders>
            <w:vAlign w:val="center"/>
          </w:tcPr>
          <w:p w14:paraId="03E23DB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0.142</w:t>
            </w:r>
          </w:p>
        </w:tc>
        <w:tc>
          <w:tcPr>
            <w:tcW w:w="558" w:type="pct"/>
            <w:tcBorders>
              <w:tl2br w:val="nil"/>
              <w:tr2bl w:val="nil"/>
            </w:tcBorders>
            <w:vAlign w:val="center"/>
          </w:tcPr>
          <w:p w14:paraId="05829C1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15.731</w:t>
            </w:r>
          </w:p>
        </w:tc>
      </w:tr>
      <w:tr w14:paraId="596846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58B013E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_gdp1</w:t>
            </w:r>
          </w:p>
        </w:tc>
        <w:tc>
          <w:tcPr>
            <w:tcW w:w="2312" w:type="pct"/>
            <w:tcBorders>
              <w:tl2br w:val="nil"/>
              <w:tr2bl w:val="nil"/>
            </w:tcBorders>
            <w:vAlign w:val="center"/>
          </w:tcPr>
          <w:p w14:paraId="604437F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Scope 1 Carbon Emissions / Regional GDP</w:t>
            </w:r>
          </w:p>
        </w:tc>
        <w:tc>
          <w:tcPr>
            <w:tcW w:w="508" w:type="pct"/>
            <w:tcBorders>
              <w:tl2br w:val="nil"/>
              <w:tr2bl w:val="nil"/>
            </w:tcBorders>
            <w:vAlign w:val="center"/>
          </w:tcPr>
          <w:p w14:paraId="71CD869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1.487</w:t>
            </w:r>
          </w:p>
        </w:tc>
        <w:tc>
          <w:tcPr>
            <w:tcW w:w="529" w:type="pct"/>
            <w:tcBorders>
              <w:tl2br w:val="nil"/>
              <w:tr2bl w:val="nil"/>
            </w:tcBorders>
            <w:vAlign w:val="center"/>
          </w:tcPr>
          <w:p w14:paraId="0CF6118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1.294</w:t>
            </w:r>
          </w:p>
        </w:tc>
        <w:tc>
          <w:tcPr>
            <w:tcW w:w="449" w:type="pct"/>
            <w:tcBorders>
              <w:tl2br w:val="nil"/>
              <w:tr2bl w:val="nil"/>
            </w:tcBorders>
            <w:vAlign w:val="center"/>
          </w:tcPr>
          <w:p w14:paraId="278291B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0.086</w:t>
            </w:r>
          </w:p>
        </w:tc>
        <w:tc>
          <w:tcPr>
            <w:tcW w:w="558" w:type="pct"/>
            <w:tcBorders>
              <w:tl2br w:val="nil"/>
              <w:tr2bl w:val="nil"/>
            </w:tcBorders>
            <w:vAlign w:val="center"/>
          </w:tcPr>
          <w:p w14:paraId="72D290F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10.024</w:t>
            </w:r>
          </w:p>
        </w:tc>
      </w:tr>
      <w:tr w14:paraId="200C57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50C75A8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_gdp2</w:t>
            </w:r>
          </w:p>
        </w:tc>
        <w:tc>
          <w:tcPr>
            <w:tcW w:w="2312" w:type="pct"/>
            <w:tcBorders>
              <w:tl2br w:val="nil"/>
              <w:tr2bl w:val="nil"/>
            </w:tcBorders>
            <w:vAlign w:val="center"/>
          </w:tcPr>
          <w:p w14:paraId="499D413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Scope 2 Carbon Emissions / Regional GDP</w:t>
            </w:r>
          </w:p>
        </w:tc>
        <w:tc>
          <w:tcPr>
            <w:tcW w:w="508" w:type="pct"/>
            <w:tcBorders>
              <w:tl2br w:val="nil"/>
              <w:tr2bl w:val="nil"/>
            </w:tcBorders>
            <w:vAlign w:val="center"/>
          </w:tcPr>
          <w:p w14:paraId="31C82D3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0.34</w:t>
            </w:r>
          </w:p>
        </w:tc>
        <w:tc>
          <w:tcPr>
            <w:tcW w:w="529" w:type="pct"/>
            <w:tcBorders>
              <w:tl2br w:val="nil"/>
              <w:tr2bl w:val="nil"/>
            </w:tcBorders>
            <w:vAlign w:val="center"/>
          </w:tcPr>
          <w:p w14:paraId="0D82A03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0.312</w:t>
            </w:r>
          </w:p>
        </w:tc>
        <w:tc>
          <w:tcPr>
            <w:tcW w:w="449" w:type="pct"/>
            <w:tcBorders>
              <w:tl2br w:val="nil"/>
              <w:tr2bl w:val="nil"/>
            </w:tcBorders>
            <w:vAlign w:val="center"/>
          </w:tcPr>
          <w:p w14:paraId="3CE6ED2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0.022</w:t>
            </w:r>
          </w:p>
        </w:tc>
        <w:tc>
          <w:tcPr>
            <w:tcW w:w="558" w:type="pct"/>
            <w:tcBorders>
              <w:tl2br w:val="nil"/>
              <w:tr2bl w:val="nil"/>
            </w:tcBorders>
            <w:vAlign w:val="center"/>
          </w:tcPr>
          <w:p w14:paraId="7DF3C1E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2.714</w:t>
            </w:r>
          </w:p>
        </w:tc>
      </w:tr>
      <w:tr w14:paraId="71A9A8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71647AB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_gdp3</w:t>
            </w:r>
          </w:p>
        </w:tc>
        <w:tc>
          <w:tcPr>
            <w:tcW w:w="2312" w:type="pct"/>
            <w:tcBorders>
              <w:tl2br w:val="nil"/>
              <w:tr2bl w:val="nil"/>
            </w:tcBorders>
            <w:vAlign w:val="center"/>
          </w:tcPr>
          <w:p w14:paraId="783023B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Scope 3 Carbon Emissions / Regional GDP</w:t>
            </w:r>
          </w:p>
        </w:tc>
        <w:tc>
          <w:tcPr>
            <w:tcW w:w="508" w:type="pct"/>
            <w:tcBorders>
              <w:tl2br w:val="nil"/>
              <w:tr2bl w:val="nil"/>
            </w:tcBorders>
            <w:vAlign w:val="center"/>
          </w:tcPr>
          <w:p w14:paraId="6599E60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0.457</w:t>
            </w:r>
          </w:p>
        </w:tc>
        <w:tc>
          <w:tcPr>
            <w:tcW w:w="529" w:type="pct"/>
            <w:tcBorders>
              <w:tl2br w:val="nil"/>
              <w:tr2bl w:val="nil"/>
            </w:tcBorders>
            <w:vAlign w:val="center"/>
          </w:tcPr>
          <w:p w14:paraId="0D40E80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0.419</w:t>
            </w:r>
          </w:p>
        </w:tc>
        <w:tc>
          <w:tcPr>
            <w:tcW w:w="449" w:type="pct"/>
            <w:tcBorders>
              <w:tl2br w:val="nil"/>
              <w:tr2bl w:val="nil"/>
            </w:tcBorders>
            <w:vAlign w:val="center"/>
          </w:tcPr>
          <w:p w14:paraId="7A5C3B1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0.025</w:t>
            </w:r>
          </w:p>
        </w:tc>
        <w:tc>
          <w:tcPr>
            <w:tcW w:w="558" w:type="pct"/>
            <w:tcBorders>
              <w:tl2br w:val="nil"/>
              <w:tr2bl w:val="nil"/>
            </w:tcBorders>
            <w:vAlign w:val="center"/>
          </w:tcPr>
          <w:p w14:paraId="7ED569C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3.29</w:t>
            </w:r>
          </w:p>
        </w:tc>
      </w:tr>
      <w:tr w14:paraId="4854CE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7E6E152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EST</w:t>
            </w:r>
          </w:p>
        </w:tc>
        <w:tc>
          <w:tcPr>
            <w:tcW w:w="2312" w:type="pct"/>
            <w:tcBorders>
              <w:tl2br w:val="nil"/>
              <w:tr2bl w:val="nil"/>
            </w:tcBorders>
            <w:vAlign w:val="center"/>
          </w:tcPr>
          <w:p w14:paraId="44ADF8B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DID Method</w:t>
            </w:r>
          </w:p>
        </w:tc>
        <w:tc>
          <w:tcPr>
            <w:tcW w:w="508" w:type="pct"/>
            <w:tcBorders>
              <w:tl2br w:val="nil"/>
              <w:tr2bl w:val="nil"/>
            </w:tcBorders>
            <w:vAlign w:val="center"/>
          </w:tcPr>
          <w:p w14:paraId="7DEFF2F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0.24</w:t>
            </w:r>
          </w:p>
        </w:tc>
        <w:tc>
          <w:tcPr>
            <w:tcW w:w="529" w:type="pct"/>
            <w:tcBorders>
              <w:tl2br w:val="nil"/>
              <w:tr2bl w:val="nil"/>
            </w:tcBorders>
            <w:vAlign w:val="center"/>
          </w:tcPr>
          <w:p w14:paraId="55688A9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0.427</w:t>
            </w:r>
          </w:p>
        </w:tc>
        <w:tc>
          <w:tcPr>
            <w:tcW w:w="449" w:type="pct"/>
            <w:tcBorders>
              <w:tl2br w:val="nil"/>
              <w:tr2bl w:val="nil"/>
            </w:tcBorders>
            <w:vAlign w:val="center"/>
          </w:tcPr>
          <w:p w14:paraId="0A46E63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p>
        </w:tc>
        <w:tc>
          <w:tcPr>
            <w:tcW w:w="558" w:type="pct"/>
            <w:tcBorders>
              <w:tl2br w:val="nil"/>
              <w:tr2bl w:val="nil"/>
            </w:tcBorders>
            <w:vAlign w:val="center"/>
          </w:tcPr>
          <w:p w14:paraId="3487020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w:t>
            </w:r>
          </w:p>
        </w:tc>
      </w:tr>
      <w:tr w14:paraId="3048F7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7359F3E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GDP</w:t>
            </w:r>
          </w:p>
        </w:tc>
        <w:tc>
          <w:tcPr>
            <w:tcW w:w="2312" w:type="pct"/>
            <w:tcBorders>
              <w:tl2br w:val="nil"/>
              <w:tr2bl w:val="nil"/>
            </w:tcBorders>
            <w:vAlign w:val="center"/>
          </w:tcPr>
          <w:p w14:paraId="3347EA8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Regional GDP (Ln)</w:t>
            </w:r>
          </w:p>
        </w:tc>
        <w:tc>
          <w:tcPr>
            <w:tcW w:w="508" w:type="pct"/>
            <w:tcBorders>
              <w:tl2br w:val="nil"/>
              <w:tr2bl w:val="nil"/>
            </w:tcBorders>
            <w:vAlign w:val="center"/>
          </w:tcPr>
          <w:p w14:paraId="3ECB4E9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16.807</w:t>
            </w:r>
          </w:p>
        </w:tc>
        <w:tc>
          <w:tcPr>
            <w:tcW w:w="529" w:type="pct"/>
            <w:tcBorders>
              <w:tl2br w:val="nil"/>
              <w:tr2bl w:val="nil"/>
            </w:tcBorders>
            <w:vAlign w:val="center"/>
          </w:tcPr>
          <w:p w14:paraId="71DF9FF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0.883</w:t>
            </w:r>
          </w:p>
        </w:tc>
        <w:tc>
          <w:tcPr>
            <w:tcW w:w="449" w:type="pct"/>
            <w:tcBorders>
              <w:tl2br w:val="nil"/>
              <w:tr2bl w:val="nil"/>
            </w:tcBorders>
            <w:vAlign w:val="center"/>
          </w:tcPr>
          <w:p w14:paraId="2643CA4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14.619</w:t>
            </w:r>
          </w:p>
        </w:tc>
        <w:tc>
          <w:tcPr>
            <w:tcW w:w="558" w:type="pct"/>
            <w:tcBorders>
              <w:tl2br w:val="nil"/>
              <w:tr2bl w:val="nil"/>
            </w:tcBorders>
            <w:vAlign w:val="center"/>
          </w:tcPr>
          <w:p w14:paraId="5A45497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19.774</w:t>
            </w:r>
          </w:p>
        </w:tc>
      </w:tr>
      <w:tr w14:paraId="2544D5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7E6689BB">
            <w:pPr>
              <w:keepNext w:val="0"/>
              <w:keepLines w:val="0"/>
              <w:pageBreakBefore w:val="0"/>
              <w:widowControl/>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kern w:val="0"/>
                <w:sz w:val="20"/>
                <w:szCs w:val="20"/>
                <w:highlight w:val="none"/>
                <w:shd w:val="clear" w:color="auto" w:fill="FFFFFF"/>
                <w:lang w:bidi="ar"/>
                <w14:textFill>
                  <w14:solidFill>
                    <w14:schemeClr w14:val="tx1">
                      <w14:lumMod w14:val="95000"/>
                      <w14:lumOff w14:val="5000"/>
                    </w14:schemeClr>
                  </w14:solidFill>
                </w14:textFill>
                <w14:ligatures w14:val="standardContextual"/>
              </w:rPr>
              <w:t>Structure</w:t>
            </w:r>
          </w:p>
        </w:tc>
        <w:tc>
          <w:tcPr>
            <w:tcW w:w="2312" w:type="pct"/>
            <w:tcBorders>
              <w:tl2br w:val="nil"/>
              <w:tr2bl w:val="nil"/>
            </w:tcBorders>
            <w:vAlign w:val="center"/>
          </w:tcPr>
          <w:p w14:paraId="5C8E046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Share of Secondary Industry Output</w:t>
            </w:r>
          </w:p>
        </w:tc>
        <w:tc>
          <w:tcPr>
            <w:tcW w:w="508" w:type="pct"/>
            <w:tcBorders>
              <w:tl2br w:val="nil"/>
              <w:tr2bl w:val="nil"/>
            </w:tcBorders>
            <w:vAlign w:val="center"/>
          </w:tcPr>
          <w:p w14:paraId="3D92599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0.47</w:t>
            </w:r>
          </w:p>
        </w:tc>
        <w:tc>
          <w:tcPr>
            <w:tcW w:w="529" w:type="pct"/>
            <w:tcBorders>
              <w:tl2br w:val="nil"/>
              <w:tr2bl w:val="nil"/>
            </w:tcBorders>
            <w:vAlign w:val="center"/>
          </w:tcPr>
          <w:p w14:paraId="2D60BDE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0.09</w:t>
            </w:r>
          </w:p>
        </w:tc>
        <w:tc>
          <w:tcPr>
            <w:tcW w:w="449" w:type="pct"/>
            <w:tcBorders>
              <w:tl2br w:val="nil"/>
              <w:tr2bl w:val="nil"/>
            </w:tcBorders>
            <w:vAlign w:val="center"/>
          </w:tcPr>
          <w:p w14:paraId="5F12793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0.156</w:t>
            </w:r>
          </w:p>
        </w:tc>
        <w:tc>
          <w:tcPr>
            <w:tcW w:w="558" w:type="pct"/>
            <w:tcBorders>
              <w:tl2br w:val="nil"/>
              <w:tr2bl w:val="nil"/>
            </w:tcBorders>
            <w:vAlign w:val="center"/>
          </w:tcPr>
          <w:p w14:paraId="04EE585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0.759</w:t>
            </w:r>
          </w:p>
        </w:tc>
      </w:tr>
      <w:tr w14:paraId="5843CE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5456336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Industrial</w:t>
            </w:r>
          </w:p>
        </w:tc>
        <w:tc>
          <w:tcPr>
            <w:tcW w:w="2312" w:type="pct"/>
            <w:tcBorders>
              <w:tl2br w:val="nil"/>
              <w:tr2bl w:val="nil"/>
            </w:tcBorders>
            <w:vAlign w:val="center"/>
          </w:tcPr>
          <w:p w14:paraId="6EAA841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Number of Industrial Enterprises Above Designated Size (Ln)</w:t>
            </w:r>
          </w:p>
        </w:tc>
        <w:tc>
          <w:tcPr>
            <w:tcW w:w="508" w:type="pct"/>
            <w:tcBorders>
              <w:tl2br w:val="nil"/>
              <w:tr2bl w:val="nil"/>
            </w:tcBorders>
            <w:vAlign w:val="center"/>
          </w:tcPr>
          <w:p w14:paraId="738F8AE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6.938</w:t>
            </w:r>
          </w:p>
        </w:tc>
        <w:tc>
          <w:tcPr>
            <w:tcW w:w="529" w:type="pct"/>
            <w:tcBorders>
              <w:tl2br w:val="nil"/>
              <w:tr2bl w:val="nil"/>
            </w:tcBorders>
            <w:vAlign w:val="center"/>
          </w:tcPr>
          <w:p w14:paraId="39F2ECF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0.989</w:t>
            </w:r>
          </w:p>
        </w:tc>
        <w:tc>
          <w:tcPr>
            <w:tcW w:w="449" w:type="pct"/>
            <w:tcBorders>
              <w:tl2br w:val="nil"/>
              <w:tr2bl w:val="nil"/>
            </w:tcBorders>
            <w:vAlign w:val="center"/>
          </w:tcPr>
          <w:p w14:paraId="30EDFDD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4.394</w:t>
            </w:r>
          </w:p>
        </w:tc>
        <w:tc>
          <w:tcPr>
            <w:tcW w:w="558" w:type="pct"/>
            <w:tcBorders>
              <w:tl2br w:val="nil"/>
              <w:tr2bl w:val="nil"/>
            </w:tcBorders>
            <w:vAlign w:val="center"/>
          </w:tcPr>
          <w:p w14:paraId="13D5593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9.384</w:t>
            </w:r>
          </w:p>
        </w:tc>
      </w:tr>
      <w:tr w14:paraId="45D821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734C257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Foreign</w:t>
            </w:r>
          </w:p>
        </w:tc>
        <w:tc>
          <w:tcPr>
            <w:tcW w:w="2312" w:type="pct"/>
            <w:tcBorders>
              <w:tl2br w:val="nil"/>
              <w:tr2bl w:val="nil"/>
            </w:tcBorders>
            <w:vAlign w:val="center"/>
          </w:tcPr>
          <w:p w14:paraId="698FA1A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Share of Foreign-Invested Industrial Enterprises Above Designated Size</w:t>
            </w:r>
          </w:p>
        </w:tc>
        <w:tc>
          <w:tcPr>
            <w:tcW w:w="508" w:type="pct"/>
            <w:tcBorders>
              <w:tl2br w:val="nil"/>
              <w:tr2bl w:val="nil"/>
            </w:tcBorders>
            <w:vAlign w:val="center"/>
          </w:tcPr>
          <w:p w14:paraId="3BF4212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4.668</w:t>
            </w:r>
          </w:p>
        </w:tc>
        <w:tc>
          <w:tcPr>
            <w:tcW w:w="529" w:type="pct"/>
            <w:tcBorders>
              <w:tl2br w:val="nil"/>
              <w:tr2bl w:val="nil"/>
            </w:tcBorders>
            <w:vAlign w:val="center"/>
          </w:tcPr>
          <w:p w14:paraId="6FB0326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5.412</w:t>
            </w:r>
          </w:p>
        </w:tc>
        <w:tc>
          <w:tcPr>
            <w:tcW w:w="449" w:type="pct"/>
            <w:tcBorders>
              <w:tl2br w:val="nil"/>
              <w:tr2bl w:val="nil"/>
            </w:tcBorders>
            <w:vAlign w:val="center"/>
          </w:tcPr>
          <w:p w14:paraId="394DE41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0.242</w:t>
            </w:r>
          </w:p>
        </w:tc>
        <w:tc>
          <w:tcPr>
            <w:tcW w:w="558" w:type="pct"/>
            <w:tcBorders>
              <w:tl2br w:val="nil"/>
              <w:tr2bl w:val="nil"/>
            </w:tcBorders>
            <w:vAlign w:val="center"/>
          </w:tcPr>
          <w:p w14:paraId="746AC2D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32.307</w:t>
            </w:r>
          </w:p>
        </w:tc>
      </w:tr>
      <w:tr w14:paraId="28101A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5F20523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Freight</w:t>
            </w:r>
          </w:p>
        </w:tc>
        <w:tc>
          <w:tcPr>
            <w:tcW w:w="2312" w:type="pct"/>
            <w:tcBorders>
              <w:tl2br w:val="nil"/>
              <w:tr2bl w:val="nil"/>
            </w:tcBorders>
            <w:vAlign w:val="center"/>
          </w:tcPr>
          <w:p w14:paraId="78ADD3F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Road Freight Volume</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Regional GDP</w:t>
            </w:r>
          </w:p>
        </w:tc>
        <w:tc>
          <w:tcPr>
            <w:tcW w:w="508" w:type="pct"/>
            <w:tcBorders>
              <w:tl2br w:val="nil"/>
              <w:tr2bl w:val="nil"/>
            </w:tcBorders>
            <w:vAlign w:val="center"/>
          </w:tcPr>
          <w:p w14:paraId="3C0FB0F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0.076</w:t>
            </w:r>
          </w:p>
        </w:tc>
        <w:tc>
          <w:tcPr>
            <w:tcW w:w="529" w:type="pct"/>
            <w:tcBorders>
              <w:tl2br w:val="nil"/>
              <w:tr2bl w:val="nil"/>
            </w:tcBorders>
            <w:vAlign w:val="center"/>
          </w:tcPr>
          <w:p w14:paraId="443CBBA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0.429</w:t>
            </w:r>
          </w:p>
        </w:tc>
        <w:tc>
          <w:tcPr>
            <w:tcW w:w="449" w:type="pct"/>
            <w:tcBorders>
              <w:tl2br w:val="nil"/>
              <w:tr2bl w:val="nil"/>
            </w:tcBorders>
            <w:vAlign w:val="center"/>
          </w:tcPr>
          <w:p w14:paraId="19F83A1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0.006</w:t>
            </w:r>
          </w:p>
        </w:tc>
        <w:tc>
          <w:tcPr>
            <w:tcW w:w="558" w:type="pct"/>
            <w:tcBorders>
              <w:tl2br w:val="nil"/>
              <w:tr2bl w:val="nil"/>
            </w:tcBorders>
            <w:vAlign w:val="center"/>
          </w:tcPr>
          <w:p w14:paraId="6A98E42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16.226</w:t>
            </w:r>
          </w:p>
        </w:tc>
      </w:tr>
      <w:tr w14:paraId="490429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2E84232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Passenger</w:t>
            </w:r>
          </w:p>
        </w:tc>
        <w:tc>
          <w:tcPr>
            <w:tcW w:w="2312" w:type="pct"/>
            <w:tcBorders>
              <w:tl2br w:val="nil"/>
              <w:tr2bl w:val="nil"/>
            </w:tcBorders>
            <w:vAlign w:val="center"/>
          </w:tcPr>
          <w:p w14:paraId="3AA58D2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Road Passenger Volume</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Regional GDP</w:t>
            </w:r>
          </w:p>
        </w:tc>
        <w:tc>
          <w:tcPr>
            <w:tcW w:w="508" w:type="pct"/>
            <w:tcBorders>
              <w:tl2br w:val="nil"/>
              <w:tr2bl w:val="nil"/>
            </w:tcBorders>
            <w:vAlign w:val="center"/>
          </w:tcPr>
          <w:p w14:paraId="5EC892C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0.042</w:t>
            </w:r>
          </w:p>
        </w:tc>
        <w:tc>
          <w:tcPr>
            <w:tcW w:w="529" w:type="pct"/>
            <w:tcBorders>
              <w:tl2br w:val="nil"/>
              <w:tr2bl w:val="nil"/>
            </w:tcBorders>
            <w:vAlign w:val="center"/>
          </w:tcPr>
          <w:p w14:paraId="27EE59A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0.224</w:t>
            </w:r>
          </w:p>
        </w:tc>
        <w:tc>
          <w:tcPr>
            <w:tcW w:w="449" w:type="pct"/>
            <w:tcBorders>
              <w:tl2br w:val="nil"/>
              <w:tr2bl w:val="nil"/>
            </w:tcBorders>
            <w:vAlign w:val="center"/>
          </w:tcPr>
          <w:p w14:paraId="37135F7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p>
        </w:tc>
        <w:tc>
          <w:tcPr>
            <w:tcW w:w="558" w:type="pct"/>
            <w:tcBorders>
              <w:tl2br w:val="nil"/>
              <w:tr2bl w:val="nil"/>
            </w:tcBorders>
            <w:vAlign w:val="center"/>
          </w:tcPr>
          <w:p w14:paraId="73DF19D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8.39</w:t>
            </w:r>
          </w:p>
        </w:tc>
      </w:tr>
      <w:tr w14:paraId="10D693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23B5CED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Fiscal</w:t>
            </w:r>
          </w:p>
        </w:tc>
        <w:tc>
          <w:tcPr>
            <w:tcW w:w="2312" w:type="pct"/>
            <w:tcBorders>
              <w:tl2br w:val="nil"/>
              <w:tr2bl w:val="nil"/>
            </w:tcBorders>
            <w:vAlign w:val="center"/>
          </w:tcPr>
          <w:p w14:paraId="35D1CEC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General Budget Fiscal Expenditure/Regional GDP</w:t>
            </w:r>
          </w:p>
        </w:tc>
        <w:tc>
          <w:tcPr>
            <w:tcW w:w="508" w:type="pct"/>
            <w:tcBorders>
              <w:tl2br w:val="nil"/>
              <w:tr2bl w:val="nil"/>
            </w:tcBorders>
            <w:vAlign w:val="center"/>
          </w:tcPr>
          <w:p w14:paraId="5866CB3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18.088</w:t>
            </w:r>
          </w:p>
        </w:tc>
        <w:tc>
          <w:tcPr>
            <w:tcW w:w="529" w:type="pct"/>
            <w:tcBorders>
              <w:tl2br w:val="nil"/>
              <w:tr2bl w:val="nil"/>
            </w:tcBorders>
            <w:vAlign w:val="center"/>
          </w:tcPr>
          <w:p w14:paraId="66FB76E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8.499</w:t>
            </w:r>
          </w:p>
        </w:tc>
        <w:tc>
          <w:tcPr>
            <w:tcW w:w="449" w:type="pct"/>
            <w:tcBorders>
              <w:tl2br w:val="nil"/>
              <w:tr2bl w:val="nil"/>
            </w:tcBorders>
            <w:vAlign w:val="center"/>
          </w:tcPr>
          <w:p w14:paraId="73E2C38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6.562</w:t>
            </w:r>
          </w:p>
        </w:tc>
        <w:tc>
          <w:tcPr>
            <w:tcW w:w="558" w:type="pct"/>
            <w:tcBorders>
              <w:tl2br w:val="nil"/>
              <w:tr2bl w:val="nil"/>
            </w:tcBorders>
            <w:vAlign w:val="center"/>
          </w:tcPr>
          <w:p w14:paraId="0D4916C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70.437</w:t>
            </w:r>
          </w:p>
        </w:tc>
      </w:tr>
      <w:tr w14:paraId="4FF752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44510CF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Capital</w:t>
            </w:r>
          </w:p>
        </w:tc>
        <w:tc>
          <w:tcPr>
            <w:tcW w:w="2312" w:type="pct"/>
            <w:tcBorders>
              <w:tl2br w:val="nil"/>
              <w:tr2bl w:val="nil"/>
            </w:tcBorders>
            <w:vAlign w:val="center"/>
          </w:tcPr>
          <w:p w14:paraId="4E4F743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Year-End Deposit and Loan Balances</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Regional GDP</w:t>
            </w:r>
          </w:p>
        </w:tc>
        <w:tc>
          <w:tcPr>
            <w:tcW w:w="508" w:type="pct"/>
            <w:tcBorders>
              <w:tl2br w:val="nil"/>
              <w:tr2bl w:val="nil"/>
            </w:tcBorders>
            <w:vAlign w:val="center"/>
          </w:tcPr>
          <w:p w14:paraId="06870EB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247.701</w:t>
            </w:r>
          </w:p>
        </w:tc>
        <w:tc>
          <w:tcPr>
            <w:tcW w:w="529" w:type="pct"/>
            <w:tcBorders>
              <w:tl2br w:val="nil"/>
              <w:tr2bl w:val="nil"/>
            </w:tcBorders>
            <w:vAlign w:val="center"/>
          </w:tcPr>
          <w:p w14:paraId="29D9EE0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108.468</w:t>
            </w:r>
          </w:p>
        </w:tc>
        <w:tc>
          <w:tcPr>
            <w:tcW w:w="449" w:type="pct"/>
            <w:tcBorders>
              <w:tl2br w:val="nil"/>
              <w:tr2bl w:val="nil"/>
            </w:tcBorders>
            <w:vAlign w:val="center"/>
          </w:tcPr>
          <w:p w14:paraId="499A80A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96.464</w:t>
            </w:r>
          </w:p>
        </w:tc>
        <w:tc>
          <w:tcPr>
            <w:tcW w:w="558" w:type="pct"/>
            <w:tcBorders>
              <w:tl2br w:val="nil"/>
              <w:tr2bl w:val="nil"/>
            </w:tcBorders>
            <w:vAlign w:val="center"/>
          </w:tcPr>
          <w:p w14:paraId="4016D1F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1117.279</w:t>
            </w:r>
          </w:p>
        </w:tc>
      </w:tr>
      <w:tr w14:paraId="583574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2802150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Regulation</w:t>
            </w:r>
          </w:p>
        </w:tc>
        <w:tc>
          <w:tcPr>
            <w:tcW w:w="2312" w:type="pct"/>
            <w:tcBorders>
              <w:tl2br w:val="nil"/>
              <w:tr2bl w:val="nil"/>
            </w:tcBorders>
            <w:vAlign w:val="center"/>
          </w:tcPr>
          <w:p w14:paraId="346FCC0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Frequency of Energy Consumption-Related Terms in Government Work Reports</w:t>
            </w:r>
          </w:p>
        </w:tc>
        <w:tc>
          <w:tcPr>
            <w:tcW w:w="508" w:type="pct"/>
            <w:tcBorders>
              <w:tl2br w:val="nil"/>
              <w:tr2bl w:val="nil"/>
            </w:tcBorders>
            <w:vAlign w:val="center"/>
          </w:tcPr>
          <w:p w14:paraId="1D1CC50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p>
        </w:tc>
        <w:tc>
          <w:tcPr>
            <w:tcW w:w="529" w:type="pct"/>
            <w:tcBorders>
              <w:tl2br w:val="nil"/>
              <w:tr2bl w:val="nil"/>
            </w:tcBorders>
            <w:vAlign w:val="center"/>
          </w:tcPr>
          <w:p w14:paraId="0BB5131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p>
        </w:tc>
        <w:tc>
          <w:tcPr>
            <w:tcW w:w="449" w:type="pct"/>
            <w:tcBorders>
              <w:tl2br w:val="nil"/>
              <w:tr2bl w:val="nil"/>
            </w:tcBorders>
            <w:vAlign w:val="center"/>
          </w:tcPr>
          <w:p w14:paraId="2DC4D2F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p>
        </w:tc>
        <w:tc>
          <w:tcPr>
            <w:tcW w:w="558" w:type="pct"/>
            <w:tcBorders>
              <w:tl2br w:val="nil"/>
              <w:tr2bl w:val="nil"/>
            </w:tcBorders>
            <w:vAlign w:val="center"/>
          </w:tcPr>
          <w:p w14:paraId="4F4D5B2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p>
        </w:tc>
      </w:tr>
    </w:tbl>
    <w:p w14:paraId="160EDA65">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Note: Scope 1 refers to all direct emissions within the city's jurisdiction, primarily including greenhouse gas emissions from transportation and buildings, industrial production processes, agriculture, forestry, and land-use changes, as well as waste management activities. Scope 2 refers to energy-related indirect emissions occurring outside the city's jurisdiction, primarily including emissions from purchased electricity, heating, and/or cooling procured to meet urban consumption. Scope 3 refers to other indirect emissions caused by internal city activities that occur outside the jurisdiction but are not included in Scope 2. This includes greenhouse gas emissions from the production, transportation, use, and waste disposal of all goods purchased by the city from outside its jurisdiction.</w:t>
      </w:r>
    </w:p>
    <w:p w14:paraId="2AFF410D">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p w14:paraId="2AD82D74">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1"/>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0"/>
          <w:szCs w:val="20"/>
          <w:highlight w:val="none"/>
          <w:lang w:eastAsia="zh-CN"/>
          <w14:textFill>
            <w14:solidFill>
              <w14:schemeClr w14:val="tx1">
                <w14:lumMod w14:val="95000"/>
                <w14:lumOff w14:val="5000"/>
              </w14:schemeClr>
            </w14:solidFill>
          </w14:textFill>
        </w:rPr>
        <w:t>Table S11</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 Additional Analyses</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Results</w:t>
      </w:r>
    </w:p>
    <w:tbl>
      <w:tblPr>
        <w:tblStyle w:val="12"/>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66"/>
        <w:gridCol w:w="889"/>
        <w:gridCol w:w="1048"/>
        <w:gridCol w:w="1059"/>
        <w:gridCol w:w="1059"/>
        <w:gridCol w:w="1059"/>
        <w:gridCol w:w="849"/>
        <w:gridCol w:w="1393"/>
      </w:tblGrid>
      <w:tr w14:paraId="15FB6D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restart"/>
            <w:vAlign w:val="center"/>
          </w:tcPr>
          <w:p w14:paraId="1305FA8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0" w:type="auto"/>
            <w:gridSpan w:val="2"/>
            <w:tcBorders>
              <w:bottom w:val="single" w:color="auto" w:sz="4" w:space="0"/>
            </w:tcBorders>
            <w:vAlign w:val="center"/>
          </w:tcPr>
          <w:p w14:paraId="73B2E31C">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Regional</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Carbon Emissions</w:t>
            </w:r>
          </w:p>
        </w:tc>
        <w:tc>
          <w:tcPr>
            <w:tcW w:w="0" w:type="auto"/>
            <w:gridSpan w:val="3"/>
            <w:tcBorders>
              <w:bottom w:val="single" w:color="auto" w:sz="4" w:space="0"/>
            </w:tcBorders>
            <w:vAlign w:val="center"/>
          </w:tcPr>
          <w:p w14:paraId="4E6F4441">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Regional</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Carbon Emission Sources</w:t>
            </w:r>
          </w:p>
        </w:tc>
        <w:tc>
          <w:tcPr>
            <w:tcW w:w="0" w:type="auto"/>
            <w:gridSpan w:val="2"/>
            <w:tcBorders>
              <w:bottom w:val="single" w:color="auto" w:sz="4" w:space="0"/>
            </w:tcBorders>
            <w:vAlign w:val="center"/>
          </w:tcPr>
          <w:p w14:paraId="57F2FD79">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Corporate Carbon Emissions</w:t>
            </w:r>
          </w:p>
        </w:tc>
      </w:tr>
      <w:tr w14:paraId="489CD2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vAlign w:val="center"/>
          </w:tcPr>
          <w:p w14:paraId="19BBA9A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op w:val="single" w:color="auto" w:sz="4" w:space="0"/>
            </w:tcBorders>
            <w:vAlign w:val="center"/>
          </w:tcPr>
          <w:p w14:paraId="3A038A6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w:t>
            </w:r>
          </w:p>
        </w:tc>
        <w:tc>
          <w:tcPr>
            <w:tcW w:w="0" w:type="auto"/>
            <w:tcBorders>
              <w:top w:val="single" w:color="auto" w:sz="4" w:space="0"/>
            </w:tcBorders>
            <w:vAlign w:val="center"/>
          </w:tcPr>
          <w:p w14:paraId="5DB73BB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w:t>
            </w:r>
          </w:p>
        </w:tc>
        <w:tc>
          <w:tcPr>
            <w:tcW w:w="0" w:type="auto"/>
            <w:tcBorders>
              <w:top w:val="single" w:color="auto" w:sz="4" w:space="0"/>
            </w:tcBorders>
            <w:vAlign w:val="center"/>
          </w:tcPr>
          <w:p w14:paraId="601AF0D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(3)</w:t>
            </w:r>
          </w:p>
        </w:tc>
        <w:tc>
          <w:tcPr>
            <w:tcW w:w="0" w:type="auto"/>
            <w:tcBorders>
              <w:top w:val="single" w:color="auto" w:sz="4" w:space="0"/>
            </w:tcBorders>
            <w:vAlign w:val="center"/>
          </w:tcPr>
          <w:p w14:paraId="188EE79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4</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0" w:type="auto"/>
            <w:tcBorders>
              <w:top w:val="single" w:color="auto" w:sz="4" w:space="0"/>
            </w:tcBorders>
            <w:vAlign w:val="center"/>
          </w:tcPr>
          <w:p w14:paraId="3CEA86A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5</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0" w:type="auto"/>
            <w:tcBorders>
              <w:top w:val="single" w:color="auto" w:sz="4" w:space="0"/>
            </w:tcBorders>
            <w:shd w:val="clear" w:color="auto" w:fill="auto"/>
            <w:vAlign w:val="center"/>
          </w:tcPr>
          <w:p w14:paraId="11CD0040">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6</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0" w:type="auto"/>
            <w:tcBorders>
              <w:top w:val="single" w:color="auto" w:sz="4" w:space="0"/>
            </w:tcBorders>
            <w:shd w:val="clear" w:color="auto" w:fill="auto"/>
            <w:vAlign w:val="center"/>
          </w:tcPr>
          <w:p w14:paraId="63E85849">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7</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13B3B2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bottom w:val="single" w:color="auto" w:sz="4" w:space="0"/>
            </w:tcBorders>
            <w:vAlign w:val="center"/>
          </w:tcPr>
          <w:p w14:paraId="2812D6A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bottom w:val="single" w:color="auto" w:sz="4" w:space="0"/>
            </w:tcBorders>
            <w:vAlign w:val="center"/>
          </w:tcPr>
          <w:p w14:paraId="7ED72B5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_ln</w:t>
            </w:r>
          </w:p>
        </w:tc>
        <w:tc>
          <w:tcPr>
            <w:tcW w:w="0" w:type="auto"/>
            <w:tcBorders>
              <w:bottom w:val="single" w:color="auto" w:sz="4" w:space="0"/>
            </w:tcBorders>
            <w:vAlign w:val="center"/>
          </w:tcPr>
          <w:p w14:paraId="16D9B9F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w:t>
            </w:r>
          </w:p>
        </w:tc>
        <w:tc>
          <w:tcPr>
            <w:tcW w:w="0" w:type="auto"/>
            <w:tcBorders>
              <w:bottom w:val="single" w:color="auto" w:sz="4" w:space="0"/>
            </w:tcBorders>
            <w:vAlign w:val="center"/>
          </w:tcPr>
          <w:p w14:paraId="5C98BC6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_gdp1</w:t>
            </w:r>
          </w:p>
        </w:tc>
        <w:tc>
          <w:tcPr>
            <w:tcW w:w="0" w:type="auto"/>
            <w:tcBorders>
              <w:bottom w:val="single" w:color="auto" w:sz="4" w:space="0"/>
            </w:tcBorders>
            <w:vAlign w:val="center"/>
          </w:tcPr>
          <w:p w14:paraId="64F0C9F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_gdp2</w:t>
            </w:r>
          </w:p>
        </w:tc>
        <w:tc>
          <w:tcPr>
            <w:tcW w:w="0" w:type="auto"/>
            <w:tcBorders>
              <w:bottom w:val="single" w:color="auto" w:sz="4" w:space="0"/>
            </w:tcBorders>
            <w:vAlign w:val="center"/>
          </w:tcPr>
          <w:p w14:paraId="0F70D5F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_gdp3</w:t>
            </w:r>
          </w:p>
        </w:tc>
        <w:tc>
          <w:tcPr>
            <w:tcW w:w="0" w:type="auto"/>
            <w:tcBorders>
              <w:bottom w:val="single" w:color="auto" w:sz="4" w:space="0"/>
            </w:tcBorders>
            <w:shd w:val="clear" w:color="auto" w:fill="auto"/>
            <w:vAlign w:val="center"/>
          </w:tcPr>
          <w:p w14:paraId="791F526F">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_ln</w:t>
            </w:r>
          </w:p>
        </w:tc>
        <w:tc>
          <w:tcPr>
            <w:tcW w:w="0" w:type="auto"/>
            <w:tcBorders>
              <w:bottom w:val="single" w:color="auto" w:sz="4" w:space="0"/>
            </w:tcBorders>
            <w:shd w:val="clear" w:color="auto" w:fill="auto"/>
            <w:vAlign w:val="center"/>
          </w:tcPr>
          <w:p w14:paraId="55E80989">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_intensity</w:t>
            </w:r>
          </w:p>
        </w:tc>
      </w:tr>
      <w:tr w14:paraId="2BADB8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auto" w:sz="4" w:space="0"/>
              <w:tl2br w:val="nil"/>
              <w:tr2bl w:val="nil"/>
            </w:tcBorders>
            <w:vAlign w:val="center"/>
          </w:tcPr>
          <w:p w14:paraId="53DE930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EST</w:t>
            </w:r>
          </w:p>
        </w:tc>
        <w:tc>
          <w:tcPr>
            <w:tcW w:w="0" w:type="auto"/>
            <w:tcBorders>
              <w:top w:val="single" w:color="auto" w:sz="4" w:space="0"/>
              <w:tl2br w:val="nil"/>
              <w:tr2bl w:val="nil"/>
            </w:tcBorders>
            <w:vAlign w:val="center"/>
          </w:tcPr>
          <w:p w14:paraId="4265B06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0.009</w:t>
            </w:r>
          </w:p>
        </w:tc>
        <w:tc>
          <w:tcPr>
            <w:tcW w:w="0" w:type="auto"/>
            <w:tcBorders>
              <w:top w:val="single" w:color="auto" w:sz="4" w:space="0"/>
              <w:tl2br w:val="nil"/>
              <w:tr2bl w:val="nil"/>
            </w:tcBorders>
            <w:vAlign w:val="center"/>
          </w:tcPr>
          <w:p w14:paraId="12EA2E2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-0.146</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0" w:type="auto"/>
            <w:tcBorders>
              <w:top w:val="single" w:color="auto" w:sz="4" w:space="0"/>
              <w:tl2br w:val="nil"/>
              <w:tr2bl w:val="nil"/>
            </w:tcBorders>
            <w:vAlign w:val="center"/>
          </w:tcPr>
          <w:p w14:paraId="26A70D6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-0.096</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0" w:type="auto"/>
            <w:tcBorders>
              <w:top w:val="single" w:color="auto" w:sz="4" w:space="0"/>
              <w:tl2br w:val="nil"/>
              <w:tr2bl w:val="nil"/>
            </w:tcBorders>
            <w:vAlign w:val="center"/>
          </w:tcPr>
          <w:p w14:paraId="3B162D8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0.002</w:t>
            </w:r>
          </w:p>
        </w:tc>
        <w:tc>
          <w:tcPr>
            <w:tcW w:w="0" w:type="auto"/>
            <w:tcBorders>
              <w:top w:val="single" w:color="auto" w:sz="4" w:space="0"/>
              <w:tl2br w:val="nil"/>
              <w:tr2bl w:val="nil"/>
            </w:tcBorders>
            <w:vAlign w:val="center"/>
          </w:tcPr>
          <w:p w14:paraId="6BA96C7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-0.052</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0" w:type="auto"/>
            <w:tcBorders>
              <w:top w:val="single" w:color="auto" w:sz="4" w:space="0"/>
              <w:tl2br w:val="nil"/>
              <w:tr2bl w:val="nil"/>
            </w:tcBorders>
            <w:shd w:val="clear" w:color="auto" w:fill="auto"/>
            <w:vAlign w:val="top"/>
          </w:tcPr>
          <w:p w14:paraId="4E40C9C9">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0.060</w:t>
            </w:r>
          </w:p>
        </w:tc>
        <w:tc>
          <w:tcPr>
            <w:tcW w:w="0" w:type="auto"/>
            <w:tcBorders>
              <w:top w:val="single" w:color="auto" w:sz="4" w:space="0"/>
              <w:tl2br w:val="nil"/>
              <w:tr2bl w:val="nil"/>
            </w:tcBorders>
            <w:shd w:val="clear" w:color="auto" w:fill="auto"/>
            <w:vAlign w:val="top"/>
          </w:tcPr>
          <w:p w14:paraId="3D506D21">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-0.357</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0E4A61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vAlign w:val="center"/>
          </w:tcPr>
          <w:p w14:paraId="3921710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09053AF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(0.008)</w:t>
            </w:r>
          </w:p>
        </w:tc>
        <w:tc>
          <w:tcPr>
            <w:tcW w:w="0" w:type="auto"/>
            <w:tcBorders>
              <w:tl2br w:val="nil"/>
              <w:tr2bl w:val="nil"/>
            </w:tcBorders>
            <w:vAlign w:val="center"/>
          </w:tcPr>
          <w:p w14:paraId="748FCB8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(0.060)</w:t>
            </w:r>
          </w:p>
        </w:tc>
        <w:tc>
          <w:tcPr>
            <w:tcW w:w="0" w:type="auto"/>
            <w:tcBorders>
              <w:tl2br w:val="nil"/>
              <w:tr2bl w:val="nil"/>
            </w:tcBorders>
            <w:vAlign w:val="center"/>
          </w:tcPr>
          <w:p w14:paraId="4347835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(0.040)</w:t>
            </w:r>
          </w:p>
        </w:tc>
        <w:tc>
          <w:tcPr>
            <w:tcW w:w="0" w:type="auto"/>
            <w:tcBorders>
              <w:tl2br w:val="nil"/>
              <w:tr2bl w:val="nil"/>
            </w:tcBorders>
            <w:vAlign w:val="center"/>
          </w:tcPr>
          <w:p w14:paraId="46254BB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(0.015)</w:t>
            </w:r>
          </w:p>
        </w:tc>
        <w:tc>
          <w:tcPr>
            <w:tcW w:w="0" w:type="auto"/>
            <w:tcBorders>
              <w:tl2br w:val="nil"/>
              <w:tr2bl w:val="nil"/>
            </w:tcBorders>
            <w:vAlign w:val="center"/>
          </w:tcPr>
          <w:p w14:paraId="7063603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(0.020)</w:t>
            </w:r>
          </w:p>
        </w:tc>
        <w:tc>
          <w:tcPr>
            <w:tcW w:w="0" w:type="auto"/>
            <w:tcBorders>
              <w:tl2br w:val="nil"/>
              <w:tr2bl w:val="nil"/>
            </w:tcBorders>
            <w:shd w:val="clear" w:color="auto" w:fill="auto"/>
            <w:vAlign w:val="top"/>
          </w:tcPr>
          <w:p w14:paraId="486F5C25">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(0.054)</w:t>
            </w:r>
          </w:p>
        </w:tc>
        <w:tc>
          <w:tcPr>
            <w:tcW w:w="0" w:type="auto"/>
            <w:tcBorders>
              <w:tl2br w:val="nil"/>
              <w:tr2bl w:val="nil"/>
            </w:tcBorders>
            <w:shd w:val="clear" w:color="auto" w:fill="auto"/>
            <w:vAlign w:val="top"/>
          </w:tcPr>
          <w:p w14:paraId="37590E5B">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(0.135)</w:t>
            </w:r>
          </w:p>
        </w:tc>
      </w:tr>
      <w:tr w14:paraId="0997AE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5F1CB247">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Treat × Period</w:t>
            </w:r>
          </w:p>
        </w:tc>
        <w:tc>
          <w:tcPr>
            <w:tcW w:w="0" w:type="auto"/>
            <w:tcBorders>
              <w:tl2br w:val="nil"/>
              <w:tr2bl w:val="nil"/>
            </w:tcBorders>
            <w:vAlign w:val="center"/>
          </w:tcPr>
          <w:p w14:paraId="50FB18E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402CE96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1B2F7BB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30F40DA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2A42F8A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shd w:val="clear" w:color="auto" w:fill="auto"/>
            <w:vAlign w:val="top"/>
          </w:tcPr>
          <w:p w14:paraId="0164607E">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-0.021</w:t>
            </w:r>
          </w:p>
        </w:tc>
        <w:tc>
          <w:tcPr>
            <w:tcW w:w="0" w:type="auto"/>
            <w:tcBorders>
              <w:tl2br w:val="nil"/>
              <w:tr2bl w:val="nil"/>
            </w:tcBorders>
            <w:shd w:val="clear" w:color="auto" w:fill="auto"/>
            <w:vAlign w:val="top"/>
          </w:tcPr>
          <w:p w14:paraId="3FAA7AF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0.216</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736695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6C50660A">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0" w:type="auto"/>
            <w:tcBorders>
              <w:tl2br w:val="nil"/>
              <w:tr2bl w:val="nil"/>
            </w:tcBorders>
            <w:vAlign w:val="center"/>
          </w:tcPr>
          <w:p w14:paraId="004015B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4055DCB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4A58A71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5E58F5E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01E50A8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shd w:val="clear" w:color="auto" w:fill="auto"/>
            <w:vAlign w:val="top"/>
          </w:tcPr>
          <w:p w14:paraId="11031741">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(0.020)</w:t>
            </w:r>
          </w:p>
        </w:tc>
        <w:tc>
          <w:tcPr>
            <w:tcW w:w="0" w:type="auto"/>
            <w:tcBorders>
              <w:tl2br w:val="nil"/>
              <w:tr2bl w:val="nil"/>
            </w:tcBorders>
            <w:shd w:val="clear" w:color="auto" w:fill="auto"/>
            <w:vAlign w:val="top"/>
          </w:tcPr>
          <w:p w14:paraId="36354CA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(0.058)</w:t>
            </w:r>
          </w:p>
        </w:tc>
      </w:tr>
      <w:tr w14:paraId="5EE064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5C4C6215">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Treat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0" w:type="auto"/>
            <w:tcBorders>
              <w:tl2br w:val="nil"/>
              <w:tr2bl w:val="nil"/>
            </w:tcBorders>
            <w:vAlign w:val="center"/>
          </w:tcPr>
          <w:p w14:paraId="65946D5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5A21C4F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0CB0076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58D71B4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040D6CD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shd w:val="clear" w:color="auto" w:fill="auto"/>
            <w:vAlign w:val="top"/>
          </w:tcPr>
          <w:p w14:paraId="7C727EF3">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-0.351</w:t>
            </w:r>
          </w:p>
        </w:tc>
        <w:tc>
          <w:tcPr>
            <w:tcW w:w="0" w:type="auto"/>
            <w:tcBorders>
              <w:tl2br w:val="nil"/>
              <w:tr2bl w:val="nil"/>
            </w:tcBorders>
            <w:shd w:val="clear" w:color="auto" w:fill="auto"/>
            <w:vAlign w:val="top"/>
          </w:tcPr>
          <w:p w14:paraId="6CB5B6A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-1.498</w:t>
            </w:r>
          </w:p>
        </w:tc>
      </w:tr>
      <w:tr w14:paraId="0320578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26C323FE">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0" w:type="auto"/>
            <w:tcBorders>
              <w:tl2br w:val="nil"/>
              <w:tr2bl w:val="nil"/>
            </w:tcBorders>
            <w:vAlign w:val="center"/>
          </w:tcPr>
          <w:p w14:paraId="24F0DDA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70202A9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3178A55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11F7B08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4A1EF43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shd w:val="clear" w:color="auto" w:fill="auto"/>
            <w:vAlign w:val="top"/>
          </w:tcPr>
          <w:p w14:paraId="723E618D">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(0.228)</w:t>
            </w:r>
          </w:p>
        </w:tc>
        <w:tc>
          <w:tcPr>
            <w:tcW w:w="0" w:type="auto"/>
            <w:tcBorders>
              <w:tl2br w:val="nil"/>
              <w:tr2bl w:val="nil"/>
            </w:tcBorders>
            <w:shd w:val="clear" w:color="auto" w:fill="auto"/>
            <w:vAlign w:val="top"/>
          </w:tcPr>
          <w:p w14:paraId="73EE7F9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(0.856)</w:t>
            </w:r>
          </w:p>
        </w:tc>
      </w:tr>
      <w:tr w14:paraId="5D087E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1142F024">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Period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0" w:type="auto"/>
            <w:tcBorders>
              <w:tl2br w:val="nil"/>
              <w:tr2bl w:val="nil"/>
            </w:tcBorders>
            <w:vAlign w:val="center"/>
          </w:tcPr>
          <w:p w14:paraId="4DD866C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1856EE4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517CA97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1DCB9FD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63D1E7B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shd w:val="clear" w:color="auto" w:fill="auto"/>
            <w:vAlign w:val="top"/>
          </w:tcPr>
          <w:p w14:paraId="5C08C04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-0.024</w:t>
            </w:r>
          </w:p>
        </w:tc>
        <w:tc>
          <w:tcPr>
            <w:tcW w:w="0" w:type="auto"/>
            <w:tcBorders>
              <w:tl2br w:val="nil"/>
              <w:tr2bl w:val="nil"/>
            </w:tcBorders>
            <w:shd w:val="clear" w:color="auto" w:fill="auto"/>
            <w:vAlign w:val="top"/>
          </w:tcPr>
          <w:p w14:paraId="31ED9A0A">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0.249</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34DDB9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bottom w:val="single" w:color="auto" w:sz="4" w:space="0"/>
              <w:tl2br w:val="nil"/>
              <w:tr2bl w:val="nil"/>
            </w:tcBorders>
            <w:shd w:val="clear" w:color="auto" w:fill="auto"/>
            <w:vAlign w:val="center"/>
          </w:tcPr>
          <w:p w14:paraId="53B84E7F">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0" w:type="auto"/>
            <w:tcBorders>
              <w:bottom w:val="single" w:color="auto" w:sz="4" w:space="0"/>
              <w:tl2br w:val="nil"/>
              <w:tr2bl w:val="nil"/>
            </w:tcBorders>
            <w:vAlign w:val="center"/>
          </w:tcPr>
          <w:p w14:paraId="1A3AE4B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bottom w:val="single" w:color="auto" w:sz="4" w:space="0"/>
              <w:tl2br w:val="nil"/>
              <w:tr2bl w:val="nil"/>
            </w:tcBorders>
            <w:vAlign w:val="center"/>
          </w:tcPr>
          <w:p w14:paraId="2480F6F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bottom w:val="single" w:color="auto" w:sz="4" w:space="0"/>
              <w:tl2br w:val="nil"/>
              <w:tr2bl w:val="nil"/>
            </w:tcBorders>
            <w:vAlign w:val="center"/>
          </w:tcPr>
          <w:p w14:paraId="3B4957B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bottom w:val="single" w:color="auto" w:sz="4" w:space="0"/>
              <w:tl2br w:val="nil"/>
              <w:tr2bl w:val="nil"/>
            </w:tcBorders>
            <w:vAlign w:val="center"/>
          </w:tcPr>
          <w:p w14:paraId="0C909A3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bottom w:val="single" w:color="auto" w:sz="4" w:space="0"/>
              <w:tl2br w:val="nil"/>
              <w:tr2bl w:val="nil"/>
            </w:tcBorders>
            <w:vAlign w:val="center"/>
          </w:tcPr>
          <w:p w14:paraId="4160AEF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bottom w:val="single" w:color="auto" w:sz="4" w:space="0"/>
              <w:tl2br w:val="nil"/>
              <w:tr2bl w:val="nil"/>
            </w:tcBorders>
            <w:shd w:val="clear" w:color="auto" w:fill="auto"/>
            <w:vAlign w:val="top"/>
          </w:tcPr>
          <w:p w14:paraId="4CBE4C40">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(0.036)</w:t>
            </w:r>
          </w:p>
        </w:tc>
        <w:tc>
          <w:tcPr>
            <w:tcW w:w="0" w:type="auto"/>
            <w:tcBorders>
              <w:bottom w:val="single" w:color="auto" w:sz="4" w:space="0"/>
              <w:tl2br w:val="nil"/>
              <w:tr2bl w:val="nil"/>
            </w:tcBorders>
            <w:shd w:val="clear" w:color="auto" w:fill="auto"/>
            <w:vAlign w:val="top"/>
          </w:tcPr>
          <w:p w14:paraId="3D40D99D">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(0.117)</w:t>
            </w:r>
          </w:p>
        </w:tc>
      </w:tr>
      <w:tr w14:paraId="147D45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auto" w:sz="4" w:space="0"/>
            </w:tcBorders>
            <w:vAlign w:val="center"/>
          </w:tcPr>
          <w:p w14:paraId="4A0CC82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0" w:type="auto"/>
            <w:tcBorders>
              <w:top w:val="single" w:color="auto" w:sz="4" w:space="0"/>
            </w:tcBorders>
            <w:vAlign w:val="center"/>
          </w:tcPr>
          <w:p w14:paraId="19236F3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op w:val="single" w:color="auto" w:sz="4" w:space="0"/>
            </w:tcBorders>
            <w:vAlign w:val="center"/>
          </w:tcPr>
          <w:p w14:paraId="4B2222D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op w:val="single" w:color="auto" w:sz="4" w:space="0"/>
            </w:tcBorders>
            <w:vAlign w:val="center"/>
          </w:tcPr>
          <w:p w14:paraId="0E1F2B4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op w:val="single" w:color="auto" w:sz="4" w:space="0"/>
            </w:tcBorders>
            <w:vAlign w:val="center"/>
          </w:tcPr>
          <w:p w14:paraId="28C25A7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op w:val="single" w:color="auto" w:sz="4" w:space="0"/>
            </w:tcBorders>
            <w:vAlign w:val="center"/>
          </w:tcPr>
          <w:p w14:paraId="02D176B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op w:val="single" w:color="auto" w:sz="4" w:space="0"/>
            </w:tcBorders>
            <w:shd w:val="clear" w:color="auto" w:fill="auto"/>
            <w:vAlign w:val="center"/>
          </w:tcPr>
          <w:p w14:paraId="0B8AF2C7">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op w:val="single" w:color="auto" w:sz="4" w:space="0"/>
            </w:tcBorders>
            <w:shd w:val="clear" w:color="auto" w:fill="auto"/>
            <w:vAlign w:val="center"/>
          </w:tcPr>
          <w:p w14:paraId="2C473C99">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16358D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vAlign w:val="center"/>
          </w:tcPr>
          <w:p w14:paraId="4074597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City FE</w:t>
            </w:r>
          </w:p>
        </w:tc>
        <w:tc>
          <w:tcPr>
            <w:tcW w:w="0" w:type="auto"/>
            <w:tcBorders>
              <w:tl2br w:val="nil"/>
              <w:tr2bl w:val="nil"/>
            </w:tcBorders>
            <w:vAlign w:val="center"/>
          </w:tcPr>
          <w:p w14:paraId="337D98B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61BBA1A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50CB475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2ADA275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3A35FEC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28DBF36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0E4420F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r>
      <w:tr w14:paraId="5B3D66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vAlign w:val="center"/>
          </w:tcPr>
          <w:p w14:paraId="7E8D227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0" w:type="auto"/>
            <w:tcBorders>
              <w:tl2br w:val="nil"/>
              <w:tr2bl w:val="nil"/>
            </w:tcBorders>
            <w:vAlign w:val="center"/>
          </w:tcPr>
          <w:p w14:paraId="255AF7A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1271C90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66F1256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2A065E4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1138521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shd w:val="clear" w:color="auto" w:fill="auto"/>
            <w:vAlign w:val="center"/>
          </w:tcPr>
          <w:p w14:paraId="716E13FF">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shd w:val="clear" w:color="auto" w:fill="auto"/>
            <w:vAlign w:val="center"/>
          </w:tcPr>
          <w:p w14:paraId="6AAA4046">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42BB4F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30B1E7C2">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0" w:type="auto"/>
            <w:tcBorders>
              <w:tl2br w:val="nil"/>
              <w:tr2bl w:val="nil"/>
            </w:tcBorders>
            <w:vAlign w:val="center"/>
          </w:tcPr>
          <w:p w14:paraId="2FCED800">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42D77109">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22650021">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40951D76">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68D41E6E">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6FE9FEE0">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1B0CE8AB">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46AB71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0DA33EB4">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0" w:type="auto"/>
            <w:tcBorders>
              <w:tl2br w:val="nil"/>
              <w:tr2bl w:val="nil"/>
            </w:tcBorders>
            <w:vAlign w:val="center"/>
          </w:tcPr>
          <w:p w14:paraId="1DD1C65C">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556C9414">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3F17B10E">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13840602">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0DC8F704">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59684C7C">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42151F6A">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7AFE54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1A6ED876">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0" w:type="auto"/>
            <w:tcBorders>
              <w:tl2br w:val="nil"/>
              <w:tr2bl w:val="nil"/>
            </w:tcBorders>
            <w:vAlign w:val="center"/>
          </w:tcPr>
          <w:p w14:paraId="354A1FDE">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100E0430">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382A5440">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5C4DFC53">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2187EBD9">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5E1B215D">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4A78099D">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4BFA99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vAlign w:val="center"/>
          </w:tcPr>
          <w:p w14:paraId="6C253A2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0" w:type="auto"/>
            <w:tcBorders>
              <w:tl2br w:val="nil"/>
              <w:tr2bl w:val="nil"/>
            </w:tcBorders>
            <w:vAlign w:val="center"/>
          </w:tcPr>
          <w:p w14:paraId="68E10B6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1,523</w:t>
            </w:r>
          </w:p>
        </w:tc>
        <w:tc>
          <w:tcPr>
            <w:tcW w:w="0" w:type="auto"/>
            <w:tcBorders>
              <w:tl2br w:val="nil"/>
              <w:tr2bl w:val="nil"/>
            </w:tcBorders>
            <w:vAlign w:val="center"/>
          </w:tcPr>
          <w:p w14:paraId="359045C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1,523</w:t>
            </w:r>
          </w:p>
        </w:tc>
        <w:tc>
          <w:tcPr>
            <w:tcW w:w="0" w:type="auto"/>
            <w:tcBorders>
              <w:tl2br w:val="nil"/>
              <w:tr2bl w:val="nil"/>
            </w:tcBorders>
            <w:vAlign w:val="center"/>
          </w:tcPr>
          <w:p w14:paraId="5F9DD93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1,523</w:t>
            </w:r>
          </w:p>
        </w:tc>
        <w:tc>
          <w:tcPr>
            <w:tcW w:w="0" w:type="auto"/>
            <w:tcBorders>
              <w:tl2br w:val="nil"/>
              <w:tr2bl w:val="nil"/>
            </w:tcBorders>
            <w:vAlign w:val="center"/>
          </w:tcPr>
          <w:p w14:paraId="0BEE487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1,523</w:t>
            </w:r>
          </w:p>
        </w:tc>
        <w:tc>
          <w:tcPr>
            <w:tcW w:w="0" w:type="auto"/>
            <w:tcBorders>
              <w:tl2br w:val="nil"/>
              <w:tr2bl w:val="nil"/>
            </w:tcBorders>
            <w:vAlign w:val="center"/>
          </w:tcPr>
          <w:p w14:paraId="68D2FE5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1,523</w:t>
            </w:r>
          </w:p>
        </w:tc>
        <w:tc>
          <w:tcPr>
            <w:tcW w:w="0" w:type="auto"/>
            <w:tcBorders>
              <w:tl2br w:val="nil"/>
              <w:tr2bl w:val="nil"/>
            </w:tcBorders>
            <w:shd w:val="clear" w:color="auto" w:fill="auto"/>
            <w:vAlign w:val="top"/>
          </w:tcPr>
          <w:p w14:paraId="3A0E642F">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8</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082</w:t>
            </w:r>
          </w:p>
        </w:tc>
        <w:tc>
          <w:tcPr>
            <w:tcW w:w="0" w:type="auto"/>
            <w:tcBorders>
              <w:tl2br w:val="nil"/>
              <w:tr2bl w:val="nil"/>
            </w:tcBorders>
            <w:shd w:val="clear" w:color="auto" w:fill="auto"/>
            <w:vAlign w:val="top"/>
          </w:tcPr>
          <w:p w14:paraId="058B5FCB">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8</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082</w:t>
            </w:r>
          </w:p>
        </w:tc>
      </w:tr>
      <w:tr w14:paraId="2D73F2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vAlign w:val="center"/>
          </w:tcPr>
          <w:p w14:paraId="4F55D55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2</w:t>
            </w:r>
          </w:p>
        </w:tc>
        <w:tc>
          <w:tcPr>
            <w:tcW w:w="0" w:type="auto"/>
            <w:tcBorders>
              <w:tl2br w:val="nil"/>
              <w:tr2bl w:val="nil"/>
            </w:tcBorders>
            <w:vAlign w:val="center"/>
          </w:tcPr>
          <w:p w14:paraId="364AF97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0.974</w:t>
            </w:r>
          </w:p>
        </w:tc>
        <w:tc>
          <w:tcPr>
            <w:tcW w:w="0" w:type="auto"/>
            <w:tcBorders>
              <w:tl2br w:val="nil"/>
              <w:tr2bl w:val="nil"/>
            </w:tcBorders>
            <w:vAlign w:val="center"/>
          </w:tcPr>
          <w:p w14:paraId="1203820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0.982</w:t>
            </w:r>
          </w:p>
        </w:tc>
        <w:tc>
          <w:tcPr>
            <w:tcW w:w="0" w:type="auto"/>
            <w:tcBorders>
              <w:tl2br w:val="nil"/>
              <w:tr2bl w:val="nil"/>
            </w:tcBorders>
            <w:vAlign w:val="center"/>
          </w:tcPr>
          <w:p w14:paraId="098ED0A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0.979</w:t>
            </w:r>
          </w:p>
        </w:tc>
        <w:tc>
          <w:tcPr>
            <w:tcW w:w="0" w:type="auto"/>
            <w:tcBorders>
              <w:tl2br w:val="nil"/>
              <w:tr2bl w:val="nil"/>
            </w:tcBorders>
            <w:vAlign w:val="center"/>
          </w:tcPr>
          <w:p w14:paraId="539C524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0.922</w:t>
            </w:r>
          </w:p>
        </w:tc>
        <w:tc>
          <w:tcPr>
            <w:tcW w:w="0" w:type="auto"/>
            <w:tcBorders>
              <w:tl2br w:val="nil"/>
              <w:tr2bl w:val="nil"/>
            </w:tcBorders>
            <w:vAlign w:val="center"/>
          </w:tcPr>
          <w:p w14:paraId="5D92C91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0.903</w:t>
            </w:r>
          </w:p>
        </w:tc>
        <w:tc>
          <w:tcPr>
            <w:tcW w:w="0" w:type="auto"/>
            <w:tcBorders>
              <w:tl2br w:val="nil"/>
              <w:tr2bl w:val="nil"/>
            </w:tcBorders>
            <w:shd w:val="clear" w:color="auto" w:fill="auto"/>
            <w:vAlign w:val="top"/>
          </w:tcPr>
          <w:p w14:paraId="395775B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0.956</w:t>
            </w:r>
          </w:p>
        </w:tc>
        <w:tc>
          <w:tcPr>
            <w:tcW w:w="0" w:type="auto"/>
            <w:tcBorders>
              <w:tl2br w:val="nil"/>
              <w:tr2bl w:val="nil"/>
            </w:tcBorders>
            <w:shd w:val="clear" w:color="auto" w:fill="auto"/>
            <w:vAlign w:val="top"/>
          </w:tcPr>
          <w:p w14:paraId="1F559A21">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0.177</w:t>
            </w:r>
          </w:p>
        </w:tc>
      </w:tr>
    </w:tbl>
    <w:p w14:paraId="4280883E">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Note: Robust standard errors in parentheses, ***, **, and * indicate significance at the 0.01, 0.05, and 0.1 levels, respectively.</w:t>
      </w:r>
    </w:p>
    <w:p w14:paraId="0ADE541C">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033255A">
      <w:pPr>
        <w:keepNext w:val="0"/>
        <w:keepLines w:val="0"/>
        <w:pageBreakBefore w:val="0"/>
        <w:kinsoku/>
        <w:wordWrap/>
        <w:overflowPunct/>
        <w:topLinePunct w:val="0"/>
        <w:autoSpaceDE/>
        <w:autoSpaceDN/>
        <w:bidi w:val="0"/>
        <w:adjustRightInd/>
        <w:snapToGrid/>
        <w:spacing w:line="400" w:lineRule="exact"/>
        <w:ind w:left="0"/>
        <w:jc w:val="both"/>
        <w:outlineLvl w:val="0"/>
        <w:rPr>
          <w:rFonts w:hint="default"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b/>
          <w:bCs/>
          <w:color w:val="0D0D0D" w:themeColor="text1" w:themeTint="F2"/>
          <w:sz w:val="22"/>
          <w:szCs w:val="22"/>
          <w:highlight w:val="none"/>
          <w14:textFill>
            <w14:solidFill>
              <w14:schemeClr w14:val="tx1">
                <w14:lumMod w14:val="95000"/>
                <w14:lumOff w14:val="5000"/>
              </w14:schemeClr>
            </w14:solidFill>
          </w14:textFill>
        </w:rPr>
        <w:t xml:space="preserve">Supplementary </w:t>
      </w: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Figures</w:t>
      </w:r>
    </w:p>
    <w:p w14:paraId="4FA8C734">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cs="Times New Roman" w:eastAsiaTheme="minorEastAsia"/>
          <w:color w:val="0D0D0D" w:themeColor="text1" w:themeTint="F2"/>
          <w:sz w:val="22"/>
          <w:szCs w:val="22"/>
          <w:highlight w:val="none"/>
          <w:lang w:eastAsia="zh-CN"/>
          <w14:textFill>
            <w14:solidFill>
              <w14:schemeClr w14:val="tx1">
                <w14:lumMod w14:val="95000"/>
                <w14:lumOff w14:val="5000"/>
              </w14:schemeClr>
            </w14:solidFill>
          </w14:textFill>
        </w:rPr>
      </w:pPr>
      <w:r>
        <w:rPr>
          <w:rFonts w:hint="eastAsia" w:ascii="Times New Roman" w:hAnsi="Times New Roman" w:cs="Times New Roman" w:eastAsiaTheme="minorEastAsia"/>
          <w:color w:val="0D0D0D" w:themeColor="text1" w:themeTint="F2"/>
          <w:sz w:val="22"/>
          <w:szCs w:val="22"/>
          <w:highlight w:val="none"/>
          <w:lang w:eastAsia="zh-CN"/>
          <w14:textFill>
            <w14:solidFill>
              <w14:schemeClr w14:val="tx1">
                <w14:lumMod w14:val="95000"/>
                <w14:lumOff w14:val="5000"/>
              </w14:schemeClr>
            </w14:solidFill>
          </w14:textFill>
        </w:rPr>
        <w:drawing>
          <wp:inline distT="0" distB="0" distL="114300" distR="114300">
            <wp:extent cx="5242560" cy="1392555"/>
            <wp:effectExtent l="0" t="0" r="3810" b="0"/>
            <wp:docPr id="2" name="图片 2" descr="3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图_01"/>
                    <pic:cNvPicPr>
                      <a:picLocks noChangeAspect="1"/>
                    </pic:cNvPicPr>
                  </pic:nvPicPr>
                  <pic:blipFill>
                    <a:blip r:embed="rId6"/>
                    <a:stretch>
                      <a:fillRect/>
                    </a:stretch>
                  </pic:blipFill>
                  <pic:spPr>
                    <a:xfrm>
                      <a:off x="0" y="0"/>
                      <a:ext cx="5242560" cy="1392555"/>
                    </a:xfrm>
                    <a:prstGeom prst="rect">
                      <a:avLst/>
                    </a:prstGeom>
                  </pic:spPr>
                </pic:pic>
              </a:graphicData>
            </a:graphic>
          </wp:inline>
        </w:drawing>
      </w:r>
    </w:p>
    <w:p w14:paraId="44A5DCB6">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1"/>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Fig. </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S1</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Balance Test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 Result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w:t>
      </w:r>
    </w:p>
    <w:p w14:paraId="08E82A6C">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p>
    <w:p w14:paraId="18C1959E">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cs="Times New Roman" w:eastAsiaTheme="minorEastAsia"/>
          <w:color w:val="0D0D0D" w:themeColor="text1" w:themeTint="F2"/>
          <w:sz w:val="20"/>
          <w:szCs w:val="20"/>
          <w:highlight w:val="none"/>
          <w:lang w:eastAsia="zh-CN"/>
          <w14:textFill>
            <w14:solidFill>
              <w14:schemeClr w14:val="tx1">
                <w14:lumMod w14:val="95000"/>
                <w14:lumOff w14:val="5000"/>
              </w14:schemeClr>
            </w14:solidFill>
          </w14:textFill>
        </w:rPr>
      </w:pPr>
      <w:r>
        <w:rPr>
          <w:rFonts w:hint="eastAsia" w:ascii="Times New Roman" w:hAnsi="Times New Roman" w:cs="Times New Roman" w:eastAsiaTheme="minorEastAsia"/>
          <w:color w:val="0D0D0D" w:themeColor="text1" w:themeTint="F2"/>
          <w:sz w:val="20"/>
          <w:szCs w:val="20"/>
          <w:highlight w:val="none"/>
          <w:lang w:eastAsia="zh-CN"/>
          <w14:textFill>
            <w14:solidFill>
              <w14:schemeClr w14:val="tx1">
                <w14:lumMod w14:val="95000"/>
                <w14:lumOff w14:val="5000"/>
              </w14:schemeClr>
            </w14:solidFill>
          </w14:textFill>
        </w:rPr>
        <w:drawing>
          <wp:inline distT="0" distB="0" distL="114300" distR="114300">
            <wp:extent cx="5242560" cy="1392555"/>
            <wp:effectExtent l="0" t="0" r="3810" b="0"/>
            <wp:docPr id="3" name="图片 3" descr="3图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图_02"/>
                    <pic:cNvPicPr>
                      <a:picLocks noChangeAspect="1"/>
                    </pic:cNvPicPr>
                  </pic:nvPicPr>
                  <pic:blipFill>
                    <a:blip r:embed="rId7"/>
                    <a:stretch>
                      <a:fillRect/>
                    </a:stretch>
                  </pic:blipFill>
                  <pic:spPr>
                    <a:xfrm>
                      <a:off x="0" y="0"/>
                      <a:ext cx="5242560" cy="1392555"/>
                    </a:xfrm>
                    <a:prstGeom prst="rect">
                      <a:avLst/>
                    </a:prstGeom>
                  </pic:spPr>
                </pic:pic>
              </a:graphicData>
            </a:graphic>
          </wp:inline>
        </w:drawing>
      </w:r>
    </w:p>
    <w:p w14:paraId="34025800">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1"/>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Fig. </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S2</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Joint Support Test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 Result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w:t>
      </w:r>
    </w:p>
    <w:p w14:paraId="7A3FDF23">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9"/>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p>
    <w:p w14:paraId="433907F4">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9"/>
        <w:rPr>
          <w:rFonts w:hint="eastAsia" w:ascii="Times New Roman" w:hAnsi="Times New Roman" w:cs="Times New Roman" w:eastAsiaTheme="minorEastAsia"/>
          <w:color w:val="0D0D0D" w:themeColor="text1" w:themeTint="F2"/>
          <w:sz w:val="20"/>
          <w:szCs w:val="20"/>
          <w:highlight w:val="none"/>
          <w:lang w:eastAsia="zh-CN"/>
          <w14:textFill>
            <w14:solidFill>
              <w14:schemeClr w14:val="tx1">
                <w14:lumMod w14:val="95000"/>
                <w14:lumOff w14:val="5000"/>
              </w14:schemeClr>
            </w14:solidFill>
          </w14:textFill>
        </w:rPr>
      </w:pPr>
      <w:r>
        <w:rPr>
          <w:rFonts w:hint="eastAsia" w:ascii="Times New Roman" w:hAnsi="Times New Roman" w:cs="Times New Roman" w:eastAsiaTheme="minorEastAsia"/>
          <w:color w:val="0D0D0D" w:themeColor="text1" w:themeTint="F2"/>
          <w:sz w:val="20"/>
          <w:szCs w:val="20"/>
          <w:highlight w:val="none"/>
          <w:lang w:eastAsia="zh-CN"/>
          <w14:textFill>
            <w14:solidFill>
              <w14:schemeClr w14:val="tx1">
                <w14:lumMod w14:val="95000"/>
                <w14:lumOff w14:val="5000"/>
              </w14:schemeClr>
            </w14:solidFill>
          </w14:textFill>
        </w:rPr>
        <w:drawing>
          <wp:inline distT="0" distB="0" distL="114300" distR="114300">
            <wp:extent cx="5270500" cy="3836035"/>
            <wp:effectExtent l="0" t="0" r="8255" b="6985"/>
            <wp:docPr id="6" name="图片 6" descr="安慰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安慰剂"/>
                    <pic:cNvPicPr>
                      <a:picLocks noChangeAspect="1"/>
                    </pic:cNvPicPr>
                  </pic:nvPicPr>
                  <pic:blipFill>
                    <a:blip r:embed="rId8"/>
                    <a:stretch>
                      <a:fillRect/>
                    </a:stretch>
                  </pic:blipFill>
                  <pic:spPr>
                    <a:xfrm>
                      <a:off x="0" y="0"/>
                      <a:ext cx="5270500" cy="3836035"/>
                    </a:xfrm>
                    <a:prstGeom prst="rect">
                      <a:avLst/>
                    </a:prstGeom>
                  </pic:spPr>
                </pic:pic>
              </a:graphicData>
            </a:graphic>
          </wp:inline>
        </w:drawing>
      </w:r>
    </w:p>
    <w:p w14:paraId="24C774A6">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1"/>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Fig. </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S3</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Placebo Test</w:t>
      </w:r>
    </w:p>
    <w:p w14:paraId="2F7B6A00">
      <w:pPr>
        <w:keepNext w:val="0"/>
        <w:keepLines w:val="0"/>
        <w:pageBreakBefore w:val="0"/>
        <w:kinsoku/>
        <w:wordWrap/>
        <w:overflowPunct/>
        <w:topLinePunct w:val="0"/>
        <w:autoSpaceDE/>
        <w:autoSpaceDN/>
        <w:bidi w:val="0"/>
        <w:adjustRightInd/>
        <w:snapToGrid/>
        <w:spacing w:line="400" w:lineRule="exact"/>
        <w:ind w:left="0"/>
        <w:jc w:val="both"/>
        <w:outlineLvl w:val="9"/>
        <w:rPr>
          <w:rFonts w:hint="default" w:ascii="Times New Roman" w:hAnsi="Times New Roman" w:eastAsia="宋体" w:cs="Times New Roman"/>
          <w:b/>
          <w:bCs/>
          <w:color w:val="0D0D0D" w:themeColor="text1" w:themeTint="F2"/>
          <w:sz w:val="22"/>
          <w:szCs w:val="22"/>
          <w:highlight w:val="none"/>
          <w14:textFill>
            <w14:solidFill>
              <w14:schemeClr w14:val="tx1">
                <w14:lumMod w14:val="95000"/>
                <w14:lumOff w14:val="5000"/>
              </w14:schemeClr>
            </w14:solidFill>
          </w14:textFill>
        </w:rPr>
      </w:pPr>
    </w:p>
    <w:p w14:paraId="6AC30E2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both"/>
        <w:textAlignment w:val="auto"/>
        <w:rPr>
          <w:rFonts w:hint="eastAsia" w:ascii="Times New Roman" w:hAnsi="Times New Roman" w:eastAsia="宋体" w:cs="Times New Roman"/>
          <w:i/>
          <w:iCs/>
          <w:color w:val="0D0D0D" w:themeColor="text1" w:themeTint="F2"/>
          <w:sz w:val="22"/>
          <w:szCs w:val="22"/>
          <w:highlight w:val="none"/>
          <w:lang w:eastAsia="zh-CN"/>
          <w14:textFill>
            <w14:solidFill>
              <w14:schemeClr w14:val="tx1">
                <w14:lumMod w14:val="95000"/>
                <w14:lumOff w14:val="5000"/>
              </w14:schemeClr>
            </w14:solidFill>
          </w14:textFill>
        </w:rPr>
      </w:pPr>
      <w:r>
        <w:rPr>
          <w:rFonts w:hint="eastAsia" w:ascii="Times New Roman" w:hAnsi="Times New Roman" w:eastAsia="宋体" w:cs="Times New Roman"/>
          <w:i/>
          <w:iCs/>
          <w:color w:val="0D0D0D" w:themeColor="text1" w:themeTint="F2"/>
          <w:sz w:val="22"/>
          <w:szCs w:val="22"/>
          <w:highlight w:val="none"/>
          <w:lang w:eastAsia="zh-CN"/>
          <w14:textFill>
            <w14:solidFill>
              <w14:schemeClr w14:val="tx1">
                <w14:lumMod w14:val="95000"/>
                <w14:lumOff w14:val="5000"/>
              </w14:schemeClr>
            </w14:solidFill>
          </w14:textFill>
        </w:rPr>
        <w:drawing>
          <wp:inline distT="0" distB="0" distL="114300" distR="114300">
            <wp:extent cx="5266690" cy="2021840"/>
            <wp:effectExtent l="0" t="0" r="1270" b="7620"/>
            <wp:docPr id="7" name="图片 7" descr="2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_01(1)"/>
                    <pic:cNvPicPr>
                      <a:picLocks noChangeAspect="1"/>
                    </pic:cNvPicPr>
                  </pic:nvPicPr>
                  <pic:blipFill>
                    <a:blip r:embed="rId9"/>
                    <a:stretch>
                      <a:fillRect/>
                    </a:stretch>
                  </pic:blipFill>
                  <pic:spPr>
                    <a:xfrm>
                      <a:off x="0" y="0"/>
                      <a:ext cx="5266690" cy="2021840"/>
                    </a:xfrm>
                    <a:prstGeom prst="rect">
                      <a:avLst/>
                    </a:prstGeom>
                  </pic:spPr>
                </pic:pic>
              </a:graphicData>
            </a:graphic>
          </wp:inline>
        </w:drawing>
      </w:r>
    </w:p>
    <w:p w14:paraId="4B24DE8A">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1"/>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Fig. </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S4</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Multi-period Parallel Trend Test</w:t>
      </w:r>
    </w:p>
    <w:p w14:paraId="34F6DBAF">
      <w:pPr>
        <w:keepNext w:val="0"/>
        <w:keepLines w:val="0"/>
        <w:pageBreakBefore w:val="0"/>
        <w:kinsoku/>
        <w:wordWrap/>
        <w:overflowPunct/>
        <w:topLinePunct w:val="0"/>
        <w:autoSpaceDE/>
        <w:autoSpaceDN/>
        <w:bidi w:val="0"/>
        <w:adjustRightInd/>
        <w:snapToGrid/>
        <w:spacing w:line="400" w:lineRule="exact"/>
        <w:ind w:left="0"/>
        <w:jc w:val="both"/>
        <w:outlineLvl w:val="9"/>
        <w:rPr>
          <w:rFonts w:hint="default" w:ascii="Times New Roman" w:hAnsi="Times New Roman" w:eastAsia="宋体" w:cs="Times New Roman"/>
          <w:b/>
          <w:bCs/>
          <w:color w:val="0D0D0D" w:themeColor="text1" w:themeTint="F2"/>
          <w:sz w:val="22"/>
          <w:szCs w:val="22"/>
          <w:highlight w:val="none"/>
          <w14:textFill>
            <w14:solidFill>
              <w14:schemeClr w14:val="tx1">
                <w14:lumMod w14:val="95000"/>
                <w14:lumOff w14:val="5000"/>
              </w14:schemeClr>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E06E2FF">
      <w:pPr>
        <w:keepNext w:val="0"/>
        <w:keepLines w:val="0"/>
        <w:pageBreakBefore w:val="0"/>
        <w:kinsoku/>
        <w:wordWrap/>
        <w:overflowPunct/>
        <w:topLinePunct w:val="0"/>
        <w:autoSpaceDE/>
        <w:autoSpaceDN/>
        <w:bidi w:val="0"/>
        <w:adjustRightInd/>
        <w:snapToGrid/>
        <w:spacing w:line="400" w:lineRule="exact"/>
        <w:ind w:left="0"/>
        <w:jc w:val="both"/>
        <w:outlineLvl w:val="0"/>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b/>
          <w:bCs/>
          <w:color w:val="0D0D0D" w:themeColor="text1" w:themeTint="F2"/>
          <w:sz w:val="22"/>
          <w:szCs w:val="22"/>
          <w:highlight w:val="none"/>
          <w14:textFill>
            <w14:solidFill>
              <w14:schemeClr w14:val="tx1">
                <w14:lumMod w14:val="95000"/>
                <w14:lumOff w14:val="5000"/>
              </w14:schemeClr>
            </w14:solidFill>
          </w14:textFill>
        </w:rPr>
        <w:t xml:space="preserve">Supplementary </w:t>
      </w: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Note 1</w:t>
      </w:r>
    </w:p>
    <w:p w14:paraId="4A00F665">
      <w:pPr>
        <w:keepNext w:val="0"/>
        <w:keepLines w:val="0"/>
        <w:pageBreakBefore w:val="0"/>
        <w:kinsoku/>
        <w:wordWrap/>
        <w:overflowPunct/>
        <w:topLinePunct w:val="0"/>
        <w:autoSpaceDE/>
        <w:autoSpaceDN/>
        <w:bidi w:val="0"/>
        <w:adjustRightInd/>
        <w:snapToGrid/>
        <w:spacing w:line="400" w:lineRule="exact"/>
        <w:ind w:left="0"/>
        <w:jc w:val="both"/>
        <w:outlineLvl w:val="1"/>
        <w:rPr>
          <w:rFonts w:hint="default"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1.1 Literature Review</w:t>
      </w:r>
    </w:p>
    <w:p w14:paraId="024E34D3">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The sustainable development and ESG performance of energy-intensive enterprises has drawn growing attention (Bolton &amp; Kacperczyk, 2021; Huang &amp; Ge, 2024; Su &amp; Zhao, 2025). Concurrently, electricity market reforms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a central pillar of energy transition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have been extensively studied, with existing research focusing on price transmission, efficiency gains, and emissions outcomes. While these studies have advanced our understanding of environmental, social, and governance dimensions separately, the specific mechanisms through which price signals translate into measurable ESG improvements remain largely unexamined.</w:t>
      </w:r>
    </w:p>
    <w:p w14:paraId="16E074DB">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Most researchers have primarily focused on the environmental outcomes of electricity market reforms, and within this literature, resource allocation efficiency has played a central role. A consistent body of evidence shows that differential electricity pricing enhances energy efficiency and optimizes production processes (Zheng et al., 2021), that participation in peak shaving and demand response expands corporate revenue streams (Yang et al., 2021), and that real-time pricing drives firms to strengthen energy management and reduce emissions (Rai &amp; Nunn, 2020; Ambec &amp; Crampes, 2021). In the Chinese context, studies also confirm that market-oriented reforms reduce carbon emissions by promoting renewable energy integration (Wang &amp; Wang, 2023; Cheng et al., 2024</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Yi et al., 2024</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However, carbon market policies present a more nuanced picture. For instance, Tan &amp; Lin (2022) noted that carbon trading policies may suppress short-term corporate profits while reducing carbon emissions. Similarly, Zhao et al. (2022)</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a</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and Zhao et al. (2024)</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a</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found that carbon policies incentivize green innovation but may also curb investment, creating a tension between short-term costs and long-term environmental benefits. Despite these robust findings, most studies treat firms as black boxes, leaving the internal mechanisms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particularly how price signals translate into measurable ESG improvements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largely unexplored.</w:t>
      </w:r>
    </w:p>
    <w:p w14:paraId="46F74BF4">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As ESG concepts have gained prominence, some scholars have turned to the social dimension of electricity markets, with particular emphasis on labour and employee governance. Several studies converge on the finding that electricity market development affects human capital accumulation. For example, Vidart (2024) showed historically that electrification shaped labour markets by expanding opportunities for skilled women. Zhao et al. (2024)</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b</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further documented that large-scale electricity infrastructure projects shift employment composition and skill demand, underscoring workforce adaptability. In addition, renewable energy development, carbon pricing, and long-term growth benefits of transmission projects all positively influence or rely on human capital investment (Shi et al., 2026; Sun &amp; Min, 2024). In contrast, Pimentel Da Silva (2021) revealed a gap between CSR disclosure rhetoric and substantive governance practices in energy companies, suggesting that symbolic reporting may not reflect genuine employee-focused improvements. Yet, despite these insights, no existing research has systematically tested whether electricity market reform</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induced price volatility leads to measurable improvements in employee compensation, protection, and training, or whether such improvements mediate social ESG performance.</w:t>
      </w:r>
    </w:p>
    <w:p w14:paraId="063CF2A1">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A parallel stream of research has examined how electricity markets affect corporate cost management and operational governance. On the positive side, smart electricity market designs can minimize both operating costs, for instance through optimized demand response and renewable energy integration (Alhasnawi et al., 2025). Similarly, well</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structured electricity markets can reduce the levelised cost of energy for advanced electro</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fuel systems incorporating carbon capture and utilisation (McDonagh et al., 2019). However, market reforms also introduce challenges, such as liquidity costs and noisy price signals (Graf et al., 2024). More broadly, price volatility creates significant risk management difficulties, including declining derivative liquidity, long memory in returns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and so on</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(Pena, 2023; Flottmann et al., 2024). In China, volatility spillovers across carbon, energy, and electricity markets have been documented (Wang et al., 2024), and carbon allowances can lower downside risk (Vaissalo et al., 2024).</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Nevertheless, these studies focus on financial instruments or aggregate market outcomes rather than operational firm behaviour, and none have examined how firms</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operational responses to price volatility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such as load shifting, real</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time monitoring, and internal control systems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translate into enhanced ESG performance.</w:t>
      </w:r>
    </w:p>
    <w:p w14:paraId="217A6066">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Taken together, these three streams of literature have advanced our understanding of electricity market reforms but remain fragmented across environmental, social, and governance dimensions. The importance of institutional reforms in driving corporate ESG performance has been further highlighted by recent research in the Chinese context (Zhou et al., 2025). Concurrently,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he Coase Theorem and stakeholder theory have been widely applied in energy reform research</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(Wu et al., 2022</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Wang et al., 2025; Torma &amp; Aschemann-Witzel, 2024; Fejzic &amp; Usher, 2025).</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Building on these foundations, the present study integrates a modified Coasean perspective, which explicitly acknowledges transaction costs and government intervention, with stakeholder theory. Rather than treating firms as black boxes, we propose several mechanisms through which EST influences ESG performance. By systematically identifying these causal pathways, this study fills the gap between macroeconomic analyses of electricity market reforms and micro-level understanding of corporate sustainability responses.</w:t>
      </w:r>
    </w:p>
    <w:p w14:paraId="72CE2EC1">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D2DD033">
      <w:pPr>
        <w:keepNext w:val="0"/>
        <w:keepLines w:val="0"/>
        <w:pageBreakBefore w:val="0"/>
        <w:kinsoku/>
        <w:wordWrap/>
        <w:overflowPunct/>
        <w:topLinePunct w:val="0"/>
        <w:autoSpaceDE/>
        <w:autoSpaceDN/>
        <w:bidi w:val="0"/>
        <w:adjustRightInd/>
        <w:snapToGrid/>
        <w:spacing w:line="400" w:lineRule="exact"/>
        <w:ind w:left="0"/>
        <w:jc w:val="both"/>
        <w:outlineLvl w:val="0"/>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b/>
          <w:bCs/>
          <w:color w:val="0D0D0D" w:themeColor="text1" w:themeTint="F2"/>
          <w:sz w:val="22"/>
          <w:szCs w:val="22"/>
          <w:highlight w:val="none"/>
          <w14:textFill>
            <w14:solidFill>
              <w14:schemeClr w14:val="tx1">
                <w14:lumMod w14:val="95000"/>
                <w14:lumOff w14:val="5000"/>
              </w14:schemeClr>
            </w14:solidFill>
          </w14:textFill>
        </w:rPr>
        <w:t xml:space="preserve">Supplementary </w:t>
      </w: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Note 2</w:t>
      </w:r>
    </w:p>
    <w:p w14:paraId="0B31C78E">
      <w:pPr>
        <w:keepNext w:val="0"/>
        <w:keepLines w:val="0"/>
        <w:pageBreakBefore w:val="0"/>
        <w:kinsoku/>
        <w:wordWrap/>
        <w:overflowPunct/>
        <w:topLinePunct w:val="0"/>
        <w:autoSpaceDE/>
        <w:autoSpaceDN/>
        <w:bidi w:val="0"/>
        <w:adjustRightInd/>
        <w:snapToGrid/>
        <w:spacing w:line="400" w:lineRule="exact"/>
        <w:ind w:left="0"/>
        <w:jc w:val="both"/>
        <w:outlineLvl w:val="1"/>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2.1 Institutional Context and</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 xml:space="preserve"> Case</w:t>
      </w:r>
    </w:p>
    <w:p w14:paraId="7F89A9F6">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jc w:val="both"/>
        <w:outlineLvl w:val="2"/>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2.1.1 Institutional Context</w:t>
      </w:r>
    </w:p>
    <w:p w14:paraId="51F935EC">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In August 2017, China issued the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Notice on Launching Pilot Programs for Electricity Spot Market Development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designating eight regions as the first batch of pilot zones for ESMR. According to this document, the first batch of eight pilots was chosen based on local governments</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willingness, preliminary work progress, and regional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conditions,</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including electricity supply-demand dynamics, grid structure, and the degree of marketization. The central government, through the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National Development and Reform Commission</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and the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National Energy Administration</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played a decisive role in designating these regions to ensure representativeness and feasibility.</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In March 2021, China initiated the second batch of pilot programs to further advance the development and refinement of electricity spot markets. Pilot regions for ESMR are listed in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Supplementary Table S</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1. In 2022, China issued the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Guiding Opinions on Accelerating the Construction of a Unified National Electricity Market System</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further promoting the role of electricity markets in supporting the clean energy and low-carbon transition.</w:t>
      </w:r>
    </w:p>
    <w:p w14:paraId="64E89204">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9"/>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Table S1.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Pilot Regions for China's Electricity Spot Markets</w:t>
      </w:r>
    </w:p>
    <w:tbl>
      <w:tblPr>
        <w:tblStyle w:val="13"/>
        <w:tblW w:w="4998" w:type="pct"/>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566"/>
        <w:gridCol w:w="3197"/>
        <w:gridCol w:w="2756"/>
      </w:tblGrid>
      <w:tr w14:paraId="61EF9EB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tcBorders>
              <w:tl2br w:val="nil"/>
              <w:tr2bl w:val="nil"/>
            </w:tcBorders>
            <w:vAlign w:val="center"/>
          </w:tcPr>
          <w:p w14:paraId="3656E44E">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Batch</w:t>
            </w:r>
          </w:p>
        </w:tc>
        <w:tc>
          <w:tcPr>
            <w:tcW w:w="1876" w:type="pct"/>
            <w:tcBorders>
              <w:tl2br w:val="nil"/>
              <w:tr2bl w:val="nil"/>
            </w:tcBorders>
            <w:vAlign w:val="center"/>
          </w:tcPr>
          <w:p w14:paraId="3D579DF4">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Location</w:t>
            </w:r>
          </w:p>
        </w:tc>
        <w:tc>
          <w:tcPr>
            <w:tcW w:w="1617" w:type="pct"/>
            <w:tcBorders>
              <w:tl2br w:val="nil"/>
              <w:tr2bl w:val="nil"/>
            </w:tcBorders>
            <w:vAlign w:val="center"/>
          </w:tcPr>
          <w:p w14:paraId="461B3DE1">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w:t>
            </w:r>
          </w:p>
        </w:tc>
      </w:tr>
      <w:tr w14:paraId="600E584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restart"/>
            <w:tcBorders>
              <w:tl2br w:val="nil"/>
              <w:tr2bl w:val="nil"/>
            </w:tcBorders>
            <w:vAlign w:val="center"/>
          </w:tcPr>
          <w:p w14:paraId="20616771">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First Batch</w:t>
            </w:r>
          </w:p>
        </w:tc>
        <w:tc>
          <w:tcPr>
            <w:tcW w:w="1876" w:type="pct"/>
            <w:vMerge w:val="restart"/>
            <w:tcBorders>
              <w:tl2br w:val="nil"/>
              <w:tr2bl w:val="nil"/>
            </w:tcBorders>
            <w:vAlign w:val="center"/>
          </w:tcPr>
          <w:p w14:paraId="1CB988F3">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Eastern Region</w:t>
            </w:r>
          </w:p>
        </w:tc>
        <w:tc>
          <w:tcPr>
            <w:tcW w:w="1617" w:type="pct"/>
            <w:tcBorders>
              <w:bottom w:val="nil"/>
            </w:tcBorders>
            <w:vAlign w:val="center"/>
          </w:tcPr>
          <w:p w14:paraId="282440E5">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Guangdong</w:t>
            </w:r>
          </w:p>
        </w:tc>
      </w:tr>
      <w:tr w14:paraId="743527F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45C8EF94">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01F47F35">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617" w:type="pct"/>
            <w:tcBorders>
              <w:top w:val="nil"/>
              <w:bottom w:val="nil"/>
            </w:tcBorders>
            <w:vAlign w:val="center"/>
          </w:tcPr>
          <w:p w14:paraId="2CD4D99D">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Zhejiang</w:t>
            </w:r>
          </w:p>
        </w:tc>
      </w:tr>
      <w:tr w14:paraId="5A0A15C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0716B7A6">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00A9BC4A">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617" w:type="pct"/>
            <w:tcBorders>
              <w:top w:val="nil"/>
              <w:bottom w:val="nil"/>
            </w:tcBorders>
            <w:vAlign w:val="center"/>
          </w:tcPr>
          <w:p w14:paraId="76CEBA92">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Shandong</w:t>
            </w:r>
          </w:p>
        </w:tc>
      </w:tr>
      <w:tr w14:paraId="5BC603A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7579BDEC">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734403EE">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617" w:type="pct"/>
            <w:tcBorders>
              <w:top w:val="nil"/>
            </w:tcBorders>
            <w:vAlign w:val="center"/>
          </w:tcPr>
          <w:p w14:paraId="3A75C146">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Fujian</w:t>
            </w:r>
          </w:p>
        </w:tc>
      </w:tr>
      <w:tr w14:paraId="1A5E808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6DC92D30">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tcBorders>
              <w:tl2br w:val="nil"/>
              <w:tr2bl w:val="nil"/>
            </w:tcBorders>
            <w:vAlign w:val="center"/>
          </w:tcPr>
          <w:p w14:paraId="18B3949C">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Central Region</w:t>
            </w:r>
          </w:p>
        </w:tc>
        <w:tc>
          <w:tcPr>
            <w:tcW w:w="1617" w:type="pct"/>
            <w:tcBorders>
              <w:tl2br w:val="nil"/>
              <w:tr2bl w:val="nil"/>
            </w:tcBorders>
            <w:vAlign w:val="center"/>
          </w:tcPr>
          <w:p w14:paraId="747AF8FC">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Shanxi</w:t>
            </w:r>
          </w:p>
        </w:tc>
      </w:tr>
      <w:tr w14:paraId="61E040C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77B8930D">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restart"/>
            <w:tcBorders>
              <w:tl2br w:val="nil"/>
              <w:tr2bl w:val="nil"/>
            </w:tcBorders>
            <w:vAlign w:val="center"/>
          </w:tcPr>
          <w:p w14:paraId="37FDFEAB">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Western Region</w:t>
            </w:r>
          </w:p>
        </w:tc>
        <w:tc>
          <w:tcPr>
            <w:tcW w:w="1617" w:type="pct"/>
            <w:tcBorders>
              <w:bottom w:val="nil"/>
            </w:tcBorders>
            <w:vAlign w:val="center"/>
          </w:tcPr>
          <w:p w14:paraId="249C557B">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Inner Mongolia</w:t>
            </w:r>
          </w:p>
        </w:tc>
      </w:tr>
      <w:tr w14:paraId="2DC89FD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40DD730C">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4A994FC7">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617" w:type="pct"/>
            <w:tcBorders>
              <w:top w:val="nil"/>
              <w:bottom w:val="nil"/>
            </w:tcBorders>
            <w:vAlign w:val="center"/>
          </w:tcPr>
          <w:p w14:paraId="7A06DE10">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Sichuan</w:t>
            </w:r>
          </w:p>
        </w:tc>
      </w:tr>
      <w:tr w14:paraId="6B07268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6086FADE">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1F533558">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617" w:type="pct"/>
            <w:tcBorders>
              <w:top w:val="nil"/>
            </w:tcBorders>
            <w:vAlign w:val="center"/>
          </w:tcPr>
          <w:p w14:paraId="674DD191">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Gansu</w:t>
            </w:r>
          </w:p>
        </w:tc>
      </w:tr>
      <w:tr w14:paraId="0CDD234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restart"/>
            <w:tcBorders>
              <w:tl2br w:val="nil"/>
              <w:tr2bl w:val="nil"/>
            </w:tcBorders>
            <w:vAlign w:val="center"/>
          </w:tcPr>
          <w:p w14:paraId="33E8423E">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Second Batch</w:t>
            </w:r>
          </w:p>
        </w:tc>
        <w:tc>
          <w:tcPr>
            <w:tcW w:w="1876" w:type="pct"/>
            <w:vMerge w:val="restart"/>
            <w:tcBorders>
              <w:tl2br w:val="nil"/>
              <w:tr2bl w:val="nil"/>
            </w:tcBorders>
            <w:vAlign w:val="center"/>
          </w:tcPr>
          <w:p w14:paraId="63EE0DD9">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Eastern Region</w:t>
            </w:r>
          </w:p>
        </w:tc>
        <w:tc>
          <w:tcPr>
            <w:tcW w:w="1617" w:type="pct"/>
            <w:tcBorders>
              <w:bottom w:val="nil"/>
            </w:tcBorders>
            <w:vAlign w:val="center"/>
          </w:tcPr>
          <w:p w14:paraId="683CD22F">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Shanghai</w:t>
            </w:r>
          </w:p>
        </w:tc>
      </w:tr>
      <w:tr w14:paraId="4A6B969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28DCD80A">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391BF9C3">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617" w:type="pct"/>
            <w:tcBorders>
              <w:top w:val="nil"/>
              <w:bottom w:val="nil"/>
            </w:tcBorders>
            <w:vAlign w:val="center"/>
          </w:tcPr>
          <w:p w14:paraId="3EF1FC55">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Jiangsu</w:t>
            </w:r>
          </w:p>
        </w:tc>
      </w:tr>
      <w:tr w14:paraId="66366CE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1013E052">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18A03A8E">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617" w:type="pct"/>
            <w:tcBorders>
              <w:top w:val="nil"/>
            </w:tcBorders>
            <w:vAlign w:val="center"/>
          </w:tcPr>
          <w:p w14:paraId="29E51E38">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Liaoning</w:t>
            </w:r>
          </w:p>
        </w:tc>
      </w:tr>
      <w:tr w14:paraId="2AC5905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01B0E913">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restart"/>
            <w:tcBorders>
              <w:tl2br w:val="nil"/>
              <w:tr2bl w:val="nil"/>
            </w:tcBorders>
            <w:vAlign w:val="center"/>
          </w:tcPr>
          <w:p w14:paraId="477E4EFB">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t>Central Region</w:t>
            </w:r>
          </w:p>
        </w:tc>
        <w:tc>
          <w:tcPr>
            <w:tcW w:w="1617" w:type="pct"/>
            <w:tcBorders>
              <w:bottom w:val="nil"/>
            </w:tcBorders>
            <w:vAlign w:val="center"/>
          </w:tcPr>
          <w:p w14:paraId="70D8E97F">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t>Henan</w:t>
            </w:r>
          </w:p>
        </w:tc>
      </w:tr>
      <w:tr w14:paraId="276D4FA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1300DAC1">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77DCE572">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617" w:type="pct"/>
            <w:tcBorders>
              <w:top w:val="nil"/>
              <w:bottom w:val="nil"/>
            </w:tcBorders>
            <w:vAlign w:val="center"/>
          </w:tcPr>
          <w:p w14:paraId="364CF878">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t>Anhui</w:t>
            </w:r>
          </w:p>
        </w:tc>
      </w:tr>
      <w:tr w14:paraId="304FCD6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exact"/>
        </w:trPr>
        <w:tc>
          <w:tcPr>
            <w:tcW w:w="1506" w:type="pct"/>
            <w:vMerge w:val="continue"/>
            <w:tcBorders>
              <w:tl2br w:val="nil"/>
              <w:tr2bl w:val="nil"/>
            </w:tcBorders>
            <w:vAlign w:val="center"/>
          </w:tcPr>
          <w:p w14:paraId="78024F4E">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876" w:type="pct"/>
            <w:vMerge w:val="continue"/>
            <w:tcBorders>
              <w:tl2br w:val="nil"/>
              <w:tr2bl w:val="nil"/>
            </w:tcBorders>
            <w:vAlign w:val="center"/>
          </w:tcPr>
          <w:p w14:paraId="1DDF769E">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617" w:type="pct"/>
            <w:tcBorders>
              <w:top w:val="nil"/>
            </w:tcBorders>
            <w:vAlign w:val="center"/>
          </w:tcPr>
          <w:p w14:paraId="27C6DBEA">
            <w:pPr>
              <w:keepNext w:val="0"/>
              <w:keepLines w:val="0"/>
              <w:pageBreakBefore w:val="0"/>
              <w:tabs>
                <w:tab w:val="left" w:pos="312"/>
              </w:tabs>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t>Hubei</w:t>
            </w:r>
          </w:p>
        </w:tc>
      </w:tr>
    </w:tbl>
    <w:p w14:paraId="7A4540AB">
      <w:pPr>
        <w:keepNext w:val="0"/>
        <w:keepLines w:val="0"/>
        <w:pageBreakBefore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p>
    <w:p w14:paraId="7E16507C">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Currently, China</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s electricity market has established an integrated system comprising spot markets, medium-to-long-term markets, and ancillary service markets. This system aims to achieve efficient allocation of electricity resources and provides a critical platform for energy-intensive enterprises to participate in market-based transactions. As the core component, the spot market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comprising day-ahead and intraday markets</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generates time-of-use and zone-specific price signals through centralized auctions and bilateral negotiations, guiding enterprises to optimize electricity consumption. Energy-intensive industries such as steel and chemicals play a pivotal role in the power market due to their substantial electricity consumption and persistent load characteristics (Wang &amp; Zhang, 2022).</w:t>
      </w:r>
    </w:p>
    <w:p w14:paraId="25F999DB">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In the day-ahead market, enterprises submit their next-day electricity demand based on production plans. The trading center generates clearing results based on node marginal prices by integrating generation-side bids and system load forecasts, providing clear price guidance for enterprises (Zhao et al., 2022</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b</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The intraday market further signals short-term price fluctuations. Enterprises can leverage demand response mechanisms to reduce load during high-price periods and increase consumption during low-price periods, thereby effectively controlling electricity costs. The ancillary services market enhances grid stability through services like frequency regulation and peak shaving. Energy-intensive enterprises, leveraging their load-adjustable characteristics, actively participate in peak shaving services. By voluntarily reducing loads during peak consumption periods, they not only receive economic compensation but also alleviate grid operational pressures (Wang et al., 2023). Medium-to-long-term markets provide enterprises with guaranteed base electricity volumes and prices, forming risk hedging and strategic complementarity with spot market prices (Guo et al., 2021).</w:t>
      </w:r>
    </w:p>
    <w:p w14:paraId="2534F41F">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This multi-tiered market mechanism drives energy-intensive enterprises to implement refined electricity management and advance energy-saving technological upgrades through real, dynamic electricity price signals. Consequently, EST can reduce energy-intensive enterprises</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electricity costs while promoting their green and low-carbon transformation (Zhang, 2019).</w:t>
      </w:r>
    </w:p>
    <w:p w14:paraId="537DF9C6">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jc w:val="both"/>
        <w:outlineLvl w:val="2"/>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2.1.2 An Illustrative Case: GCL Energy Technology</w:t>
      </w:r>
    </w:p>
    <w:p w14:paraId="528ECD86">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To illustrate how EST translates into specific, measurable firm behaviors and ultimately enhances ESG performance, we examine GCL Energy Technology (002015.SZ), a Chinese listed company deeply engaged in energy asset operation and integrated energy services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According to the firm</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 2025 Sustainability Report report</w:t>
      </w:r>
      <w:r>
        <w:rPr>
          <w:rStyle w:val="16"/>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footnoteReference w:id="0"/>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GCL explicitly identifies rapid development of new business models such as electricity spot market, demand response, and virtual power plants as a major climate opportunity with high impact. Its corresponding strategy involves integrating customer-side power and load resources, building virtual power plant platforms using AI technology, and optimizing bidding strategies to participate in electricity market trading. This direct engagement with EST makes GCL an ideal case for tracing theoretical pathways to observable actions.</w:t>
      </w:r>
    </w:p>
    <w:p w14:paraId="0CE79B59">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First,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GCL systematically carries out energy-saving retrofits by upgrading existing equipment, improving production processes, and building digital intelligent control platforms, thereby achieving intelligent energy management. These efforts effectively reduce energy waste during production and significantly improve overall operational efficiency. The company also focuses on resource-efficient utilization and circular development across the full life cycle of power plant operations, promoting resource recycling and compliant disposal of waste. Through technological optimization, operational efficiency enhancement, and whole-process control, GCL continuously improves resource intensity, refines closed-loop management of energy saving, water saving, material saving, and waste reduction, steadily realizing green environmental protection and circular development. These concrete actions directly correspond to the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e</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nvironmental behavioral indicators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including</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investing in energy</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efficient technologies, optimizing production processes, and participating in demand</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side resource integration.</w:t>
      </w:r>
    </w:p>
    <w:p w14:paraId="2077E347">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Second, to support operational flexibility under volatile electricity prices, GCL advances production and operational optimization through refined energy consumption management. Each subsidiary appoints dedicated energy-saving supervisors, establishes a comprehensive energy-saving supervision network, and assigns clear responsibilities for implementing corporate energy-saving targets. Routine inspections of employees' daily energy use are conducted regularly. Meanwhile, the company organizes periodic energy-saving business training to enhance employees' awareness and operational compliance, and incorporates energy-saving performance into the assessment system, forming a long-term mechanism that combines incentives and constraints. These practices reflect the improved employee training, protection, and performance-linked incentives.</w:t>
      </w:r>
    </w:p>
    <w:p w14:paraId="17F0D2BA">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Third, GCL has issued internal energy management regulations, including the </w:t>
      </w:r>
      <w:r>
        <w:rPr>
          <w:rFonts w:hint="eastAsia" w:ascii="Times New Roman" w:hAnsi="Times New Roman" w:cs="Times New Roman"/>
          <w:i/>
          <w:iCs/>
          <w:color w:val="0D0D0D" w:themeColor="text1" w:themeTint="F2"/>
          <w:sz w:val="22"/>
          <w:szCs w:val="22"/>
          <w:highlight w:val="none"/>
          <w:lang w:val="en-US" w:eastAsia="zh-CN"/>
          <w14:textFill>
            <w14:solidFill>
              <w14:schemeClr w14:val="tx1">
                <w14:lumMod w14:val="95000"/>
                <w14:lumOff w14:val="5000"/>
              </w14:schemeClr>
            </w14:solidFill>
          </w14:textFill>
        </w:rPr>
        <w:t>Energy Conservation Work Management Standard</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the </w:t>
      </w:r>
      <w:r>
        <w:rPr>
          <w:rFonts w:hint="eastAsia" w:ascii="Times New Roman" w:hAnsi="Times New Roman" w:cs="Times New Roman"/>
          <w:i/>
          <w:iCs/>
          <w:color w:val="0D0D0D" w:themeColor="text1" w:themeTint="F2"/>
          <w:sz w:val="22"/>
          <w:szCs w:val="22"/>
          <w:highlight w:val="none"/>
          <w:lang w:val="en-US" w:eastAsia="zh-CN"/>
          <w14:textFill>
            <w14:solidFill>
              <w14:schemeClr w14:val="tx1">
                <w14:lumMod w14:val="95000"/>
                <w14:lumOff w14:val="5000"/>
              </w14:schemeClr>
            </w14:solidFill>
          </w14:textFill>
        </w:rPr>
        <w:t>Energy Conservation, Emission Reduction, and Award/Penalty Management System</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and the </w:t>
      </w:r>
      <w:r>
        <w:rPr>
          <w:rFonts w:hint="eastAsia" w:ascii="Times New Roman" w:hAnsi="Times New Roman" w:cs="Times New Roman"/>
          <w:i/>
          <w:iCs/>
          <w:color w:val="0D0D0D" w:themeColor="text1" w:themeTint="F2"/>
          <w:sz w:val="22"/>
          <w:szCs w:val="22"/>
          <w:highlight w:val="none"/>
          <w:lang w:val="en-US" w:eastAsia="zh-CN"/>
          <w14:textFill>
            <w14:solidFill>
              <w14:schemeClr w14:val="tx1">
                <w14:lumMod w14:val="95000"/>
                <w14:lumOff w14:val="5000"/>
              </w14:schemeClr>
            </w14:solidFill>
          </w14:textFill>
        </w:rPr>
        <w:t>Energy Conservation Technology Supervision and Management Standard</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thereby establishing a robust internal energy management system to ensure the implementation of energy-saving efforts. The production management department and relevant units regularly review and analyze energy consumption reports, conduct monthly electricity and water balance calculations, and continuously inspect and evaluate production equipment to promptly identify abnormal energy use and arrange timely repairs, reducing energy waste at the source. Through these systematic governance practices, the company strengthens its ability to smooth out energy costs and enhance operational stability.</w:t>
      </w:r>
    </w:p>
    <w:p w14:paraId="4E54C76B">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As a result of these EST-driven improvements, the company's Wind ESG rating improved from A to AAA, and its MSCI ESG rating rose from B to BBB in consecutive years. Taken together, GCL's experience provides concrete, traceable evidence that EST price signals induce firms to adopt measurable behaviors across all three ESG dimensions.</w:t>
      </w:r>
    </w:p>
    <w:p w14:paraId="23732CCA">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p>
    <w:p w14:paraId="31ED44D8">
      <w:pPr>
        <w:keepNext w:val="0"/>
        <w:keepLines w:val="0"/>
        <w:pageBreakBefore w:val="0"/>
        <w:kinsoku/>
        <w:wordWrap/>
        <w:overflowPunct/>
        <w:topLinePunct w:val="0"/>
        <w:autoSpaceDE/>
        <w:autoSpaceDN/>
        <w:bidi w:val="0"/>
        <w:adjustRightInd/>
        <w:snapToGrid/>
        <w:spacing w:line="400" w:lineRule="exact"/>
        <w:ind w:left="0"/>
        <w:jc w:val="both"/>
        <w:outlineLvl w:val="1"/>
        <w:rPr>
          <w:rFonts w:hint="default"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2</w:t>
      </w:r>
      <w:r>
        <w:rPr>
          <w:rFonts w:hint="default"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 xml:space="preserve">.2 </w:t>
      </w: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Theoretical Framework</w:t>
      </w:r>
    </w:p>
    <w:p w14:paraId="2EFD3588">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The Coase Theorem provides a foundational lens for understanding how market mechanisms can resolve externalities through property rights clarification and costless bargaining (Coase, 2013). However, as the theorem itself acknowledges, its strong conclusions rely on the assumption of zero transaction costs, a condition rarely met in real-world electricity markets. These markets are characterized by high information asymmetries, contractual incompleteness, and significant government intervention, such as price caps, administrative allocations, and grid access regulations (Cicala, 2015; Joskow, 2008).</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In the context of China</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s ongoing power market reforms, transaction costs remain substantial. Enterprises face learning costs in understanding volatile spot prices, monitoring costs for real-time adjustments, and enforcement costs for demand response commitments. Moreover, the government retains influence over market design, including setting price floors and ceilings, determining renewable dispatch priorities, and managing interprovincial trade barriers.</w:t>
      </w:r>
    </w:p>
    <w:p w14:paraId="4F204DF2">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Consequently, while EST moves allocation toward a Coasean ideal, it operates in a second-best world where price signals are not perfectly transmitted, and firms</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responses are bounded by cognitive limitations, adjustment costs, and institutional frictions (Allcott, 2011). We therefore adopt a modified Coasean perspective</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EST reduces transaction costs without eliminating them, and its effectiveness depends critically on how well market institutions mitigate remaining frictions.</w:t>
      </w:r>
    </w:p>
    <w:p w14:paraId="0DC61DF4">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To complement this economic logic, stakeholder theory explains why price signals translate into heterogeneous ESG responses (Freeman, 2010). Energy-intensive firms face diverse stakeholder pressures from regulators, local communities, employees, investors, and nongovernmental organizations. Each stakeholder group evaluates corporate performance along environmental, social, and governance dimensions (Eccles et al., 2014). EST reshapes these pressures by altering the cost-benefit calculus of ESG investments, but the transmission mechanism is neither automatic nor uniform. Stakeholder theory suggests that firms strategically adopt ESG practices when such practices reduce stakeholder-related risks, for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example,</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community opposition or regulatory fines, or enhance access to stakeholder-provided resources, such as green financing or talent attraction.</w:t>
      </w:r>
    </w:p>
    <w:p w14:paraId="6B021788">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Thus, integrating both theories yields a more nuanced framework</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Coasean price signals create economic incentives for operational adjustments, while stakeholder pressures determine which adjustments are recognized and rewarded as ESG improvements.</w:t>
      </w:r>
    </w:p>
    <w:p w14:paraId="7E6D07DC">
      <w:pPr>
        <w:keepNext w:val="0"/>
        <w:keepLines w:val="0"/>
        <w:pageBreakBefore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p>
    <w:p w14:paraId="2AD315B3">
      <w:pPr>
        <w:keepNext w:val="0"/>
        <w:keepLines w:val="0"/>
        <w:pageBreakBefore w:val="0"/>
        <w:kinsoku/>
        <w:wordWrap/>
        <w:overflowPunct/>
        <w:topLinePunct w:val="0"/>
        <w:autoSpaceDE/>
        <w:autoSpaceDN/>
        <w:bidi w:val="0"/>
        <w:adjustRightInd/>
        <w:snapToGrid/>
        <w:spacing w:line="400" w:lineRule="exact"/>
        <w:ind w:left="0"/>
        <w:jc w:val="both"/>
        <w:outlineLvl w:val="1"/>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2</w:t>
      </w:r>
      <w:r>
        <w:rPr>
          <w:rFonts w:hint="default"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3</w:t>
      </w:r>
      <w:r>
        <w:rPr>
          <w:rFonts w:hint="default"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Research Hypotheses</w:t>
      </w:r>
    </w:p>
    <w:p w14:paraId="3EE6DD1F">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jc w:val="both"/>
        <w:outlineLvl w:val="2"/>
        <w:rPr>
          <w:rFonts w:hint="default" w:ascii="Times New Roman" w:hAnsi="Times New Roman" w:cs="Times New Roman" w:eastAsiaTheme="minorEastAsia"/>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2</w:t>
      </w:r>
      <w:r>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3.1</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 xml:space="preserve"> </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P</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 xml:space="preserve">ositive </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M</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echanism</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s</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 xml:space="preserve"> with </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L</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 xml:space="preserve">ong-term </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O</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rientation</w:t>
      </w:r>
    </w:p>
    <w:p w14:paraId="11B5CC9C">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eastAsiaTheme="minorEastAsia"/>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Theoretically, EST enhances ESG performance through three channels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including</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resource allocation efficiency, employee governance, and operational stability. As mentioned in the case analysis, GCL Energy Technology, which explicitly identifies EST as a major climate opportunity, illustrates these pathways in practice. The firm systematically upgrades equipment and production processes, builds a digital intelligent control platform, and organizes regular energy</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saving training linked to performance evaluation. It also enforces internal energy management standards, such as the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Energy Conservation Work Management Standard</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and continuously reviews energy consumption reports to identify and repair abnormal usage. Through these concrete actions, GCL has raised its ESG ratings significantly. We now elaborate each theoretic mechanism in detail.</w:t>
      </w:r>
    </w:p>
    <w:p w14:paraId="120D2F09">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eastAsia" w:ascii="Times New Roman" w:hAnsi="Times New Roman" w:cs="Times New Roman" w:eastAsiaTheme="minorEastAsia"/>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First, EST can optimize resource allocation for energy-intensive enterprises, thereby driving improvements in their ESG performance. The Coase Theorem posits that efficient pricing mechanisms reduce transaction costs and redirect resources from inefficient to efficient uses. Electricity spot markets reflect the scarcity and spatiotemporal distribution of power resources through day-ahead and real-time pricing signals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(Finn &amp; Fitzpatrick, 2014). These price signals make the marginal cost of electricity visible and time</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varying. To internalize peak</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hour cost spikes, enterprises adjust production schedules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e.g., shifting load to off</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peak periods, invest in energy</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saving technologies, and participate in demand response. This responsiveness not only lowers electricity costs but also reduces carbon emissions and environmental pollution per unit of output (Tang et al., 2023).</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Critically, the effectiveness of this transmission depends on transaction cost levels. Where monitoring and enforcement costs are high, as in firms lacking real-time metering, price signals may be muted and the environmental response weaker.</w:t>
      </w:r>
    </w:p>
    <w:p w14:paraId="49054011">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Stakeholder theory complements this logic by explaining why such efficiency gains translate into improved ESG outcomes. When enterprises reduce pollution through optimized resource allocation, they directly address the environmental concerns of local communities and regulators, thereby establishing a green and responsible image.</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Thus, the mechanism operates only when stakeholder visibility is sufficient to reward such improvements, a boundary condition often overlooked in pure Coasean accounts.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Moreover, spot price signals incentivize enterprises to actively engage in demand-side response by curtailing loads during grid peak periods and shifting consumption to off-peak renewable electricity, thereby promoting clean energy integration (Pinson &amp; Madsen, 2014). This not only helps enterprises achieve environmental goals but also improves community health by reducing pollution emissions, aligning with stakeholder expectations while enhancing governance transparency through disclosure of energy-saving outcomes. Thus, Coasean efficiency gains create the capacity for environmental improvement, while stakeholder pressures provide the motivation to realize and communicate these improvements as part of ESG performance.</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Thus, we propose:</w:t>
      </w:r>
    </w:p>
    <w:p w14:paraId="0523756C">
      <w:pPr>
        <w:keepNext w:val="0"/>
        <w:keepLines w:val="0"/>
        <w:pageBreakBefore w:val="0"/>
        <w:kinsoku/>
        <w:wordWrap/>
        <w:overflowPunct/>
        <w:topLinePunct w:val="0"/>
        <w:autoSpaceDE/>
        <w:autoSpaceDN/>
        <w:bidi w:val="0"/>
        <w:adjustRightInd/>
        <w:snapToGrid/>
        <w:spacing w:line="400" w:lineRule="exact"/>
        <w:ind w:left="0" w:firstLine="442" w:firstLineChars="200"/>
        <w:jc w:val="both"/>
        <w:textAlignment w:val="auto"/>
        <w:rPr>
          <w:rFonts w:hint="default" w:ascii="Times New Roman" w:hAnsi="Times New Roman" w:cs="Times New Roman"/>
          <w:b/>
          <w:bCs/>
          <w:i/>
          <w:iCs/>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b/>
          <w:bCs/>
          <w:i/>
          <w:iCs/>
          <w:color w:val="0D0D0D" w:themeColor="text1" w:themeTint="F2"/>
          <w:sz w:val="22"/>
          <w:szCs w:val="22"/>
          <w:highlight w:val="none"/>
          <w14:textFill>
            <w14:solidFill>
              <w14:schemeClr w14:val="tx1">
                <w14:lumMod w14:val="95000"/>
                <w14:lumOff w14:val="5000"/>
              </w14:schemeClr>
            </w14:solidFill>
          </w14:textFill>
        </w:rPr>
        <w:t>H2a: ES</w:t>
      </w:r>
      <w:r>
        <w:rPr>
          <w:rFonts w:hint="default" w:ascii="Times New Roman" w:hAnsi="Times New Roman" w:cs="Times New Roman"/>
          <w:b/>
          <w:bCs/>
          <w:i/>
          <w:iCs/>
          <w:color w:val="0D0D0D" w:themeColor="text1" w:themeTint="F2"/>
          <w:sz w:val="22"/>
          <w:szCs w:val="22"/>
          <w:highlight w:val="none"/>
          <w:lang w:val="en-US" w:eastAsia="zh-CN"/>
          <w14:textFill>
            <w14:solidFill>
              <w14:schemeClr w14:val="tx1">
                <w14:lumMod w14:val="95000"/>
                <w14:lumOff w14:val="5000"/>
              </w14:schemeClr>
            </w14:solidFill>
          </w14:textFill>
        </w:rPr>
        <w:t>T</w:t>
      </w:r>
      <w:r>
        <w:rPr>
          <w:rFonts w:hint="default" w:ascii="Times New Roman" w:hAnsi="Times New Roman" w:cs="Times New Roman"/>
          <w:b/>
          <w:bCs/>
          <w:i/>
          <w:iCs/>
          <w:color w:val="0D0D0D" w:themeColor="text1" w:themeTint="F2"/>
          <w:sz w:val="22"/>
          <w:szCs w:val="22"/>
          <w:highlight w:val="none"/>
          <w14:textFill>
            <w14:solidFill>
              <w14:schemeClr w14:val="tx1">
                <w14:lumMod w14:val="95000"/>
                <w14:lumOff w14:val="5000"/>
              </w14:schemeClr>
            </w14:solidFill>
          </w14:textFill>
        </w:rPr>
        <w:t xml:space="preserve"> enhances the ESG performance of energy-intensive enterprises by improving resource allocation efficiency.</w:t>
      </w:r>
    </w:p>
    <w:p w14:paraId="78F562FB">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Second, EST can optimize employee governance mechanisms in energy-intensive enterprises, thereby driving improvements in ESG performance. Stakeholder theory emphasizes that employees constitute critical internal stakeholders. Spot trading requires stronger electricity management and scheduling capabilities, prompting internal governance enhancements and workforce restructuring (Zhao et al., 2024</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b</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Bretschger &amp; Jo, 2024). Price volatility makes labor deployed during expensive peak hours relatively more costly. To internalize this differential cost, firms invest in employee compensation and protection to retain a flexible workforce willing to work off</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peak shifts, and increase training expenditure to build real</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time decision</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making skills. On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the one</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hand, enterprises must establish or strengthen energy management departments to enhance employees</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expertise in electricity decision-making and energy efficiency management. These investments in human capital, reflected in higher employee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salaries</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and protection levels as well as increased training expenditure, not only improve labor productivity but also signal commitment to employee development, a core dimension of social performance. On the other hand, through refined electricity scheduling, companies can optimize production planning and labor allocation</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For instance, reducing production shifts during peak pricing periods achieves more efficient human resource deployment, which boosts employee productivity and satisfaction and enables more stable fulfillment of responsibilities toward customers, suppliers, and communities.</w:t>
      </w:r>
    </w:p>
    <w:p w14:paraId="7EB1C740">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The modified Coase Theorem provides the underlying economic logic for these organizational changes. The clear price signals generated by spot markets reduce information asymmetry and internal transaction costs without eliminating them, making it economically rational to reallocate human resources toward higher-value activities and to invest in employee capabilities that yield long-term efficiency gains. However, this logic assumes that firms have the managerial capacity to interpret price signals and redesign work schedules accordingly. In firms with weak internal governance, the employee mechanism may fail despite clear price incentives. The resulting improvements in productivity and workforce stability are not merely cost-saving measures but also mechanisms for meeting stakeholder expectations. When employees perceive that the firm invests in their skills and organizes work efficiently, their trust and commitment increase, reducing turnover and enhancing the firm</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s social reputation. Thus, Coasean price signals create the economic rationale for optimizing human capital, while stakeholder theory explains why such optimization enhances social and governance performance.</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Thus, we propose:</w:t>
      </w:r>
    </w:p>
    <w:p w14:paraId="56F20881">
      <w:pPr>
        <w:keepNext w:val="0"/>
        <w:keepLines w:val="0"/>
        <w:pageBreakBefore w:val="0"/>
        <w:kinsoku/>
        <w:wordWrap/>
        <w:overflowPunct/>
        <w:topLinePunct w:val="0"/>
        <w:autoSpaceDE/>
        <w:autoSpaceDN/>
        <w:bidi w:val="0"/>
        <w:adjustRightInd/>
        <w:snapToGrid/>
        <w:spacing w:line="400" w:lineRule="exact"/>
        <w:ind w:left="0" w:firstLine="442" w:firstLineChars="200"/>
        <w:jc w:val="both"/>
        <w:textAlignment w:val="auto"/>
        <w:rPr>
          <w:rFonts w:hint="default" w:ascii="Times New Roman" w:hAnsi="Times New Roman" w:cs="Times New Roman" w:eastAsiaTheme="minorEastAsia"/>
          <w:b/>
          <w:bCs/>
          <w:i/>
          <w:i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i/>
          <w:iCs/>
          <w:color w:val="0D0D0D" w:themeColor="text1" w:themeTint="F2"/>
          <w:sz w:val="22"/>
          <w:szCs w:val="22"/>
          <w:highlight w:val="none"/>
          <w:lang w:val="en-US" w:eastAsia="zh-CN"/>
          <w14:textFill>
            <w14:solidFill>
              <w14:schemeClr w14:val="tx1">
                <w14:lumMod w14:val="95000"/>
                <w14:lumOff w14:val="5000"/>
              </w14:schemeClr>
            </w14:solidFill>
          </w14:textFill>
        </w:rPr>
        <w:t>H2b: EST enhances the ESG performance of energy-intensive enterprises by strengthening employee governance.</w:t>
      </w:r>
    </w:p>
    <w:p w14:paraId="01CDCAB1">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Third, EST can enhance the operational stability of energy-intensive enterprises, thereby driving improvements in their ESG performance. From a Coasean perspective, spot markets reduce transaction costs and provide continuous price signals that enable enterprises to make more informed and timely adjustments to their operations. Price volatility introduces uncertainty into energy costs. To internalize this risk, firms engage in inter</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temporal arbitrage and invest in real</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time monitoring systems, internal controls, and risk management frameworks.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On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the one</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hand, spot markets provide arbitrage and cost optimization opportunities through price fluctuations. Enterprises can smooth energy costs and reduce cash flow and profit volatility by adjusting production schedules</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reducing loads during high-price periods and increasing consumption during low-price periods (Bushnell et al., 2008). This smoothing of energy expenditures reduces uncertainty in financial planning and enhances the predictability of operating cash flows</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a direct manifestation of reduced transaction costs in energy procurement. On the other hand, to effectively manage spot trading risks, companies must establish robust internal trading systems, strengthen financial oversight, and enhance information disclosure, thereby improving governance transparency and decision-making standardization (Jo &amp; Harjoto, 2012). These governance improvements represent investments in organizational capabilities that further reduce internal transaction costs and information asymmetries.</w:t>
      </w:r>
    </w:p>
    <w:p w14:paraId="73B02C42">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Furthermore, operational stability is conducive to enterprises improving their ESG performance. On the one hand</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g</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reater operational stability reduces earnings volatility and frees up financial resources that would otherwise be consumed by energy cost fluctuations (Ortiz</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de</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Mandojana &amp; Bansal, 2016). Stable cash flows enable firms to make credible long-term commitments to social investments that stakeholders value. Examples include employee training programs, occupational health and safety upgrades, community development projects, and local infrastructure support. Unlike firms facing volatile profits, those with stable cash flows can allocate predictable budgets to social initiatives without jeopardizing core operations.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On the other hand</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o</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perational stability enhances a firm</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s resilience to external shocks, such as grid congestion or fuel price spikes, enabling it to maintain employment, fulfill contracts with local suppliers, and support community services even during periods of market stress. This reliability signals trustworthiness to stakeholders, building reputational capital that pays off in the form of stronger social license to operate, easier recruitment, and lower regulatory scrutiny (Flammer, 2015).</w:t>
      </w:r>
    </w:p>
    <w:p w14:paraId="3460C014">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Stakeholder theory explains that local communities and employees value consistent, predictable corporate behavior because it reduces their own exposure to economic volatility. A firm that avoids sudden layoffs or plant shutdowns due to energy cost spikes earns stakeholder goodwill that is directly reflected in social performance ratings. Thus, Coasean logic explains how spot markets reduce procurement transaction costs and enable operational smoothing, while stakeholder theory explains why the resulting stability, specifically the capacity for long</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term social investment and the demonstration of resilience, meets stakeholder expectations for social responsibility. Thus, we propose:</w:t>
      </w:r>
    </w:p>
    <w:p w14:paraId="53E21169">
      <w:pPr>
        <w:keepNext w:val="0"/>
        <w:keepLines w:val="0"/>
        <w:pageBreakBefore w:val="0"/>
        <w:kinsoku/>
        <w:wordWrap/>
        <w:overflowPunct/>
        <w:topLinePunct w:val="0"/>
        <w:autoSpaceDE/>
        <w:autoSpaceDN/>
        <w:bidi w:val="0"/>
        <w:adjustRightInd/>
        <w:snapToGrid/>
        <w:spacing w:line="400" w:lineRule="exact"/>
        <w:ind w:left="0" w:firstLine="442" w:firstLineChars="200"/>
        <w:jc w:val="both"/>
        <w:textAlignment w:val="auto"/>
        <w:rPr>
          <w:rFonts w:hint="default" w:ascii="Times New Roman" w:hAnsi="Times New Roman" w:cs="Times New Roman"/>
          <w:b/>
          <w:bCs/>
          <w:i/>
          <w:i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i/>
          <w:iCs/>
          <w:color w:val="0D0D0D" w:themeColor="text1" w:themeTint="F2"/>
          <w:sz w:val="22"/>
          <w:szCs w:val="22"/>
          <w:highlight w:val="none"/>
          <w14:textFill>
            <w14:solidFill>
              <w14:schemeClr w14:val="tx1">
                <w14:lumMod w14:val="95000"/>
                <w14:lumOff w14:val="5000"/>
              </w14:schemeClr>
            </w14:solidFill>
          </w14:textFill>
        </w:rPr>
        <w:t>H2c: ES</w:t>
      </w:r>
      <w:r>
        <w:rPr>
          <w:rFonts w:hint="eastAsia" w:ascii="Times New Roman" w:hAnsi="Times New Roman" w:cs="Times New Roman"/>
          <w:b/>
          <w:bCs/>
          <w:i/>
          <w:iCs/>
          <w:color w:val="0D0D0D" w:themeColor="text1" w:themeTint="F2"/>
          <w:sz w:val="22"/>
          <w:szCs w:val="22"/>
          <w:highlight w:val="none"/>
          <w:lang w:val="en-US" w:eastAsia="zh-CN"/>
          <w14:textFill>
            <w14:solidFill>
              <w14:schemeClr w14:val="tx1">
                <w14:lumMod w14:val="95000"/>
                <w14:lumOff w14:val="5000"/>
              </w14:schemeClr>
            </w14:solidFill>
          </w14:textFill>
        </w:rPr>
        <w:t>T</w:t>
      </w:r>
      <w:r>
        <w:rPr>
          <w:rFonts w:hint="default" w:ascii="Times New Roman" w:hAnsi="Times New Roman" w:cs="Times New Roman"/>
          <w:b/>
          <w:bCs/>
          <w:i/>
          <w:iCs/>
          <w:color w:val="0D0D0D" w:themeColor="text1" w:themeTint="F2"/>
          <w:sz w:val="22"/>
          <w:szCs w:val="22"/>
          <w:highlight w:val="none"/>
          <w14:textFill>
            <w14:solidFill>
              <w14:schemeClr w14:val="tx1">
                <w14:lumMod w14:val="95000"/>
                <w14:lumOff w14:val="5000"/>
              </w14:schemeClr>
            </w14:solidFill>
          </w14:textFill>
        </w:rPr>
        <w:t xml:space="preserve"> enhances the ESG performance of energy-intensive enterprises by increasing operational stability.</w:t>
      </w:r>
    </w:p>
    <w:p w14:paraId="24B64412">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jc w:val="both"/>
        <w:outlineLvl w:val="2"/>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2</w:t>
      </w:r>
      <w:r>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3</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2</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 xml:space="preserve"> </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Negative Mechanisms with Short-term</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 xml:space="preserve"> </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O</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rientation</w:t>
      </w:r>
    </w:p>
    <w:p w14:paraId="6A094767">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EST may also generate adverse effects on ESG performance by fostering enterprises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short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termism. The volatility and unpredictability of spot electricity prices create an environment conducive to short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 decision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making (Laverty, 1996). W</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e propose that EST activates enterprises' short-termism along both management and investment channels, which in turn undermines ESG performance. Stakeholder theory also provides an additional angle, when stakeholders perceive that the firm has become short-term oriented, they may reduce their trust and cooperation, further damaging the firm's social license to operate and long-term reputation.</w:t>
      </w:r>
    </w:p>
    <w:p w14:paraId="45ECDD40">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First, f</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requent and large price fluctuations in spot markets require managers to constantly monitor and react to immediate price signals. This high</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frequency adjustment focus may crowd out attention to long</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 strategic issues, including ESG initiatives that typically yield benefits over multiple years. Managers facing volatile energy costs may prioritize operational tactics, such as daily production scheduling and load shifting, over developing robust environmental management systems, fostering a long</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 oriented corporate culture, or implementing comprehensive employee welfare programs. Moreover, the need to demonstrate timely responses to price changes can lead to the adoption of decision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making heuristics that favor short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 cost savings over long</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 value creation.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As a result, EST may induce a management style characterized by reduced strategic planning horizons, weakened commitment to sustainability goals, and diminished investment in organizational capabilities that underpin ESG performance</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(Zhang et al., 2025)</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Thus, we propose:</w:t>
      </w:r>
    </w:p>
    <w:p w14:paraId="37664BD1">
      <w:pPr>
        <w:keepNext w:val="0"/>
        <w:keepLines w:val="0"/>
        <w:pageBreakBefore w:val="0"/>
        <w:kinsoku/>
        <w:wordWrap/>
        <w:overflowPunct/>
        <w:topLinePunct w:val="0"/>
        <w:autoSpaceDE/>
        <w:autoSpaceDN/>
        <w:bidi w:val="0"/>
        <w:adjustRightInd/>
        <w:snapToGrid/>
        <w:spacing w:line="400" w:lineRule="exact"/>
        <w:ind w:left="0" w:firstLine="442"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i/>
          <w:iCs/>
          <w:color w:val="0D0D0D" w:themeColor="text1" w:themeTint="F2"/>
          <w:sz w:val="22"/>
          <w:szCs w:val="22"/>
          <w:highlight w:val="none"/>
          <w14:textFill>
            <w14:solidFill>
              <w14:schemeClr w14:val="tx1">
                <w14:lumMod w14:val="95000"/>
                <w14:lumOff w14:val="5000"/>
              </w14:schemeClr>
            </w14:solidFill>
          </w14:textFill>
        </w:rPr>
        <w:t>H3a: EST induces short</w:t>
      </w:r>
      <w:r>
        <w:rPr>
          <w:rFonts w:hint="eastAsia" w:ascii="Times New Roman" w:hAnsi="Times New Roman" w:cs="Times New Roman"/>
          <w:b/>
          <w:bCs/>
          <w:i/>
          <w:iCs/>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b/>
          <w:bCs/>
          <w:i/>
          <w:iCs/>
          <w:color w:val="0D0D0D" w:themeColor="text1" w:themeTint="F2"/>
          <w:sz w:val="22"/>
          <w:szCs w:val="22"/>
          <w:highlight w:val="none"/>
          <w14:textFill>
            <w14:solidFill>
              <w14:schemeClr w14:val="tx1">
                <w14:lumMod w14:val="95000"/>
                <w14:lumOff w14:val="5000"/>
              </w14:schemeClr>
            </w14:solidFill>
          </w14:textFill>
        </w:rPr>
        <w:t>termism in management, which in turn reduces the ESG performance of energy-intensive enterprises.</w:t>
      </w:r>
    </w:p>
    <w:p w14:paraId="531AA6F7">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Second, 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he uncertainty introduced by spot price volatility may also distort corporate investment portfolios. To hedge against energy cost risks and preserve financial flexibility, managers may shift capital away from long</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 illiquid ESG projects toward short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 liquid financial assets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(Lan et al., 2024)</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For example, firms might increase holdings of trading financial assets, available</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for</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sale financial assets, and held</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to</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maturity investments, which can be easily liquidated in response to cash flow needs arising from price spikes. In contrast, investments in pollution abatement equipment, renewable energy facilities, employee training programs, and governance system upgrades typically require substantial upfront commitments and generate returns over extended periods. The perceived risk of being locked into long</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 spending while facing volatile energy costs may discourage such investments.</w:t>
      </w:r>
    </w:p>
    <w:p w14:paraId="5E4F229B">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Furthermore, the pressure to maintain stable earnings in the face of fluctuating energy expenditures can incentivize managers to favor short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 financial assets that smooth reported profits, rather than long</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 productive assets that improve ESG performance but introduce earnings volatility. Consequently, EST may reduce ESG outcomes by crowding out long</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 investments through a portfolio shift toward short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 financial instruments. Thus, we propose:</w:t>
      </w:r>
    </w:p>
    <w:p w14:paraId="4C9DF057">
      <w:pPr>
        <w:keepNext w:val="0"/>
        <w:keepLines w:val="0"/>
        <w:pageBreakBefore w:val="0"/>
        <w:kinsoku/>
        <w:wordWrap/>
        <w:overflowPunct/>
        <w:topLinePunct w:val="0"/>
        <w:autoSpaceDE/>
        <w:autoSpaceDN/>
        <w:bidi w:val="0"/>
        <w:adjustRightInd/>
        <w:snapToGrid/>
        <w:spacing w:line="400" w:lineRule="exact"/>
        <w:ind w:left="0" w:firstLine="442" w:firstLineChars="200"/>
        <w:jc w:val="both"/>
        <w:textAlignment w:val="auto"/>
        <w:rPr>
          <w:rFonts w:hint="default" w:ascii="Times New Roman" w:hAnsi="Times New Roman" w:cs="Times New Roman"/>
          <w:b/>
          <w:bCs/>
          <w:i/>
          <w:iCs/>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b/>
          <w:bCs/>
          <w:i/>
          <w:iCs/>
          <w:color w:val="0D0D0D" w:themeColor="text1" w:themeTint="F2"/>
          <w:sz w:val="22"/>
          <w:szCs w:val="22"/>
          <w:highlight w:val="none"/>
          <w14:textFill>
            <w14:solidFill>
              <w14:schemeClr w14:val="tx1">
                <w14:lumMod w14:val="95000"/>
                <w14:lumOff w14:val="5000"/>
              </w14:schemeClr>
            </w14:solidFill>
          </w14:textFill>
        </w:rPr>
        <w:t>H3b: EST induces short</w:t>
      </w:r>
      <w:r>
        <w:rPr>
          <w:rFonts w:hint="eastAsia" w:ascii="Times New Roman" w:hAnsi="Times New Roman" w:cs="Times New Roman"/>
          <w:b/>
          <w:bCs/>
          <w:i/>
          <w:iCs/>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b/>
          <w:bCs/>
          <w:i/>
          <w:iCs/>
          <w:color w:val="0D0D0D" w:themeColor="text1" w:themeTint="F2"/>
          <w:sz w:val="22"/>
          <w:szCs w:val="22"/>
          <w:highlight w:val="none"/>
          <w14:textFill>
            <w14:solidFill>
              <w14:schemeClr w14:val="tx1">
                <w14:lumMod w14:val="95000"/>
                <w14:lumOff w14:val="5000"/>
              </w14:schemeClr>
            </w14:solidFill>
          </w14:textFill>
        </w:rPr>
        <w:t>termism in investment, which in turn reduces the ESG performance of energy-intensive enterprises.</w:t>
      </w:r>
    </w:p>
    <w:p w14:paraId="28D9061E">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jc w:val="both"/>
        <w:outlineLvl w:val="2"/>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2</w:t>
      </w:r>
      <w:r>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3</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3</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 xml:space="preserve"> </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Heterogeneity Impact: Institutional Environment and Market Competition</w:t>
      </w:r>
    </w:p>
    <w:p w14:paraId="24D82565">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According to the modified Coasean perspective, the effectiveness of price signals in reducing transaction costs and guiding corporate behavior depends critically on the maturity of market institutions and the intensity of competitive pressures. Similarly, stakeholder theory suggests that firms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responsiveness to price signals is shaped by the salience and power of stakeholder expectations, which vary with regional institutional environments and market structures. Therefore, we further examine two contextual factors that may moderate the relationship between EST and ESG performance</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including</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regional marketization and firm</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level supplier concentration.</w:t>
      </w:r>
    </w:p>
    <w:p w14:paraId="19DA8AB9">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First, marketization reflects the degree of economic freedom, the development of factor markets, and the maturity of institutional frameworks. In regions with higher marketization levels, market mechanisms are more fully developed, information asymmetries are lower, and government intervention is more restrained (Cheng et al., 2025). From a modified Coasean perspective, these conditions further reduce the transaction costs that otherwise impede the transmission of price signals. Enterprises in highly marketized regions face fewer administrative distortions, such as price caps or preferential allocations, and thus receive clearer and more reliable signals from spot markets. Consequently, they can more effectively adjust production schedules, invest in energy-efficient technologies, and internalize environmental costs. Moreover, stakeholder pressures from regulators, investors, and local communities are more pronounced in marketized environments, as green finance and public environmental oversight are better developed. This aligns with stakeholder theory. When stakeholders expect rapid environmental improvements, firms are more motivated to translate price signals into tangible ESG actions. Furthermore, higher marketization levels help curb enterprises' short-termism. In well-functioning market environments, firms face stronger long-term oriented incentives from capital markets and stricter external governance, which reduce the likelihood that managers will sacrifice long-term ESG investments for immediate cost savings in response to spot price volatility.</w:t>
      </w:r>
    </w:p>
    <w:p w14:paraId="63A71E7D">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A particularly relevant dimension of marketization is the development level of the non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state</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owned economy. Regions with a strong non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state sector typically exhibit greater market orientation, private sector vitality, and flexibility in resource allocation. Enterprises in such regions are more adaptable to market reforms and more willing to adopt innovative energy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saving technologies. Furthermore, the non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state economy is often subject to stronger competitive pressures and financing constraints, making ESG performance a critical tool for accessing capital and building reputation. At the same time, the non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state sector</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 emphasis on market discipline and long</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 reputation mitigates managerial myopia, as short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 opportunistic behavior would quickly erode stakeholder trust and access to resources. Thus, we propose:</w:t>
      </w:r>
    </w:p>
    <w:p w14:paraId="09652766">
      <w:pPr>
        <w:keepNext w:val="0"/>
        <w:keepLines w:val="0"/>
        <w:pageBreakBefore w:val="0"/>
        <w:kinsoku/>
        <w:wordWrap/>
        <w:overflowPunct/>
        <w:topLinePunct w:val="0"/>
        <w:autoSpaceDE/>
        <w:autoSpaceDN/>
        <w:bidi w:val="0"/>
        <w:adjustRightInd/>
        <w:snapToGrid/>
        <w:spacing w:line="400" w:lineRule="exact"/>
        <w:ind w:left="0" w:firstLine="442" w:firstLineChars="200"/>
        <w:jc w:val="both"/>
        <w:textAlignment w:val="auto"/>
        <w:rPr>
          <w:rFonts w:hint="default" w:ascii="Times New Roman" w:hAnsi="Times New Roman" w:cs="Times New Roman"/>
          <w:b/>
          <w:bCs/>
          <w:i/>
          <w:i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i/>
          <w:iCs/>
          <w:color w:val="0D0D0D" w:themeColor="text1" w:themeTint="F2"/>
          <w:sz w:val="22"/>
          <w:szCs w:val="22"/>
          <w:highlight w:val="none"/>
          <w:lang w:val="en-US" w:eastAsia="zh-CN"/>
          <w14:textFill>
            <w14:solidFill>
              <w14:schemeClr w14:val="tx1">
                <w14:lumMod w14:val="95000"/>
                <w14:lumOff w14:val="5000"/>
              </w14:schemeClr>
            </w14:solidFill>
          </w14:textFill>
        </w:rPr>
        <w:t>H4a: The positive effect of EST on the ESG performance of energy-intensive enterprises is stronger in regions with higher levels of marketization and non</w:t>
      </w:r>
      <w:r>
        <w:rPr>
          <w:rFonts w:hint="eastAsia" w:ascii="Times New Roman" w:hAnsi="Times New Roman" w:cs="Times New Roman"/>
          <w:b/>
          <w:bCs/>
          <w:i/>
          <w:iCs/>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b/>
          <w:bCs/>
          <w:i/>
          <w:iCs/>
          <w:color w:val="0D0D0D" w:themeColor="text1" w:themeTint="F2"/>
          <w:sz w:val="22"/>
          <w:szCs w:val="22"/>
          <w:highlight w:val="none"/>
          <w:lang w:val="en-US" w:eastAsia="zh-CN"/>
          <w14:textFill>
            <w14:solidFill>
              <w14:schemeClr w14:val="tx1">
                <w14:lumMod w14:val="95000"/>
                <w14:lumOff w14:val="5000"/>
              </w14:schemeClr>
            </w14:solidFill>
          </w14:textFill>
        </w:rPr>
        <w:t>state</w:t>
      </w:r>
      <w:r>
        <w:rPr>
          <w:rFonts w:hint="eastAsia" w:ascii="Times New Roman" w:hAnsi="Times New Roman" w:cs="Times New Roman"/>
          <w:b/>
          <w:bCs/>
          <w:i/>
          <w:iCs/>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b/>
          <w:bCs/>
          <w:i/>
          <w:iCs/>
          <w:color w:val="0D0D0D" w:themeColor="text1" w:themeTint="F2"/>
          <w:sz w:val="22"/>
          <w:szCs w:val="22"/>
          <w:highlight w:val="none"/>
          <w:lang w:val="en-US" w:eastAsia="zh-CN"/>
          <w14:textFill>
            <w14:solidFill>
              <w14:schemeClr w14:val="tx1">
                <w14:lumMod w14:val="95000"/>
                <w14:lumOff w14:val="5000"/>
              </w14:schemeClr>
            </w14:solidFill>
          </w14:textFill>
        </w:rPr>
        <w:t>owned economic development.</w:t>
      </w:r>
    </w:p>
    <w:p w14:paraId="5FDD97F2">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Second, l</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ow supplier concentration implies a competitive supplier market, where enterprises have multiple alternative sourcing options and face stronger price and quality competition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(Li et al., 2025)</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Under such competitive conditions, cost control and operational efficiency become paramount for survival and profitability. EST introduces price volatility that amplifies the financial consequences of energy consumption, thereby creating stronger incentives for enterprises to reduce energy costs through demand response, load shifting, and investment in energy efficiency. From a Coasean perspective, competitive markets already feature lower transaction costs in procurement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EST further reduces energy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related transaction costs, and the combined effect enhances resource allocation efficiency.</w:t>
      </w:r>
    </w:p>
    <w:p w14:paraId="2DFD7D8A">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Additionally, in low</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concentration supplier markets, enterprises rely heavily on external financing and public trust. Strong ESG performance helps lower financing costs and differentiate firms from competitors. Stakeholder expectations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from investors, customers, and regulators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are more easily translated into corporate action when competitive pressures leave little room for slack. Intense market competition also serves as a natural check on enterprises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short-termism. When facing strong competitive pressures, firms cannot afford to focus solely on immediate cost reduction at the expense of long-term viability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such short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sighted behavior would quickly lead to loss of market share. Therefore, when supplier concentration is high (i.e., low competition), firms may have less incentive to respond to price signals, as they can pass on energy cost increases to captive suppliers or customers, and short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term thinking may go unchecked. Thus, we propose:</w:t>
      </w:r>
    </w:p>
    <w:p w14:paraId="0A9D0AA5">
      <w:pPr>
        <w:keepNext w:val="0"/>
        <w:keepLines w:val="0"/>
        <w:pageBreakBefore w:val="0"/>
        <w:kinsoku/>
        <w:wordWrap/>
        <w:overflowPunct/>
        <w:topLinePunct w:val="0"/>
        <w:autoSpaceDE/>
        <w:autoSpaceDN/>
        <w:bidi w:val="0"/>
        <w:adjustRightInd/>
        <w:snapToGrid/>
        <w:spacing w:line="400" w:lineRule="exact"/>
        <w:ind w:left="0" w:firstLine="442" w:firstLineChars="200"/>
        <w:jc w:val="both"/>
        <w:textAlignment w:val="auto"/>
        <w:rPr>
          <w:rFonts w:hint="eastAsia" w:ascii="Times New Roman" w:hAnsi="Times New Roman" w:cs="Times New Roman"/>
          <w:b/>
          <w:bCs/>
          <w:i/>
          <w:i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i/>
          <w:iCs/>
          <w:color w:val="0D0D0D" w:themeColor="text1" w:themeTint="F2"/>
          <w:sz w:val="22"/>
          <w:szCs w:val="22"/>
          <w:highlight w:val="none"/>
          <w:lang w:val="en-US" w:eastAsia="zh-CN"/>
          <w14:textFill>
            <w14:solidFill>
              <w14:schemeClr w14:val="tx1">
                <w14:lumMod w14:val="95000"/>
                <w14:lumOff w14:val="5000"/>
              </w14:schemeClr>
            </w14:solidFill>
          </w14:textFill>
        </w:rPr>
        <w:t>H4b: The positive effect of EST on the ESG performance of energy-intensive enterprises is stronger for firms with lower supplier concentration</w:t>
      </w:r>
      <w:r>
        <w:rPr>
          <w:rFonts w:hint="eastAsia" w:ascii="Times New Roman" w:hAnsi="Times New Roman" w:cs="Times New Roman"/>
          <w:b/>
          <w:bCs/>
          <w:i/>
          <w:iCs/>
          <w:color w:val="0D0D0D" w:themeColor="text1" w:themeTint="F2"/>
          <w:sz w:val="22"/>
          <w:szCs w:val="22"/>
          <w:highlight w:val="none"/>
          <w:lang w:val="en-US" w:eastAsia="zh-CN"/>
          <w14:textFill>
            <w14:solidFill>
              <w14:schemeClr w14:val="tx1">
                <w14:lumMod w14:val="95000"/>
                <w14:lumOff w14:val="5000"/>
              </w14:schemeClr>
            </w14:solidFill>
          </w14:textFill>
        </w:rPr>
        <w:t>.</w:t>
      </w:r>
    </w:p>
    <w:p w14:paraId="0C1D4D98">
      <w:pPr>
        <w:keepNext w:val="0"/>
        <w:keepLines w:val="0"/>
        <w:pageBreakBefore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27AD7D0">
      <w:pPr>
        <w:keepNext w:val="0"/>
        <w:keepLines w:val="0"/>
        <w:pageBreakBefore w:val="0"/>
        <w:kinsoku/>
        <w:wordWrap/>
        <w:overflowPunct/>
        <w:topLinePunct w:val="0"/>
        <w:autoSpaceDE/>
        <w:autoSpaceDN/>
        <w:bidi w:val="0"/>
        <w:adjustRightInd/>
        <w:snapToGrid/>
        <w:spacing w:line="400" w:lineRule="exact"/>
        <w:ind w:left="0"/>
        <w:jc w:val="both"/>
        <w:outlineLvl w:val="0"/>
        <w:rPr>
          <w:rFonts w:hint="default"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b/>
          <w:bCs/>
          <w:color w:val="0D0D0D" w:themeColor="text1" w:themeTint="F2"/>
          <w:sz w:val="22"/>
          <w:szCs w:val="22"/>
          <w:highlight w:val="none"/>
          <w14:textFill>
            <w14:solidFill>
              <w14:schemeClr w14:val="tx1">
                <w14:lumMod w14:val="95000"/>
                <w14:lumOff w14:val="5000"/>
              </w14:schemeClr>
            </w14:solidFill>
          </w14:textFill>
        </w:rPr>
        <w:t xml:space="preserve">Supplementary </w:t>
      </w: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Note 3</w:t>
      </w:r>
    </w:p>
    <w:p w14:paraId="216423EE">
      <w:pPr>
        <w:keepNext w:val="0"/>
        <w:keepLines w:val="0"/>
        <w:pageBreakBefore w:val="0"/>
        <w:kinsoku/>
        <w:wordWrap/>
        <w:overflowPunct/>
        <w:topLinePunct w:val="0"/>
        <w:autoSpaceDE/>
        <w:autoSpaceDN/>
        <w:bidi w:val="0"/>
        <w:adjustRightInd/>
        <w:snapToGrid/>
        <w:spacing w:line="400" w:lineRule="exact"/>
        <w:ind w:left="0"/>
        <w:jc w:val="both"/>
        <w:outlineLvl w:val="1"/>
        <w:rPr>
          <w:rFonts w:hint="default"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3.1 Identification Strategy and Addressing Endogeneity</w:t>
      </w:r>
    </w:p>
    <w:p w14:paraId="665BCE87">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The selection of EST pilot regions was not random but based on local governments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willingness, preliminary work progress, and regional conditions. This non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random assignment raises the concern that pre</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existing regional trends correlated with both pilot status and ESG performance could bias conventional DID estimates.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To mitigate this risk, we employ a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DDD</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specification that exploits variation across three dimensions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including</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region distinguishing pilot from non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pilot areas, time distinguishing pre</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reform from post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reform periods, and industry distinguishing energy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intensive sectors from other sectors. The triple interaction term captures the causal effect of EST on energy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intensive enterprises.</w:t>
      </w:r>
    </w:p>
    <w:p w14:paraId="3756AAF1">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Formally, our DDD estimator compares the change in ESG performance of energy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intensive firms in pilot regions against three distinct control groups that isolate different sources of confounding. The first control group consists of non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energy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intensive firms in the same pilot regions. These firms experience the same regional economic shocks and policy environment but are not subject to the EST treatment because their electricity consumption intensity is low. The second control group comprises energy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intensive firms in non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pilot regions. These firms share similar industry characteristics and energy demand patterns but are not exposed to the reform. The third control group includes non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energy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intensive firms in non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pilot regions, which account for common time trends and other unobserved factors.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In addition to the DDD structure, we include a rich set of control variables and multidimensional fixed effects in our regression model. These are described in detail in the following subsections and serve to absorb remaining firm-level, industry-level, and regional heterogeneity that might otherwise confound our estimates.</w:t>
      </w:r>
    </w:p>
    <w:p w14:paraId="7DC7F028">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By subtracting the contemporaneous changes in these three control groups from the change observed in the treatment group, the DDD estimator differences out any bias arising from region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specific time</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invariant heterogeneity such as local economic conditions, industry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specific time</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invariant heterogeneity such as energy intensity, common time trends shared by all regions and industries, region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specific time trends that affect all industries equally, and industry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specific time trends that affect all regions equally. The only remaining variation is the differential effect of EST on energy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intensive firms in pilot regions relative to the counterfactual constructed from the three control groups. This design directly addresses the concern that non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random pilot selection might be correlated with pre</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existing trends, because any such trends that are common to all regions or to all energy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intensive industries are differenced out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p>
    <w:p w14:paraId="76CF7791">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Furthermore, we make several sample design choices that further mitigate endogeneity concerns. Most importantly, we designate the first-batch pilot regions that started in 2017 as the policy-treated regions, and the second-batch pilot regions that started in 2021 as the non-pilot control regions, while excluding enterprises from all other regions. Within this geographic framework, our DDD specification further distinguishes energy-intensive industries from non-energy-intensive industries. This means that the actual treatment effect is identified from energy-intensive firms located in the first-batch pilot regions, compared against three control groups described above. Both batches of pilot regions were selected under the same national criteria, and the only substantive difference between them is the timing of implementation. This choice maximizes the similarity between the policy-treated and non-pilot regions in terms of observable and unobservable regional characteristics, as both sets of regions were deemed qualified for the reform. Using second-batch regions as the geographic control group substantially reduces the risk that our estimates are driven by persistent differences between pilot and non-pilot areas.</w:t>
      </w:r>
    </w:p>
    <w:p w14:paraId="55341C9F">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Additionally, we conduct the parallel trends tests using both an event-study specification and the Honest DID approach. To further address endogeneity and ensure robustness, we implement a set of additional checks. These include instrumental variable estimation to tackle potential reverse causality, propensity score matching combined with DID to balance observable characteristics, placebo tests, controlling for concurrent policy interventions, extending the sample window to 2023 with a multi-period DDD design, and several other robustness exercises. Moreover, we provide direct evidence on real emission reductions. Taken together, these supplementary tests consistently support our main findings and reinforce the causal interpretation of our estimates.</w:t>
      </w:r>
    </w:p>
    <w:p w14:paraId="4B5F56DA">
      <w:pPr>
        <w:keepNext w:val="0"/>
        <w:keepLines w:val="0"/>
        <w:pageBreakBefore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p>
    <w:p w14:paraId="5B34C154">
      <w:pPr>
        <w:keepNext w:val="0"/>
        <w:keepLines w:val="0"/>
        <w:pageBreakBefore w:val="0"/>
        <w:kinsoku/>
        <w:wordWrap/>
        <w:overflowPunct/>
        <w:topLinePunct w:val="0"/>
        <w:autoSpaceDE/>
        <w:autoSpaceDN/>
        <w:bidi w:val="0"/>
        <w:adjustRightInd/>
        <w:snapToGrid/>
        <w:spacing w:line="400" w:lineRule="exact"/>
        <w:ind w:left="0"/>
        <w:jc w:val="both"/>
        <w:outlineLvl w:val="1"/>
        <w:rPr>
          <w:rFonts w:hint="default" w:ascii="Times New Roman" w:hAnsi="Times New Roman" w:cs="Times New Roman" w:eastAsiaTheme="minorEastAsia"/>
          <w:i w:val="0"/>
          <w:iCs w:val="0"/>
          <w:color w:val="0D0D0D" w:themeColor="text1" w:themeTint="F2"/>
          <w:kern w:val="2"/>
          <w:sz w:val="22"/>
          <w:szCs w:val="22"/>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3.2 Benchmark Regression Variables</w:t>
      </w:r>
    </w:p>
    <w:p w14:paraId="20366FD4">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ESG</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serves as the dependent variable, representing the enterprise</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s ESG performance. Drawing on existing research (Li &amp; Zhu, 2024), we measure the ESG performance of sample enterprises using ESG ratings (Huazheng ESG) from Sino-Securities Index Information Service (Shanghai) Co., Ltd. We take the natural logarithm of the Huazheng ESG rating. First, this transformation allows us to interpret the coefficient on our treatment variable as the approximate percentage change in ESG performance, providing a more intuitive measure of economic significance than absolute point changes. Second, the percentage interpretation facilitates meaningful comparisons with the estimated effects of other policies and interventions, enabling us to benchmark the relative effectiveness of EST.</w:t>
      </w:r>
    </w:p>
    <w:p w14:paraId="0AF975B5">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We select the Huazheng ESG rating for three primary reasons. First, compared to international ESG rating systems such as Bloomberg, FTSE Russell, and MSCI, Huazheng ESG covers a substantially broader range of Chinese listed companies, encompassing nearly all A-share listed firms. This comprehensive coverage ensures a larger and more representative sample for our analysis. Second, among domestic ESG rating systems including Hexun.com, SynTao Green Finance, and W</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ind</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the Huazheng ESG rating features an earlier inception and higher update frequency, enabling complete coverage of our study</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s time window while maintaining extensive sample coverage. Third, regarding its methodological framework, Huazheng ESG references international mainstream approaches and practical experiences, incorporates core international ESG principles, and adapts these to China</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s national conditions and capital market characteristics. It designs a comprehensive evaluation</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indicator system comprising </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3</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pillars, 16 themes, and 44 key indicators</w:t>
      </w:r>
      <w:r>
        <w:rPr>
          <w:rStyle w:val="16"/>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footnoteReference w:id="1"/>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Consistent with recent studies on ESG performance in energy-intensive enterprises</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(Peng et al., 2024)</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we adopt the Huazheng ESG rating as our primary measure. We acknowledge the limitations of ESG ratings, including potential divergence across different rating agencies</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H</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owever, the robustness checks using alternative ratings help mitigate such concerns</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Zou</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et al., 202</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5</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Therefore</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we subsequently conduct alternative tests using ESG rating data from Hexun.com.</w:t>
      </w:r>
    </w:p>
    <w:p w14:paraId="67C02AED">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Treat × Period × </w:t>
      </w:r>
      <w:r>
        <w:rPr>
          <w:rFonts w:hint="default" w:ascii="Times New Roman" w:hAnsi="Times New Roman" w:cs="Times New Roman"/>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Energy</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is the explanatory variable for EST, abbreviated as </w:t>
      </w: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EST</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in the following text, constructed using the DDD model. Here, </w:t>
      </w: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Treat</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is a</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dummy</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variable: it takes a value of 1 if the enterprise is registered in one of the first batch of electricity spot market pilot regions in 2017, and 0 otherwise. </w:t>
      </w: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Period</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is a</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dummy</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variable: it takes a value of 1 if the year is 2017 or later, and 0 otherwise. </w:t>
      </w:r>
      <w:r>
        <w:rPr>
          <w:rFonts w:hint="default" w:ascii="Times New Roman" w:hAnsi="Times New Roman" w:cs="Times New Roman"/>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Energy</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is a</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dummy</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variable valued at 1 if the enterprise belongs to an energy-intensive industry, and 0 otherwise. The definition of energy-intensive industries follows the standards of the </w:t>
      </w:r>
      <w:r>
        <w:rPr>
          <w:rFonts w:hint="default" w:ascii="Times New Roman" w:hAnsi="Times New Roman" w:cs="Times New Roman" w:eastAsiaTheme="minorEastAsia"/>
          <w:i w:val="0"/>
          <w:iCs w:val="0"/>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National Bureau of Statistics of China</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cross-referenced with the </w:t>
      </w: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China Securities Regulatory Commission</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CSRC</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i</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ndustry </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c</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lassification (2012 Edition), as detailed in </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Supplementary Table S</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2.</w:t>
      </w:r>
    </w:p>
    <w:p w14:paraId="236C5FC3">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9"/>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Table S2.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Classification of Energy-Intensive Industries</w:t>
      </w:r>
    </w:p>
    <w:tbl>
      <w:tblPr>
        <w:tblStyle w:val="13"/>
        <w:tblW w:w="4998" w:type="pct"/>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585"/>
        <w:gridCol w:w="3361"/>
        <w:gridCol w:w="2573"/>
      </w:tblGrid>
      <w:tr w14:paraId="01F09CD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rPr>
        <w:tc>
          <w:tcPr>
            <w:tcW w:w="1517" w:type="pct"/>
            <w:tcBorders>
              <w:tl2br w:val="nil"/>
              <w:tr2bl w:val="nil"/>
            </w:tcBorders>
            <w:vAlign w:val="center"/>
          </w:tcPr>
          <w:p w14:paraId="422E746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Primary Category</w:t>
            </w:r>
          </w:p>
        </w:tc>
        <w:tc>
          <w:tcPr>
            <w:tcW w:w="1972" w:type="pct"/>
            <w:tcBorders>
              <w:tl2br w:val="nil"/>
              <w:tr2bl w:val="nil"/>
            </w:tcBorders>
            <w:vAlign w:val="center"/>
          </w:tcPr>
          <w:p w14:paraId="4BEDC36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Secondary Category</w:t>
            </w:r>
          </w:p>
        </w:tc>
        <w:tc>
          <w:tcPr>
            <w:tcW w:w="1510" w:type="pct"/>
            <w:tcBorders>
              <w:tl2br w:val="nil"/>
              <w:tr2bl w:val="nil"/>
            </w:tcBorders>
            <w:vAlign w:val="center"/>
          </w:tcPr>
          <w:p w14:paraId="370399E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Secondary Category Code</w:t>
            </w:r>
          </w:p>
        </w:tc>
      </w:tr>
      <w:tr w14:paraId="2BE4146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rPr>
        <w:tc>
          <w:tcPr>
            <w:tcW w:w="1517" w:type="pct"/>
            <w:vMerge w:val="restart"/>
            <w:tcBorders>
              <w:tl2br w:val="nil"/>
              <w:tr2bl w:val="nil"/>
            </w:tcBorders>
            <w:vAlign w:val="center"/>
          </w:tcPr>
          <w:p w14:paraId="73311C9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Manufacturing</w:t>
            </w:r>
          </w:p>
        </w:tc>
        <w:tc>
          <w:tcPr>
            <w:tcW w:w="1972" w:type="pct"/>
            <w:tcBorders>
              <w:bottom w:val="nil"/>
            </w:tcBorders>
            <w:vAlign w:val="center"/>
          </w:tcPr>
          <w:p w14:paraId="0D93E65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Petroleum, Coal, and Other Fuel Processing</w:t>
            </w:r>
          </w:p>
        </w:tc>
        <w:tc>
          <w:tcPr>
            <w:tcW w:w="1510" w:type="pct"/>
            <w:tcBorders>
              <w:bottom w:val="nil"/>
            </w:tcBorders>
            <w:vAlign w:val="center"/>
          </w:tcPr>
          <w:p w14:paraId="306B479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C25</w:t>
            </w:r>
          </w:p>
        </w:tc>
      </w:tr>
      <w:tr w14:paraId="003B9C9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rPr>
        <w:tc>
          <w:tcPr>
            <w:tcW w:w="1517" w:type="pct"/>
            <w:vMerge w:val="continue"/>
            <w:tcBorders>
              <w:tl2br w:val="nil"/>
              <w:tr2bl w:val="nil"/>
            </w:tcBorders>
            <w:vAlign w:val="center"/>
          </w:tcPr>
          <w:p w14:paraId="20CBEED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72" w:type="pct"/>
            <w:tcBorders>
              <w:top w:val="nil"/>
              <w:bottom w:val="nil"/>
            </w:tcBorders>
            <w:vAlign w:val="center"/>
          </w:tcPr>
          <w:p w14:paraId="5B0A2EE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Chemical Raw Materials and Chemical Products Manufacturing</w:t>
            </w:r>
          </w:p>
        </w:tc>
        <w:tc>
          <w:tcPr>
            <w:tcW w:w="1510" w:type="pct"/>
            <w:tcBorders>
              <w:top w:val="nil"/>
              <w:bottom w:val="nil"/>
            </w:tcBorders>
            <w:vAlign w:val="center"/>
          </w:tcPr>
          <w:p w14:paraId="1F98971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C26</w:t>
            </w:r>
          </w:p>
        </w:tc>
      </w:tr>
      <w:tr w14:paraId="196DA13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rPr>
        <w:tc>
          <w:tcPr>
            <w:tcW w:w="1517" w:type="pct"/>
            <w:vMerge w:val="continue"/>
            <w:tcBorders>
              <w:tl2br w:val="nil"/>
              <w:tr2bl w:val="nil"/>
            </w:tcBorders>
            <w:vAlign w:val="center"/>
          </w:tcPr>
          <w:p w14:paraId="6E1A183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72" w:type="pct"/>
            <w:tcBorders>
              <w:top w:val="nil"/>
              <w:bottom w:val="nil"/>
            </w:tcBorders>
            <w:vAlign w:val="center"/>
          </w:tcPr>
          <w:p w14:paraId="062B7F2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Non-metallic Mineral Products Manufacturing</w:t>
            </w:r>
          </w:p>
        </w:tc>
        <w:tc>
          <w:tcPr>
            <w:tcW w:w="1510" w:type="pct"/>
            <w:tcBorders>
              <w:top w:val="nil"/>
              <w:bottom w:val="nil"/>
            </w:tcBorders>
            <w:vAlign w:val="center"/>
          </w:tcPr>
          <w:p w14:paraId="0FCB669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C30</w:t>
            </w:r>
          </w:p>
        </w:tc>
      </w:tr>
      <w:tr w14:paraId="10CBF27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rPr>
        <w:tc>
          <w:tcPr>
            <w:tcW w:w="1517" w:type="pct"/>
            <w:vMerge w:val="continue"/>
            <w:tcBorders>
              <w:tl2br w:val="nil"/>
              <w:tr2bl w:val="nil"/>
            </w:tcBorders>
            <w:vAlign w:val="center"/>
          </w:tcPr>
          <w:p w14:paraId="742AD33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72" w:type="pct"/>
            <w:tcBorders>
              <w:top w:val="nil"/>
              <w:bottom w:val="nil"/>
            </w:tcBorders>
            <w:vAlign w:val="center"/>
          </w:tcPr>
          <w:p w14:paraId="79081C0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Ferrous Metal Smelting and Rolling Processing</w:t>
            </w:r>
          </w:p>
        </w:tc>
        <w:tc>
          <w:tcPr>
            <w:tcW w:w="1510" w:type="pct"/>
            <w:tcBorders>
              <w:top w:val="nil"/>
              <w:bottom w:val="nil"/>
            </w:tcBorders>
            <w:vAlign w:val="center"/>
          </w:tcPr>
          <w:p w14:paraId="2A0C5ED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C31</w:t>
            </w:r>
          </w:p>
        </w:tc>
      </w:tr>
      <w:tr w14:paraId="5CEBF1D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rPr>
        <w:tc>
          <w:tcPr>
            <w:tcW w:w="1517" w:type="pct"/>
            <w:vMerge w:val="continue"/>
            <w:tcBorders>
              <w:tl2br w:val="nil"/>
              <w:tr2bl w:val="nil"/>
            </w:tcBorders>
            <w:vAlign w:val="center"/>
          </w:tcPr>
          <w:p w14:paraId="0FA6F75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72" w:type="pct"/>
            <w:tcBorders>
              <w:top w:val="nil"/>
            </w:tcBorders>
            <w:vAlign w:val="center"/>
          </w:tcPr>
          <w:p w14:paraId="439F541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Non-ferrous Metal Smelting and Rolling Processing</w:t>
            </w:r>
          </w:p>
        </w:tc>
        <w:tc>
          <w:tcPr>
            <w:tcW w:w="1510" w:type="pct"/>
            <w:tcBorders>
              <w:top w:val="nil"/>
            </w:tcBorders>
            <w:vAlign w:val="center"/>
          </w:tcPr>
          <w:p w14:paraId="2C5946F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C32</w:t>
            </w:r>
          </w:p>
        </w:tc>
      </w:tr>
      <w:tr w14:paraId="1312C45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rPr>
        <w:tc>
          <w:tcPr>
            <w:tcW w:w="1517" w:type="pct"/>
            <w:tcBorders>
              <w:tl2br w:val="nil"/>
              <w:tr2bl w:val="nil"/>
            </w:tcBorders>
            <w:vAlign w:val="center"/>
          </w:tcPr>
          <w:p w14:paraId="34D20E4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Electricity, Heat, Gas, and Water Production and Supply</w:t>
            </w:r>
          </w:p>
        </w:tc>
        <w:tc>
          <w:tcPr>
            <w:tcW w:w="1972" w:type="pct"/>
            <w:tcBorders>
              <w:tl2br w:val="nil"/>
              <w:tr2bl w:val="nil"/>
            </w:tcBorders>
            <w:vAlign w:val="center"/>
          </w:tcPr>
          <w:p w14:paraId="4FDE403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Electricity and Heat Production and Supply</w:t>
            </w:r>
          </w:p>
        </w:tc>
        <w:tc>
          <w:tcPr>
            <w:tcW w:w="1510" w:type="pct"/>
            <w:tcBorders>
              <w:tl2br w:val="nil"/>
              <w:tr2bl w:val="nil"/>
            </w:tcBorders>
            <w:vAlign w:val="center"/>
          </w:tcPr>
          <w:p w14:paraId="152ED45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D44</w:t>
            </w:r>
          </w:p>
        </w:tc>
      </w:tr>
    </w:tbl>
    <w:p w14:paraId="208FA0CF">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jc w:val="both"/>
        <w:textAlignment w:val="auto"/>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pPr>
    </w:p>
    <w:p w14:paraId="5F5C8079">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Controls</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represent</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s</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a set of potential moderating variables influencing corporate ESG performance. Drawing from existing literature on ESG performance (Li </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&amp;</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Zhu, 2024), we control for the following variables. First, we control for enterprise characteristics and financial metrics. On </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the one</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hand, we control for enterprise size (</w:t>
      </w: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Size</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and listing duration (</w:t>
      </w: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Ltime</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as larger enterprises with longer operational histories typically possess greater capacity and responsibility to enhance ESG performance. On </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the other</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hand, we control for corporate leverage (</w:t>
      </w: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LEV</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and profitability (</w:t>
      </w: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ROA</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as capital structure and profitability are key determinants of core competitiveness and significant factors influencing ESG practices.</w:t>
      </w:r>
    </w:p>
    <w:p w14:paraId="2D5616DB">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Second, we control corporate governance structures</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(Liang &amp; Li, 2025)</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primarily including board size (</w:t>
      </w: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Board</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proportion of independent directors (</w:t>
      </w: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Ind_r</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equity concentration (</w:t>
      </w: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Top1</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ownership structure (</w:t>
      </w: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SOE</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and management shareholding ratio (</w:t>
      </w: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Share</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w:t>
      </w:r>
    </w:p>
    <w:p w14:paraId="4D0C92F4">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jc w:val="both"/>
        <w:textAlignment w:val="auto"/>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In particular, we have also set up a dummy variable to measure whether the enterprise has established a dedicated environmental management system (</w:t>
      </w:r>
      <w:r>
        <w:rPr>
          <w:rFonts w:hint="eastAsia" w:ascii="Times New Roman" w:hAnsi="Times New Roman" w:cs="Times New Roman"/>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EPS</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Corporate governance structures directly impact a company</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s ESG governance level and indirectly influence environmental protection and social responsibility fulfillment by affecting corporate decision-making.</w:t>
      </w:r>
    </w:p>
    <w:p w14:paraId="518017CF">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Third</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we control for regional industrial structure (</w:t>
      </w: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Industry</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and marketization level (</w:t>
      </w:r>
      <w:r>
        <w:rPr>
          <w:rFonts w:hint="default"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Market</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On </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the one</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hand, regional industrial composition and upgrading profoundly shape sustainable development</w:t>
      </w:r>
      <w:r>
        <w:rPr>
          <w:rFonts w:hint="default"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 xml:space="preserve">, </w:t>
      </w:r>
      <w:r>
        <w:rPr>
          <w:rFonts w:hint="default" w:ascii="Times New Roman" w:hAnsi="Times New Roman" w:cs="Times New Roman" w:eastAsiaTheme="minorEastAsia"/>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a higher share of secondary industry GDP correlates with greater pollutant emissions and resource consumption. On the other hand, electricity market transactions inherently represent market-oriented reforms, significantly influenced by regional marketization levels.</w:t>
      </w:r>
    </w:p>
    <w:p w14:paraId="4435799D">
      <w:pPr>
        <w:keepNext w:val="0"/>
        <w:keepLines w:val="0"/>
        <w:pageBreakBefore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p>
    <w:p w14:paraId="1B1AEC4E">
      <w:pPr>
        <w:keepNext w:val="0"/>
        <w:keepLines w:val="0"/>
        <w:pageBreakBefore w:val="0"/>
        <w:kinsoku/>
        <w:wordWrap/>
        <w:overflowPunct/>
        <w:topLinePunct w:val="0"/>
        <w:autoSpaceDE/>
        <w:autoSpaceDN/>
        <w:bidi w:val="0"/>
        <w:adjustRightInd/>
        <w:snapToGrid/>
        <w:spacing w:line="400" w:lineRule="exact"/>
        <w:ind w:left="0"/>
        <w:jc w:val="both"/>
        <w:outlineLvl w:val="1"/>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3.3 Mechanism Variables</w:t>
      </w:r>
    </w:p>
    <w:p w14:paraId="7846EC04">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Resource</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denotes the enterprise</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s resource allocation efficiency. Following Alder (2016), we use total factor productivity (TFP) as a proxy variable. Higher TFP indicates greater resource allocation efficiency. To ensure robustness in mechanism testing, we measure TFP using two methods: OLS and GMM (Wooldridge, 2009), denoted as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Resource_OLS</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and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Resource_GMM</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w:t>
      </w:r>
    </w:p>
    <w:p w14:paraId="55081B32">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1"/>
          <w:szCs w:val="21"/>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Employee</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denotes employee governance effectiveness. </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We analyze this mechanism from two perspectives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including</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employee salary and security levels, and employee training. First, drawing on the enterprise common prosperity index jointly developed by CSMAR and the Sustainable Development and Corporate Social Responsibility Research Team of East China Normal University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(Chen et al., 2025)</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we use its key indicators of employee salary and security to construct an index system (see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Supplementary Table S</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3). We standardize each indicator, then map it to a scale of 0 to 100, and take the average of all indicators as the final score. We then take the logarithm of the scores as the measure of this variable (</w:t>
      </w:r>
      <w:r>
        <w:rPr>
          <w:rFonts w:hint="default" w:ascii="Times New Roman" w:hAnsi="Times New Roman" w:cs="Times New Roman"/>
          <w:i/>
          <w:iCs/>
          <w:color w:val="0D0D0D" w:themeColor="text1" w:themeTint="F2"/>
          <w:sz w:val="22"/>
          <w:szCs w:val="22"/>
          <w:highlight w:val="none"/>
          <w:lang w:val="en-US" w:eastAsia="zh-CN"/>
          <w14:textFill>
            <w14:solidFill>
              <w14:schemeClr w14:val="tx1">
                <w14:lumMod w14:val="95000"/>
                <w14:lumOff w14:val="5000"/>
              </w14:schemeClr>
            </w14:solidFill>
          </w14:textFill>
        </w:rPr>
        <w:t>Employee_SS</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1"/>
          <w:szCs w:val="21"/>
          <w:highlight w:val="none"/>
          <w:lang w:val="en-US" w:eastAsia="zh-CN"/>
          <w14:textFill>
            <w14:solidFill>
              <w14:schemeClr w14:val="tx1">
                <w14:lumMod w14:val="95000"/>
                <w14:lumOff w14:val="5000"/>
              </w14:schemeClr>
            </w14:solidFill>
          </w14:textFill>
        </w:rPr>
        <w:t>Second, we aggregate employee education and training expenses from the detailed sub-accounts of employee compensation payable and scale this by the total number of employees (</w:t>
      </w:r>
      <w:r>
        <w:rPr>
          <w:rFonts w:hint="default" w:ascii="Times New Roman" w:hAnsi="Times New Roman" w:eastAsia="宋体" w:cs="Times New Roman"/>
          <w:i/>
          <w:iCs/>
          <w:color w:val="0D0D0D" w:themeColor="text1" w:themeTint="F2"/>
          <w:sz w:val="21"/>
          <w:szCs w:val="21"/>
          <w:highlight w:val="none"/>
          <w14:textFill>
            <w14:solidFill>
              <w14:schemeClr w14:val="tx1">
                <w14:lumMod w14:val="95000"/>
                <w14:lumOff w14:val="5000"/>
              </w14:schemeClr>
            </w14:solidFill>
          </w14:textFill>
        </w:rPr>
        <w:t>Employee_</w:t>
      </w:r>
      <w:r>
        <w:rPr>
          <w:rFonts w:hint="default" w:ascii="Times New Roman" w:hAnsi="Times New Roman" w:eastAsia="宋体" w:cs="Times New Roman"/>
          <w:i/>
          <w:iCs/>
          <w:color w:val="0D0D0D" w:themeColor="text1" w:themeTint="F2"/>
          <w:sz w:val="21"/>
          <w:szCs w:val="21"/>
          <w:highlight w:val="none"/>
          <w:lang w:val="en-US" w:eastAsia="zh-CN"/>
          <w14:textFill>
            <w14:solidFill>
              <w14:schemeClr w14:val="tx1">
                <w14:lumMod w14:val="95000"/>
                <w14:lumOff w14:val="5000"/>
              </w14:schemeClr>
            </w14:solidFill>
          </w14:textFill>
        </w:rPr>
        <w:t>train</w:t>
      </w:r>
      <w:r>
        <w:rPr>
          <w:rFonts w:hint="default" w:ascii="Times New Roman" w:hAnsi="Times New Roman" w:cs="Times New Roman"/>
          <w:color w:val="0D0D0D" w:themeColor="text1" w:themeTint="F2"/>
          <w:sz w:val="21"/>
          <w:szCs w:val="21"/>
          <w:highlight w:val="none"/>
          <w:lang w:val="en-US" w:eastAsia="zh-CN"/>
          <w14:textFill>
            <w14:solidFill>
              <w14:schemeClr w14:val="tx1">
                <w14:lumMod w14:val="95000"/>
                <w14:lumOff w14:val="5000"/>
              </w14:schemeClr>
            </w14:solidFill>
          </w14:textFill>
        </w:rPr>
        <w:t>). This ratio represents per capita education and training expenditure, capturing the drivers of improved employee productivity. Given the pronounced right-skewed distribution of employee education and training expenses, we further log-transform this ratio.</w:t>
      </w:r>
    </w:p>
    <w:p w14:paraId="62DF6203">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9"/>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Table </w:t>
      </w:r>
      <w:r>
        <w:rPr>
          <w:rFonts w:hint="default"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S3</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Employee Salary and Security Index System</w:t>
      </w:r>
    </w:p>
    <w:tbl>
      <w:tblPr>
        <w:tblStyle w:val="13"/>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5"/>
        <w:gridCol w:w="2079"/>
        <w:gridCol w:w="4256"/>
        <w:gridCol w:w="972"/>
      </w:tblGrid>
      <w:tr w14:paraId="684DCD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bottom w:val="single" w:color="auto" w:sz="4" w:space="0"/>
            </w:tcBorders>
            <w:vAlign w:val="center"/>
          </w:tcPr>
          <w:p w14:paraId="036D6DA4">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Dimension</w:t>
            </w:r>
          </w:p>
        </w:tc>
        <w:tc>
          <w:tcPr>
            <w:tcW w:w="0" w:type="auto"/>
            <w:tcBorders>
              <w:bottom w:val="single" w:color="auto" w:sz="4" w:space="0"/>
            </w:tcBorders>
            <w:vAlign w:val="center"/>
          </w:tcPr>
          <w:p w14:paraId="687950B6">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Indicator</w:t>
            </w:r>
          </w:p>
        </w:tc>
        <w:tc>
          <w:tcPr>
            <w:tcW w:w="0" w:type="auto"/>
            <w:tcBorders>
              <w:bottom w:val="single" w:color="auto" w:sz="4" w:space="0"/>
            </w:tcBorders>
            <w:vAlign w:val="center"/>
          </w:tcPr>
          <w:p w14:paraId="06442AA0">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Measurement</w:t>
            </w:r>
          </w:p>
        </w:tc>
        <w:tc>
          <w:tcPr>
            <w:tcW w:w="0" w:type="auto"/>
            <w:tcBorders>
              <w:bottom w:val="single" w:color="auto" w:sz="4" w:space="0"/>
            </w:tcBorders>
            <w:vAlign w:val="center"/>
          </w:tcPr>
          <w:p w14:paraId="304C4DE7">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Direction</w:t>
            </w:r>
          </w:p>
        </w:tc>
      </w:tr>
      <w:tr w14:paraId="79C908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restart"/>
            <w:tcBorders>
              <w:top w:val="single" w:color="auto" w:sz="4" w:space="0"/>
              <w:tl2br w:val="nil"/>
              <w:tr2bl w:val="nil"/>
            </w:tcBorders>
            <w:vAlign w:val="center"/>
          </w:tcPr>
          <w:p w14:paraId="2A5E4EA9">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 xml:space="preserve">Employee </w:t>
            </w: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Salary</w:t>
            </w:r>
          </w:p>
        </w:tc>
        <w:tc>
          <w:tcPr>
            <w:tcW w:w="0" w:type="auto"/>
            <w:tcBorders>
              <w:top w:val="single" w:color="auto" w:sz="4" w:space="0"/>
              <w:tl2br w:val="nil"/>
              <w:tr2bl w:val="nil"/>
            </w:tcBorders>
            <w:vAlign w:val="center"/>
          </w:tcPr>
          <w:p w14:paraId="5E3E5D28">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Salary Contribution per Share</w:t>
            </w:r>
          </w:p>
        </w:tc>
        <w:tc>
          <w:tcPr>
            <w:tcW w:w="0" w:type="auto"/>
            <w:tcBorders>
              <w:top w:val="single" w:color="auto" w:sz="4" w:space="0"/>
              <w:tl2br w:val="nil"/>
              <w:tr2bl w:val="nil"/>
            </w:tcBorders>
            <w:vAlign w:val="center"/>
          </w:tcPr>
          <w:p w14:paraId="5DC400DA">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Total employee compensation / Total number of shares</w:t>
            </w:r>
          </w:p>
        </w:tc>
        <w:tc>
          <w:tcPr>
            <w:tcW w:w="0" w:type="auto"/>
            <w:tcBorders>
              <w:top w:val="single" w:color="auto" w:sz="4" w:space="0"/>
              <w:tl2br w:val="nil"/>
              <w:tr2bl w:val="nil"/>
            </w:tcBorders>
            <w:vAlign w:val="center"/>
          </w:tcPr>
          <w:p w14:paraId="088BE799">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25558B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5CBD62C1">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7652A051">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Employee Profit Sharing</w:t>
            </w:r>
          </w:p>
        </w:tc>
        <w:tc>
          <w:tcPr>
            <w:tcW w:w="0" w:type="auto"/>
            <w:tcBorders>
              <w:tl2br w:val="nil"/>
              <w:tr2bl w:val="nil"/>
            </w:tcBorders>
            <w:vAlign w:val="center"/>
          </w:tcPr>
          <w:p w14:paraId="6CE5A05C">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Number of employee shareholders / Total number of employees</w:t>
            </w:r>
          </w:p>
        </w:tc>
        <w:tc>
          <w:tcPr>
            <w:tcW w:w="0" w:type="auto"/>
            <w:tcBorders>
              <w:tl2br w:val="nil"/>
              <w:tr2bl w:val="nil"/>
            </w:tcBorders>
            <w:vAlign w:val="center"/>
          </w:tcPr>
          <w:p w14:paraId="2FB39EEC">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688611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46E657F4">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23CDF672">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Average Salary</w:t>
            </w:r>
          </w:p>
        </w:tc>
        <w:tc>
          <w:tcPr>
            <w:tcW w:w="0" w:type="auto"/>
            <w:tcBorders>
              <w:tl2br w:val="nil"/>
              <w:tr2bl w:val="nil"/>
            </w:tcBorders>
            <w:vAlign w:val="center"/>
          </w:tcPr>
          <w:p w14:paraId="71844EAB">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Accrued employee compensation / Number of employees</w:t>
            </w:r>
          </w:p>
        </w:tc>
        <w:tc>
          <w:tcPr>
            <w:tcW w:w="0" w:type="auto"/>
            <w:tcBorders>
              <w:tl2br w:val="nil"/>
              <w:tr2bl w:val="nil"/>
            </w:tcBorders>
            <w:vAlign w:val="center"/>
          </w:tcPr>
          <w:p w14:paraId="567DFFEC">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583521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4A8949D6">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6C342834">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Employee Salary Growth Rate</w:t>
            </w:r>
          </w:p>
        </w:tc>
        <w:tc>
          <w:tcPr>
            <w:tcW w:w="0" w:type="auto"/>
            <w:tcBorders>
              <w:tl2br w:val="nil"/>
              <w:tr2bl w:val="nil"/>
            </w:tcBorders>
            <w:vAlign w:val="center"/>
          </w:tcPr>
          <w:p w14:paraId="038F606B">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 xml:space="preserve">(Current year average salary </w:t>
            </w:r>
            <w:r>
              <w:rPr>
                <w:rFonts w:hint="eastAsia"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w:t>
            </w: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 xml:space="preserve"> Prior year average salary) / Prior year average salary</w:t>
            </w:r>
          </w:p>
        </w:tc>
        <w:tc>
          <w:tcPr>
            <w:tcW w:w="0" w:type="auto"/>
            <w:tcBorders>
              <w:tl2br w:val="nil"/>
              <w:tr2bl w:val="nil"/>
            </w:tcBorders>
            <w:vAlign w:val="center"/>
          </w:tcPr>
          <w:p w14:paraId="273DFA3C">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16F665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bottom w:val="single" w:color="auto" w:sz="4" w:space="0"/>
              <w:tl2br w:val="nil"/>
              <w:tr2bl w:val="nil"/>
            </w:tcBorders>
            <w:vAlign w:val="center"/>
          </w:tcPr>
          <w:p w14:paraId="2D2020BA">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bottom w:val="single" w:color="auto" w:sz="4" w:space="0"/>
              <w:tl2br w:val="nil"/>
              <w:tr2bl w:val="nil"/>
            </w:tcBorders>
            <w:vAlign w:val="center"/>
          </w:tcPr>
          <w:p w14:paraId="7BA0256A">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Average Salary Ratio of Directors, Executives to Other Employees</w:t>
            </w:r>
          </w:p>
        </w:tc>
        <w:tc>
          <w:tcPr>
            <w:tcW w:w="0" w:type="auto"/>
            <w:tcBorders>
              <w:bottom w:val="single" w:color="auto" w:sz="4" w:space="0"/>
              <w:tl2br w:val="nil"/>
              <w:tr2bl w:val="nil"/>
            </w:tcBorders>
            <w:vAlign w:val="center"/>
          </w:tcPr>
          <w:p w14:paraId="2F53B39B">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Average annual salary of directors and executives / Average annual salary of other employees</w:t>
            </w:r>
          </w:p>
        </w:tc>
        <w:tc>
          <w:tcPr>
            <w:tcW w:w="0" w:type="auto"/>
            <w:tcBorders>
              <w:bottom w:val="single" w:color="auto" w:sz="4" w:space="0"/>
              <w:tl2br w:val="nil"/>
              <w:tr2bl w:val="nil"/>
            </w:tcBorders>
            <w:vAlign w:val="center"/>
          </w:tcPr>
          <w:p w14:paraId="56F20A32">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Negative</w:t>
            </w:r>
          </w:p>
        </w:tc>
      </w:tr>
      <w:tr w14:paraId="68AA55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restart"/>
            <w:tcBorders>
              <w:top w:val="single" w:color="auto" w:sz="4" w:space="0"/>
            </w:tcBorders>
            <w:vAlign w:val="center"/>
          </w:tcPr>
          <w:p w14:paraId="3FC48EFD">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 xml:space="preserve">Employee </w:t>
            </w: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Security</w:t>
            </w:r>
          </w:p>
        </w:tc>
        <w:tc>
          <w:tcPr>
            <w:tcW w:w="0" w:type="auto"/>
            <w:tcBorders>
              <w:top w:val="single" w:color="auto" w:sz="4" w:space="0"/>
            </w:tcBorders>
            <w:vAlign w:val="center"/>
          </w:tcPr>
          <w:p w14:paraId="3BA82283">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Legal Employment</w:t>
            </w:r>
          </w:p>
        </w:tc>
        <w:tc>
          <w:tcPr>
            <w:tcW w:w="0" w:type="auto"/>
            <w:tcBorders>
              <w:top w:val="single" w:color="auto" w:sz="4" w:space="0"/>
            </w:tcBorders>
            <w:vAlign w:val="center"/>
          </w:tcPr>
          <w:p w14:paraId="34D226DD">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Whether illegal employment (e.g., child labor) is disclosed; Yes = 1, No = 0</w:t>
            </w:r>
          </w:p>
        </w:tc>
        <w:tc>
          <w:tcPr>
            <w:tcW w:w="0" w:type="auto"/>
            <w:tcBorders>
              <w:top w:val="single" w:color="auto" w:sz="4" w:space="0"/>
            </w:tcBorders>
            <w:vAlign w:val="center"/>
          </w:tcPr>
          <w:p w14:paraId="24F072BB">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4AEE3B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37DFBA79">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7E119C13">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Safety Production Investment</w:t>
            </w:r>
          </w:p>
        </w:tc>
        <w:tc>
          <w:tcPr>
            <w:tcW w:w="0" w:type="auto"/>
            <w:tcBorders>
              <w:tl2br w:val="nil"/>
              <w:tr2bl w:val="nil"/>
            </w:tcBorders>
            <w:vAlign w:val="center"/>
          </w:tcPr>
          <w:p w14:paraId="28880052">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Safety production investment / Total operating revenue</w:t>
            </w:r>
          </w:p>
        </w:tc>
        <w:tc>
          <w:tcPr>
            <w:tcW w:w="0" w:type="auto"/>
            <w:tcBorders>
              <w:tl2br w:val="nil"/>
              <w:tr2bl w:val="nil"/>
            </w:tcBorders>
            <w:vAlign w:val="center"/>
          </w:tcPr>
          <w:p w14:paraId="3EED3FA5">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4F9B5E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6D534F67">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6C353EBB">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Safety Production Level</w:t>
            </w:r>
          </w:p>
        </w:tc>
        <w:tc>
          <w:tcPr>
            <w:tcW w:w="0" w:type="auto"/>
            <w:tcBorders>
              <w:tl2br w:val="nil"/>
              <w:tr2bl w:val="nil"/>
            </w:tcBorders>
            <w:vAlign w:val="center"/>
          </w:tcPr>
          <w:p w14:paraId="2A7FA580">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Severity of production accidents: Major accident = 1; Minor accident = 0.8; Occupational disease incident = 0.6; No occurrence or disclosure = 0. If multiple accidents occur in the same year, values are summed.</w:t>
            </w:r>
          </w:p>
        </w:tc>
        <w:tc>
          <w:tcPr>
            <w:tcW w:w="0" w:type="auto"/>
            <w:tcBorders>
              <w:tl2br w:val="nil"/>
              <w:tr2bl w:val="nil"/>
            </w:tcBorders>
            <w:vAlign w:val="center"/>
          </w:tcPr>
          <w:p w14:paraId="253B7FDC">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Negative</w:t>
            </w:r>
          </w:p>
        </w:tc>
      </w:tr>
      <w:tr w14:paraId="209A35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7981ED96">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41AA6596">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Occupational Health Protection</w:t>
            </w:r>
          </w:p>
        </w:tc>
        <w:tc>
          <w:tcPr>
            <w:tcW w:w="0" w:type="auto"/>
            <w:tcBorders>
              <w:tl2br w:val="nil"/>
              <w:tr2bl w:val="nil"/>
            </w:tcBorders>
            <w:vAlign w:val="center"/>
          </w:tcPr>
          <w:p w14:paraId="1D078971">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Whether occupational health protection is disclosed; Yes = 1, No = 0</w:t>
            </w:r>
          </w:p>
        </w:tc>
        <w:tc>
          <w:tcPr>
            <w:tcW w:w="0" w:type="auto"/>
            <w:tcBorders>
              <w:tl2br w:val="nil"/>
              <w:tr2bl w:val="nil"/>
            </w:tcBorders>
            <w:vAlign w:val="center"/>
          </w:tcPr>
          <w:p w14:paraId="4A47AA58">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01635E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489083F4">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491F658E">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Employee Social Security Fund Contribution Ratio</w:t>
            </w:r>
          </w:p>
        </w:tc>
        <w:tc>
          <w:tcPr>
            <w:tcW w:w="0" w:type="auto"/>
            <w:tcBorders>
              <w:tl2br w:val="nil"/>
              <w:tr2bl w:val="nil"/>
            </w:tcBorders>
            <w:vAlign w:val="center"/>
          </w:tcPr>
          <w:p w14:paraId="790B62BA">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Social security expenses / Total employee compensation</w:t>
            </w:r>
          </w:p>
        </w:tc>
        <w:tc>
          <w:tcPr>
            <w:tcW w:w="0" w:type="auto"/>
            <w:tcBorders>
              <w:tl2br w:val="nil"/>
              <w:tr2bl w:val="nil"/>
            </w:tcBorders>
            <w:vAlign w:val="center"/>
          </w:tcPr>
          <w:p w14:paraId="3E64D654">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298193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49820F0A">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5ADA18F9">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Commercial Insurance</w:t>
            </w:r>
          </w:p>
        </w:tc>
        <w:tc>
          <w:tcPr>
            <w:tcW w:w="0" w:type="auto"/>
            <w:tcBorders>
              <w:tl2br w:val="nil"/>
              <w:tr2bl w:val="nil"/>
            </w:tcBorders>
            <w:vAlign w:val="center"/>
          </w:tcPr>
          <w:p w14:paraId="275793E1">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Commercial insurance contributions / Operating revenue</w:t>
            </w:r>
          </w:p>
        </w:tc>
        <w:tc>
          <w:tcPr>
            <w:tcW w:w="0" w:type="auto"/>
            <w:tcBorders>
              <w:tl2br w:val="nil"/>
              <w:tr2bl w:val="nil"/>
            </w:tcBorders>
            <w:vAlign w:val="center"/>
          </w:tcPr>
          <w:p w14:paraId="2145C0DC">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Positive</w:t>
            </w:r>
          </w:p>
        </w:tc>
      </w:tr>
      <w:tr w14:paraId="293D70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l2br w:val="nil"/>
              <w:tr2bl w:val="nil"/>
            </w:tcBorders>
            <w:vAlign w:val="center"/>
          </w:tcPr>
          <w:p w14:paraId="43E0EDFC">
            <w:pPr>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p>
        </w:tc>
        <w:tc>
          <w:tcPr>
            <w:tcW w:w="0" w:type="auto"/>
            <w:tcBorders>
              <w:tl2br w:val="nil"/>
              <w:tr2bl w:val="nil"/>
            </w:tcBorders>
            <w:vAlign w:val="center"/>
          </w:tcPr>
          <w:p w14:paraId="702B3EEF">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Employee Rights Protection</w:t>
            </w:r>
          </w:p>
        </w:tc>
        <w:tc>
          <w:tcPr>
            <w:tcW w:w="0" w:type="auto"/>
            <w:tcBorders>
              <w:tl2br w:val="nil"/>
              <w:tr2bl w:val="nil"/>
            </w:tcBorders>
            <w:vAlign w:val="center"/>
          </w:tcPr>
          <w:p w14:paraId="2ADA073A">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Number of employee rights disputes / Total number of employees</w:t>
            </w:r>
          </w:p>
        </w:tc>
        <w:tc>
          <w:tcPr>
            <w:tcW w:w="0" w:type="auto"/>
            <w:tcBorders>
              <w:tl2br w:val="nil"/>
              <w:tr2bl w:val="nil"/>
            </w:tcBorders>
            <w:vAlign w:val="center"/>
          </w:tcPr>
          <w:p w14:paraId="74789DE2">
            <w:pPr>
              <w:keepNext w:val="0"/>
              <w:keepLines w:val="0"/>
              <w:widowControl/>
              <w:suppressLineNumbers w:val="0"/>
              <w:spacing w:line="250" w:lineRule="atLeast"/>
              <w:jc w:val="left"/>
              <w:rPr>
                <w:rFonts w:hint="default" w:ascii="Times New Roman" w:hAnsi="Times New Roman" w:cs="Times New Roman" w:eastAsiaTheme="minorEastAsia"/>
                <w:color w:val="0D0D0D" w:themeColor="text1" w:themeTint="F2"/>
                <w:sz w:val="20"/>
                <w:szCs w:val="20"/>
                <w:highlight w:val="none"/>
                <w:vertAlign w:val="baseline"/>
                <w:lang w:val="en-US" w:eastAsia="zh-CN"/>
                <w14:textFill>
                  <w14:solidFill>
                    <w14:schemeClr w14:val="tx1">
                      <w14:lumMod w14:val="95000"/>
                      <w14:lumOff w14:val="5000"/>
                    </w14:schemeClr>
                  </w14:solidFill>
                </w14:textFill>
              </w:rPr>
            </w:pPr>
            <w:r>
              <w:rPr>
                <w:rFonts w:hint="default" w:ascii="Times New Roman" w:hAnsi="Times New Roman" w:eastAsia="Segoe UI" w:cs="Times New Roman"/>
                <w:color w:val="0D0D0D" w:themeColor="text1" w:themeTint="F2"/>
                <w:kern w:val="0"/>
                <w:sz w:val="20"/>
                <w:szCs w:val="20"/>
                <w:highlight w:val="none"/>
                <w:lang w:val="en-US" w:eastAsia="zh-CN" w:bidi="ar"/>
                <w14:textFill>
                  <w14:solidFill>
                    <w14:schemeClr w14:val="tx1">
                      <w14:lumMod w14:val="95000"/>
                      <w14:lumOff w14:val="5000"/>
                    </w14:schemeClr>
                  </w14:solidFill>
                </w14:textFill>
              </w:rPr>
              <w:t>Negative</w:t>
            </w:r>
          </w:p>
        </w:tc>
      </w:tr>
    </w:tbl>
    <w:p w14:paraId="35A5AEEE">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jc w:val="both"/>
        <w:textAlignment w:val="auto"/>
        <w:rPr>
          <w:rFonts w:hint="default" w:ascii="Times New Roman" w:hAnsi="Times New Roman" w:cs="Times New Roman"/>
          <w:color w:val="0D0D0D" w:themeColor="text1" w:themeTint="F2"/>
          <w:sz w:val="21"/>
          <w:szCs w:val="21"/>
          <w:highlight w:val="none"/>
          <w:lang w:val="en-US" w:eastAsia="zh-CN"/>
          <w14:textFill>
            <w14:solidFill>
              <w14:schemeClr w14:val="tx1">
                <w14:lumMod w14:val="95000"/>
                <w14:lumOff w14:val="5000"/>
              </w14:schemeClr>
            </w14:solidFill>
          </w14:textFill>
        </w:rPr>
      </w:pPr>
    </w:p>
    <w:p w14:paraId="1EAC8B24">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Operational</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indicates operational stability. We measure stability inversely by quantifying the volatility of corporate cash flow and profitability. Specifically, we first standardize cash flow and earnings before interest and taxes (EBIT) against total assets, then calculate their standard deviations from period t-2 to period t, denoted as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Operational_Cash</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and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Operational_Profit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Lower values indicate smaller fluctuations in cash flow and profitability over three consecutive years, signifying greater operational stability.</w:t>
      </w:r>
    </w:p>
    <w:p w14:paraId="59315256">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eastAsiaTheme="minorEastAsia"/>
          <w:i/>
          <w:iCs/>
          <w:color w:val="0D0D0D" w:themeColor="text1" w:themeTint="F2"/>
          <w:sz w:val="22"/>
          <w:szCs w:val="22"/>
          <w:highlight w:val="none"/>
          <w:lang w:val="en-US" w:eastAsia="zh-CN"/>
          <w14:textFill>
            <w14:solidFill>
              <w14:schemeClr w14:val="tx1">
                <w14:lumMod w14:val="95000"/>
                <w14:lumOff w14:val="5000"/>
              </w14:schemeClr>
            </w14:solidFill>
          </w14:textFill>
        </w:rPr>
        <w:t>Short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 xml:space="preserve"> indicates enterprise short-sighted behavior. We measure this construct from two aspects</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 including</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 xml:space="preserve"> management </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short-sightedness</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 xml:space="preserve"> and investment </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short-sightedness</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 First, we calculate the frequency of short</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sighted words in the management discussion and analysis</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 xml:space="preserve"> (MD&amp;A)</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 xml:space="preserve"> section of the company</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s annual report to measure management short</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 xml:space="preserve">sightedness. Specifically, we construct a management </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short-sighted</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 xml:space="preserve"> word database containing 30 keywords, such as </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difficulty</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 xml:space="preserve"> and </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immediately</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 We then search for these keywords in the full text after excluding charts and tables, and compute the ratio of their total frequency to the total word count of the text.</w:t>
      </w:r>
    </w:p>
    <w:p w14:paraId="72F62D33">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Second, we use the ratio of the company</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 xml:space="preserve">s </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short-term</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 xml:space="preserve"> financial assets to total assets to measure investment </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short-sightedness</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 xml:space="preserve">. Specifically, we treat </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trading financial assets</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net available</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for</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sale financial assets</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 xml:space="preserve">, and </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net held</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to</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maturity investments</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 xml:space="preserve"> as the company</w:t>
      </w:r>
      <w:r>
        <w:rPr>
          <w:rFonts w:hint="eastAsia" w:ascii="Times New Roman" w:hAnsi="Times New Roman" w:cs="Times New Roman"/>
          <w:color w:val="0D0D0D" w:themeColor="text1" w:themeTint="F2"/>
          <w:kern w:val="2"/>
          <w:sz w:val="22"/>
          <w:szCs w:val="22"/>
          <w:highlight w:val="none"/>
          <w:lang w:val="en-US" w:eastAsia="zh-CN" w:bidi="ar-SA"/>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s short</w:t>
      </w:r>
      <w:r>
        <w:rPr>
          <w:rFonts w:hint="eastAsia" w:ascii="Times New Roman" w:hAnsi="Times New Roman" w:cs="Times New Roman"/>
          <w:i w:val="0"/>
          <w:iCs w:val="0"/>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t>term investments, and calculate their proportion relative to total assets.</w:t>
      </w:r>
    </w:p>
    <w:p w14:paraId="2DAFA76C">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jc w:val="both"/>
        <w:textAlignment w:val="auto"/>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pPr>
    </w:p>
    <w:p w14:paraId="40621CAB">
      <w:pPr>
        <w:keepNext w:val="0"/>
        <w:keepLines w:val="0"/>
        <w:pageBreakBefore w:val="0"/>
        <w:kinsoku/>
        <w:wordWrap/>
        <w:overflowPunct/>
        <w:topLinePunct w:val="0"/>
        <w:autoSpaceDE/>
        <w:autoSpaceDN/>
        <w:bidi w:val="0"/>
        <w:adjustRightInd/>
        <w:snapToGrid/>
        <w:spacing w:line="400" w:lineRule="exact"/>
        <w:ind w:left="0"/>
        <w:jc w:val="both"/>
        <w:outlineLvl w:val="1"/>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3.4 Sample and Data</w:t>
      </w:r>
    </w:p>
    <w:p w14:paraId="207E1DE7">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We construct a firm</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level panel dataset spanning 2012 to 2020 by merging multiple authoritative databases. First, corporate ESG ratings are collected from the Sino</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Securities Index Information Service (Shanghai) Co., Ltd., which provides comprehensive and timely ESG evaluation scores for Chinese listed firms. Second, firm</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level financial and governance data, including balance sheet items, ownership structures, board characteristics, and environmental management system indicators, are extracted from the CSMAR database. Third, regional economic variables, such as industrial structure and marketization level, are derived from the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China Statistical Yearbook</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and the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China Market Index Database</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respectively. Detailed data sources and URLs for each variable are provided in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Supplementary</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Table S4.</w:t>
      </w:r>
    </w:p>
    <w:p w14:paraId="537D7E33">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9"/>
        <w:rPr>
          <w:rFonts w:hint="default" w:eastAsiaTheme="minorEastAsia"/>
          <w:color w:val="0D0D0D" w:themeColor="text1" w:themeTint="F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Table S</w:t>
      </w:r>
      <w:r>
        <w:rPr>
          <w:rFonts w:hint="default"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4</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 </w:t>
      </w: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Data Sources</w:t>
      </w:r>
    </w:p>
    <w:tbl>
      <w:tblPr>
        <w:tblStyle w:val="12"/>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90"/>
        <w:gridCol w:w="4275"/>
        <w:gridCol w:w="2557"/>
      </w:tblGrid>
      <w:tr w14:paraId="096FC5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bottom w:val="single" w:color="auto" w:sz="4" w:space="0"/>
            </w:tcBorders>
            <w:vAlign w:val="center"/>
          </w:tcPr>
          <w:p w14:paraId="45C39B8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t>Variable Symbol</w:t>
            </w:r>
          </w:p>
        </w:tc>
        <w:tc>
          <w:tcPr>
            <w:tcW w:w="4275" w:type="dxa"/>
            <w:tcBorders>
              <w:bottom w:val="single" w:color="auto" w:sz="4" w:space="0"/>
            </w:tcBorders>
            <w:vAlign w:val="center"/>
          </w:tcPr>
          <w:p w14:paraId="51CF824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cs="Times New Roman" w:eastAsiaTheme="minorEastAsia"/>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Sources</w:t>
            </w:r>
          </w:p>
        </w:tc>
        <w:tc>
          <w:tcPr>
            <w:tcW w:w="2557" w:type="dxa"/>
            <w:tcBorders>
              <w:bottom w:val="single" w:color="auto" w:sz="4" w:space="0"/>
            </w:tcBorders>
            <w:vAlign w:val="center"/>
          </w:tcPr>
          <w:p w14:paraId="77A20712">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cs="Times New Roman" w:eastAsiaTheme="minorEastAsia"/>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URL</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w:t>
            </w:r>
          </w:p>
        </w:tc>
      </w:tr>
      <w:tr w14:paraId="112E39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op w:val="single" w:color="auto" w:sz="4" w:space="0"/>
              <w:tl2br w:val="nil"/>
              <w:tr2bl w:val="nil"/>
            </w:tcBorders>
            <w:vAlign w:val="center"/>
          </w:tcPr>
          <w:p w14:paraId="4B8AEFF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ESG</w:t>
            </w:r>
          </w:p>
        </w:tc>
        <w:tc>
          <w:tcPr>
            <w:tcW w:w="4275" w:type="dxa"/>
            <w:tcBorders>
              <w:top w:val="single" w:color="auto" w:sz="4" w:space="0"/>
              <w:tl2br w:val="nil"/>
              <w:tr2bl w:val="nil"/>
            </w:tcBorders>
            <w:vAlign w:val="center"/>
          </w:tcPr>
          <w:p w14:paraId="748FD336">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cs="Times New Roman" w:eastAsiaTheme="minorEastAsia"/>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t>Sino</w:t>
            </w:r>
            <w:r>
              <w:rPr>
                <w:rFonts w:hint="eastAsia"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t>Securities Index Information Service (Shanghai) Co., Ltd.</w:t>
            </w:r>
          </w:p>
        </w:tc>
        <w:tc>
          <w:tcPr>
            <w:tcW w:w="2557" w:type="dxa"/>
            <w:tcBorders>
              <w:top w:val="single" w:color="auto" w:sz="4" w:space="0"/>
              <w:tl2br w:val="nil"/>
              <w:tr2bl w:val="nil"/>
            </w:tcBorders>
            <w:vAlign w:val="center"/>
          </w:tcPr>
          <w:p w14:paraId="782587ED">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fldChar w:fldCharType="begin"/>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instrText xml:space="preserve"> HYPERLINK "https://www.chindices.com/esg-ratings.html#esg_indexes;" </w:instrText>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fldChar w:fldCharType="separate"/>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t>https://www.chindices.com/esg-ratings.html#esg_indexes</w:t>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fldChar w:fldCharType="end"/>
            </w:r>
          </w:p>
        </w:tc>
      </w:tr>
      <w:tr w14:paraId="2C5BAE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0DC6FDA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cs="Times New Roman"/>
                <w:i/>
                <w:iCs/>
                <w:color w:val="0D0D0D" w:themeColor="text1" w:themeTint="F2"/>
                <w:sz w:val="18"/>
                <w:szCs w:val="18"/>
                <w:highlight w:val="none"/>
                <w14:textFill>
                  <w14:solidFill>
                    <w14:schemeClr w14:val="tx1">
                      <w14:lumMod w14:val="95000"/>
                      <w14:lumOff w14:val="5000"/>
                    </w14:schemeClr>
                  </w14:solidFill>
                </w14:textFill>
              </w:rPr>
              <w:t>EST</w:t>
            </w:r>
          </w:p>
        </w:tc>
        <w:tc>
          <w:tcPr>
            <w:tcW w:w="4275" w:type="dxa"/>
            <w:tcBorders>
              <w:tl2br w:val="nil"/>
              <w:tr2bl w:val="nil"/>
            </w:tcBorders>
            <w:vAlign w:val="center"/>
          </w:tcPr>
          <w:p w14:paraId="29AA15EF">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cs="Times New Roman" w:eastAsiaTheme="minorEastAsia"/>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t>National Development and Reform Commission</w:t>
            </w:r>
          </w:p>
        </w:tc>
        <w:tc>
          <w:tcPr>
            <w:tcW w:w="2557" w:type="dxa"/>
            <w:tcBorders>
              <w:tl2br w:val="nil"/>
              <w:tr2bl w:val="nil"/>
            </w:tcBorders>
            <w:vAlign w:val="center"/>
          </w:tcPr>
          <w:p w14:paraId="579535A7">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fldChar w:fldCharType="begin"/>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instrText xml:space="preserve"> HYPERLINK "https://www.ndrc.gov.cn/xxgk/zcfb/tz/201709/t20170905_962552_ext.html;" </w:instrText>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fldChar w:fldCharType="separate"/>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t>https://www.ndrc.gov.cn/xxgk/zcfb/tz/201709/t20170905_962552_ext.html</w:t>
            </w: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fldChar w:fldCharType="end"/>
            </w:r>
          </w:p>
        </w:tc>
      </w:tr>
      <w:tr w14:paraId="649DFF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6A22A84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Size</w:t>
            </w:r>
          </w:p>
        </w:tc>
        <w:tc>
          <w:tcPr>
            <w:tcW w:w="4275" w:type="dxa"/>
            <w:tcBorders>
              <w:tl2br w:val="nil"/>
              <w:tr2bl w:val="nil"/>
            </w:tcBorders>
            <w:vAlign w:val="center"/>
          </w:tcPr>
          <w:p w14:paraId="15535F1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Financial Statements - Balance Sheet</w:t>
            </w:r>
          </w:p>
        </w:tc>
        <w:tc>
          <w:tcPr>
            <w:tcW w:w="2557" w:type="dxa"/>
            <w:vMerge w:val="restart"/>
            <w:tcBorders>
              <w:tl2br w:val="nil"/>
              <w:tr2bl w:val="nil"/>
            </w:tcBorders>
            <w:vAlign w:val="center"/>
          </w:tcPr>
          <w:p w14:paraId="01126FAC">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t>https://data.csmar.com/</w:t>
            </w:r>
          </w:p>
        </w:tc>
      </w:tr>
      <w:tr w14:paraId="2C9DA3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5BCE60D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Ltime</w:t>
            </w:r>
          </w:p>
        </w:tc>
        <w:tc>
          <w:tcPr>
            <w:tcW w:w="4275" w:type="dxa"/>
            <w:tcBorders>
              <w:tl2br w:val="nil"/>
              <w:tr2bl w:val="nil"/>
            </w:tcBorders>
            <w:vAlign w:val="center"/>
          </w:tcPr>
          <w:p w14:paraId="62C0760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val="0"/>
                <w:iCs w:val="0"/>
                <w:color w:val="0D0D0D" w:themeColor="text1" w:themeTint="F2"/>
                <w:sz w:val="18"/>
                <w:szCs w:val="18"/>
                <w:highlight w:val="none"/>
                <w:lang w:val="en-US"/>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Basic Information of Listed Companies - Annual Basic Information of Listed Companies</w:t>
            </w:r>
          </w:p>
        </w:tc>
        <w:tc>
          <w:tcPr>
            <w:tcW w:w="2557" w:type="dxa"/>
            <w:vMerge w:val="continue"/>
            <w:tcBorders>
              <w:tl2br w:val="nil"/>
              <w:tr2bl w:val="nil"/>
            </w:tcBorders>
            <w:vAlign w:val="center"/>
          </w:tcPr>
          <w:p w14:paraId="18840025">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6B0E4F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73E2ABA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LEV</w:t>
            </w:r>
          </w:p>
        </w:tc>
        <w:tc>
          <w:tcPr>
            <w:tcW w:w="4275" w:type="dxa"/>
            <w:tcBorders>
              <w:tl2br w:val="nil"/>
              <w:tr2bl w:val="nil"/>
            </w:tcBorders>
            <w:vAlign w:val="center"/>
          </w:tcPr>
          <w:p w14:paraId="63EC383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val="0"/>
                <w:iCs w:val="0"/>
                <w:color w:val="0D0D0D" w:themeColor="text1" w:themeTint="F2"/>
                <w:sz w:val="18"/>
                <w:szCs w:val="18"/>
                <w:highlight w:val="none"/>
                <w:lang w:val="en-US"/>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Financial Indicator Analysis - Solvency</w:t>
            </w:r>
          </w:p>
        </w:tc>
        <w:tc>
          <w:tcPr>
            <w:tcW w:w="2557" w:type="dxa"/>
            <w:vMerge w:val="continue"/>
            <w:tcBorders>
              <w:tl2br w:val="nil"/>
              <w:tr2bl w:val="nil"/>
            </w:tcBorders>
            <w:vAlign w:val="center"/>
          </w:tcPr>
          <w:p w14:paraId="5C55C04E">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4BB8F6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6C5E2BB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ROA</w:t>
            </w:r>
          </w:p>
        </w:tc>
        <w:tc>
          <w:tcPr>
            <w:tcW w:w="4275" w:type="dxa"/>
            <w:tcBorders>
              <w:tl2br w:val="nil"/>
              <w:tr2bl w:val="nil"/>
            </w:tcBorders>
            <w:vAlign w:val="center"/>
          </w:tcPr>
          <w:p w14:paraId="042E57C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val="0"/>
                <w:iCs w:val="0"/>
                <w:color w:val="0D0D0D" w:themeColor="text1" w:themeTint="F2"/>
                <w:sz w:val="18"/>
                <w:szCs w:val="18"/>
                <w:highlight w:val="none"/>
                <w:lang w:val="en-US"/>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Financial Indicator Analysis - Profitability</w:t>
            </w:r>
          </w:p>
        </w:tc>
        <w:tc>
          <w:tcPr>
            <w:tcW w:w="2557" w:type="dxa"/>
            <w:vMerge w:val="continue"/>
            <w:tcBorders>
              <w:tl2br w:val="nil"/>
              <w:tr2bl w:val="nil"/>
            </w:tcBorders>
            <w:vAlign w:val="center"/>
          </w:tcPr>
          <w:p w14:paraId="03CA8322">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683B59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7F3BBD2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Board</w:t>
            </w:r>
          </w:p>
        </w:tc>
        <w:tc>
          <w:tcPr>
            <w:tcW w:w="4275" w:type="dxa"/>
            <w:tcBorders>
              <w:tl2br w:val="nil"/>
              <w:tr2bl w:val="nil"/>
            </w:tcBorders>
            <w:vAlign w:val="center"/>
          </w:tcPr>
          <w:p w14:paraId="1E053BB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val="0"/>
                <w:iCs w:val="0"/>
                <w:color w:val="0D0D0D" w:themeColor="text1" w:themeTint="F2"/>
                <w:sz w:val="18"/>
                <w:szCs w:val="18"/>
                <w:highlight w:val="none"/>
                <w:lang w:val="en-US"/>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Operational Distress - Management Governance</w:t>
            </w:r>
          </w:p>
        </w:tc>
        <w:tc>
          <w:tcPr>
            <w:tcW w:w="2557" w:type="dxa"/>
            <w:vMerge w:val="continue"/>
            <w:tcBorders>
              <w:tl2br w:val="nil"/>
              <w:tr2bl w:val="nil"/>
            </w:tcBorders>
            <w:vAlign w:val="center"/>
          </w:tcPr>
          <w:p w14:paraId="13B76712">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4E5D78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1617BED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Ind_r</w:t>
            </w:r>
          </w:p>
        </w:tc>
        <w:tc>
          <w:tcPr>
            <w:tcW w:w="4275" w:type="dxa"/>
            <w:tcBorders>
              <w:tl2br w:val="nil"/>
              <w:tr2bl w:val="nil"/>
            </w:tcBorders>
            <w:shd w:val="clear" w:color="auto" w:fill="auto"/>
            <w:vAlign w:val="center"/>
          </w:tcPr>
          <w:p w14:paraId="0640D22F">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Operational Distress - Management Governance</w:t>
            </w:r>
          </w:p>
        </w:tc>
        <w:tc>
          <w:tcPr>
            <w:tcW w:w="2557" w:type="dxa"/>
            <w:vMerge w:val="continue"/>
            <w:tcBorders>
              <w:tl2br w:val="nil"/>
              <w:tr2bl w:val="nil"/>
            </w:tcBorders>
            <w:vAlign w:val="center"/>
          </w:tcPr>
          <w:p w14:paraId="34BAF64B">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30E5E3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775E4CE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Top1</w:t>
            </w:r>
          </w:p>
        </w:tc>
        <w:tc>
          <w:tcPr>
            <w:tcW w:w="4275" w:type="dxa"/>
            <w:tcBorders>
              <w:tl2br w:val="nil"/>
              <w:tr2bl w:val="nil"/>
            </w:tcBorders>
            <w:shd w:val="clear" w:color="auto" w:fill="auto"/>
            <w:vAlign w:val="center"/>
          </w:tcPr>
          <w:p w14:paraId="52909D3D">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Shareholders - Equity Information</w:t>
            </w:r>
          </w:p>
        </w:tc>
        <w:tc>
          <w:tcPr>
            <w:tcW w:w="2557" w:type="dxa"/>
            <w:vMerge w:val="continue"/>
            <w:tcBorders>
              <w:tl2br w:val="nil"/>
              <w:tr2bl w:val="nil"/>
            </w:tcBorders>
            <w:vAlign w:val="center"/>
          </w:tcPr>
          <w:p w14:paraId="348A8FCC">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49DC8F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244CACA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Share</w:t>
            </w:r>
          </w:p>
        </w:tc>
        <w:tc>
          <w:tcPr>
            <w:tcW w:w="4275" w:type="dxa"/>
            <w:tcBorders>
              <w:tl2br w:val="nil"/>
              <w:tr2bl w:val="nil"/>
            </w:tcBorders>
            <w:shd w:val="clear" w:color="auto" w:fill="auto"/>
            <w:vAlign w:val="center"/>
          </w:tcPr>
          <w:p w14:paraId="316A1971">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Operational Distress - Management Governance</w:t>
            </w:r>
          </w:p>
        </w:tc>
        <w:tc>
          <w:tcPr>
            <w:tcW w:w="2557" w:type="dxa"/>
            <w:vMerge w:val="continue"/>
            <w:tcBorders>
              <w:tl2br w:val="nil"/>
              <w:tr2bl w:val="nil"/>
            </w:tcBorders>
            <w:vAlign w:val="center"/>
          </w:tcPr>
          <w:p w14:paraId="7EC8A0C7">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1151868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7D65B62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SOE</w:t>
            </w:r>
          </w:p>
        </w:tc>
        <w:tc>
          <w:tcPr>
            <w:tcW w:w="4275" w:type="dxa"/>
            <w:tcBorders>
              <w:tl2br w:val="nil"/>
              <w:tr2bl w:val="nil"/>
            </w:tcBorders>
            <w:shd w:val="clear" w:color="auto" w:fill="auto"/>
            <w:vAlign w:val="center"/>
          </w:tcPr>
          <w:p w14:paraId="25FB6039">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Operational Distress - Management Governance</w:t>
            </w:r>
          </w:p>
        </w:tc>
        <w:tc>
          <w:tcPr>
            <w:tcW w:w="2557" w:type="dxa"/>
            <w:vMerge w:val="continue"/>
            <w:tcBorders>
              <w:tl2br w:val="nil"/>
              <w:tr2bl w:val="nil"/>
            </w:tcBorders>
            <w:vAlign w:val="center"/>
          </w:tcPr>
          <w:p w14:paraId="2560E005">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5CDD3F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087EDAD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t>EPS</w:t>
            </w:r>
          </w:p>
        </w:tc>
        <w:tc>
          <w:tcPr>
            <w:tcW w:w="4275" w:type="dxa"/>
            <w:tcBorders>
              <w:tl2br w:val="nil"/>
              <w:tr2bl w:val="nil"/>
            </w:tcBorders>
            <w:shd w:val="clear" w:color="auto" w:fill="auto"/>
            <w:vAlign w:val="center"/>
          </w:tcPr>
          <w:p w14:paraId="19FE3161">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Environmental Research - Environmental Disclosure</w:t>
            </w:r>
          </w:p>
        </w:tc>
        <w:tc>
          <w:tcPr>
            <w:tcW w:w="2557" w:type="dxa"/>
            <w:vMerge w:val="continue"/>
            <w:tcBorders>
              <w:tl2br w:val="nil"/>
              <w:tr2bl w:val="nil"/>
            </w:tcBorders>
            <w:vAlign w:val="center"/>
          </w:tcPr>
          <w:p w14:paraId="5C2A7224">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5CAC50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60570A0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Resource_OLS</w:t>
            </w:r>
          </w:p>
        </w:tc>
        <w:tc>
          <w:tcPr>
            <w:tcW w:w="4275" w:type="dxa"/>
            <w:tcBorders>
              <w:tl2br w:val="nil"/>
              <w:tr2bl w:val="nil"/>
            </w:tcBorders>
            <w:shd w:val="clear" w:color="auto" w:fill="auto"/>
            <w:vAlign w:val="center"/>
          </w:tcPr>
          <w:p w14:paraId="4909D88D">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Financial Statements - Balance Sheet &amp; Income Statement;</w:t>
            </w:r>
          </w:p>
          <w:p w14:paraId="07D1EA46">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Governance Structure - Comprehensive Governance Information File</w:t>
            </w:r>
          </w:p>
        </w:tc>
        <w:tc>
          <w:tcPr>
            <w:tcW w:w="2557" w:type="dxa"/>
            <w:vMerge w:val="continue"/>
            <w:tcBorders>
              <w:tl2br w:val="nil"/>
              <w:tr2bl w:val="nil"/>
            </w:tcBorders>
            <w:vAlign w:val="center"/>
          </w:tcPr>
          <w:p w14:paraId="3E9ED9C3">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00F92B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1DB4F38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Resource_GMM</w:t>
            </w:r>
          </w:p>
        </w:tc>
        <w:tc>
          <w:tcPr>
            <w:tcW w:w="4275" w:type="dxa"/>
            <w:tcBorders>
              <w:tl2br w:val="nil"/>
              <w:tr2bl w:val="nil"/>
            </w:tcBorders>
            <w:shd w:val="clear" w:color="auto" w:fill="auto"/>
            <w:vAlign w:val="center"/>
          </w:tcPr>
          <w:p w14:paraId="60BF0348">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Financial Statements - Balance Sheet &amp; Income Statement;</w:t>
            </w:r>
          </w:p>
          <w:p w14:paraId="0380C5AF">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Governance Structure - Comprehensive Governance Information File</w:t>
            </w:r>
          </w:p>
        </w:tc>
        <w:tc>
          <w:tcPr>
            <w:tcW w:w="2557" w:type="dxa"/>
            <w:vMerge w:val="continue"/>
            <w:tcBorders>
              <w:tl2br w:val="nil"/>
              <w:tr2bl w:val="nil"/>
            </w:tcBorders>
            <w:vAlign w:val="center"/>
          </w:tcPr>
          <w:p w14:paraId="338F5091">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5A1EB4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shd w:val="clear" w:color="auto" w:fill="auto"/>
            <w:vAlign w:val="center"/>
          </w:tcPr>
          <w:p w14:paraId="42B7663A">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Employee_</w:t>
            </w:r>
            <w:r>
              <w:rPr>
                <w:rFonts w:hint="eastAsia"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t>SS</w:t>
            </w:r>
          </w:p>
        </w:tc>
        <w:tc>
          <w:tcPr>
            <w:tcW w:w="4275" w:type="dxa"/>
            <w:tcBorders>
              <w:tl2br w:val="nil"/>
              <w:tr2bl w:val="nil"/>
            </w:tcBorders>
            <w:shd w:val="clear" w:color="auto" w:fill="auto"/>
            <w:vAlign w:val="center"/>
          </w:tcPr>
          <w:p w14:paraId="504C914A">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Collaborative Data - Corporate Common Prosperity - Primary Distribution</w:t>
            </w:r>
          </w:p>
        </w:tc>
        <w:tc>
          <w:tcPr>
            <w:tcW w:w="2557" w:type="dxa"/>
            <w:vMerge w:val="continue"/>
            <w:tcBorders>
              <w:tl2br w:val="nil"/>
              <w:tr2bl w:val="nil"/>
            </w:tcBorders>
            <w:shd w:val="clear" w:color="auto" w:fill="auto"/>
            <w:vAlign w:val="center"/>
          </w:tcPr>
          <w:p w14:paraId="27E7C793">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63FCB5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142D56A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Employee_</w:t>
            </w:r>
            <w:r>
              <w:rPr>
                <w:rFonts w:hint="default"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t>train</w:t>
            </w:r>
          </w:p>
        </w:tc>
        <w:tc>
          <w:tcPr>
            <w:tcW w:w="4275" w:type="dxa"/>
            <w:tcBorders>
              <w:tl2br w:val="nil"/>
              <w:tr2bl w:val="nil"/>
            </w:tcBorders>
            <w:shd w:val="clear" w:color="auto" w:fill="auto"/>
            <w:vAlign w:val="center"/>
          </w:tcPr>
          <w:p w14:paraId="169D1353">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Notes to Financial Statements - Current Liabilities</w:t>
            </w:r>
          </w:p>
        </w:tc>
        <w:tc>
          <w:tcPr>
            <w:tcW w:w="2557" w:type="dxa"/>
            <w:vMerge w:val="continue"/>
            <w:tcBorders>
              <w:tl2br w:val="nil"/>
              <w:tr2bl w:val="nil"/>
            </w:tcBorders>
            <w:vAlign w:val="center"/>
          </w:tcPr>
          <w:p w14:paraId="34BA2AB5">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6ECD15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0E9F805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Operational_Cash</w:t>
            </w:r>
          </w:p>
        </w:tc>
        <w:tc>
          <w:tcPr>
            <w:tcW w:w="4275" w:type="dxa"/>
            <w:tcBorders>
              <w:tl2br w:val="nil"/>
              <w:tr2bl w:val="nil"/>
            </w:tcBorders>
            <w:shd w:val="clear" w:color="auto" w:fill="auto"/>
            <w:vAlign w:val="center"/>
          </w:tcPr>
          <w:p w14:paraId="6529C23E">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Operational Distress - Financial Indicators</w:t>
            </w:r>
          </w:p>
        </w:tc>
        <w:tc>
          <w:tcPr>
            <w:tcW w:w="2557" w:type="dxa"/>
            <w:vMerge w:val="continue"/>
            <w:tcBorders>
              <w:tl2br w:val="nil"/>
              <w:tr2bl w:val="nil"/>
            </w:tcBorders>
            <w:vAlign w:val="center"/>
          </w:tcPr>
          <w:p w14:paraId="62D05F0A">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35A3C5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52317F9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Operational_Profit</w:t>
            </w:r>
          </w:p>
        </w:tc>
        <w:tc>
          <w:tcPr>
            <w:tcW w:w="4275" w:type="dxa"/>
            <w:tcBorders>
              <w:tl2br w:val="nil"/>
              <w:tr2bl w:val="nil"/>
            </w:tcBorders>
            <w:shd w:val="clear" w:color="auto" w:fill="auto"/>
            <w:vAlign w:val="center"/>
          </w:tcPr>
          <w:p w14:paraId="782C7450">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Operational Distress - Financial Indicators</w:t>
            </w:r>
          </w:p>
        </w:tc>
        <w:tc>
          <w:tcPr>
            <w:tcW w:w="2557" w:type="dxa"/>
            <w:vMerge w:val="continue"/>
            <w:tcBorders>
              <w:tl2br w:val="nil"/>
              <w:tr2bl w:val="nil"/>
            </w:tcBorders>
            <w:vAlign w:val="center"/>
          </w:tcPr>
          <w:p w14:paraId="296ADFAF">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0827D4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614E56C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t>Short_manage</w:t>
            </w:r>
          </w:p>
        </w:tc>
        <w:tc>
          <w:tcPr>
            <w:tcW w:w="4275" w:type="dxa"/>
            <w:tcBorders>
              <w:tl2br w:val="nil"/>
              <w:tr2bl w:val="nil"/>
            </w:tcBorders>
            <w:shd w:val="clear" w:color="auto" w:fill="auto"/>
            <w:vAlign w:val="center"/>
          </w:tcPr>
          <w:p w14:paraId="1EE24949">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Collaborative Data - MD&amp;A Keywords - Managerial Myopia</w:t>
            </w:r>
          </w:p>
        </w:tc>
        <w:tc>
          <w:tcPr>
            <w:tcW w:w="2557" w:type="dxa"/>
            <w:vMerge w:val="continue"/>
            <w:tcBorders>
              <w:tl2br w:val="nil"/>
              <w:tr2bl w:val="nil"/>
            </w:tcBorders>
            <w:vAlign w:val="center"/>
          </w:tcPr>
          <w:p w14:paraId="2D63AF0E">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007902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64EF01D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t>Short_invest</w:t>
            </w:r>
          </w:p>
        </w:tc>
        <w:tc>
          <w:tcPr>
            <w:tcW w:w="4275" w:type="dxa"/>
            <w:tcBorders>
              <w:tl2br w:val="nil"/>
              <w:tr2bl w:val="nil"/>
            </w:tcBorders>
            <w:shd w:val="clear" w:color="auto" w:fill="auto"/>
            <w:vAlign w:val="center"/>
          </w:tcPr>
          <w:p w14:paraId="3356594B">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Financial Statements - Balance Sheet</w:t>
            </w:r>
          </w:p>
        </w:tc>
        <w:tc>
          <w:tcPr>
            <w:tcW w:w="2557" w:type="dxa"/>
            <w:vMerge w:val="continue"/>
            <w:tcBorders>
              <w:tl2br w:val="nil"/>
              <w:tr2bl w:val="nil"/>
            </w:tcBorders>
            <w:vAlign w:val="center"/>
          </w:tcPr>
          <w:p w14:paraId="1592EDBE">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7B36E9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vAlign w:val="center"/>
          </w:tcPr>
          <w:p w14:paraId="089C97D5">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t>Corporate Carbon Emissions</w:t>
            </w:r>
          </w:p>
        </w:tc>
        <w:tc>
          <w:tcPr>
            <w:tcW w:w="4275" w:type="dxa"/>
            <w:tcBorders>
              <w:tl2br w:val="nil"/>
              <w:tr2bl w:val="nil"/>
            </w:tcBorders>
            <w:shd w:val="clear" w:color="auto" w:fill="auto"/>
            <w:vAlign w:val="center"/>
          </w:tcPr>
          <w:p w14:paraId="394DC64E">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t>CSMAR - Company Research Series - Environmental Research - Schedule of Corporate Environmental Emissions &amp; Schedule of Resource Consumption</w:t>
            </w:r>
          </w:p>
        </w:tc>
        <w:tc>
          <w:tcPr>
            <w:tcW w:w="2557" w:type="dxa"/>
            <w:vMerge w:val="continue"/>
            <w:tcBorders>
              <w:tl2br w:val="nil"/>
              <w:tr2bl w:val="nil"/>
            </w:tcBorders>
            <w:vAlign w:val="center"/>
          </w:tcPr>
          <w:p w14:paraId="415D37F0">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i w:val="0"/>
                <w:iCs w:val="0"/>
                <w:color w:val="0D0D0D" w:themeColor="text1" w:themeTint="F2"/>
                <w:sz w:val="18"/>
                <w:szCs w:val="18"/>
                <w:highlight w:val="none"/>
                <w:lang w:val="en-US" w:eastAsia="zh-CN"/>
                <w14:textFill>
                  <w14:solidFill>
                    <w14:schemeClr w14:val="tx1">
                      <w14:lumMod w14:val="95000"/>
                      <w14:lumOff w14:val="5000"/>
                    </w14:schemeClr>
                  </w14:solidFill>
                </w14:textFill>
              </w:rPr>
            </w:pPr>
          </w:p>
        </w:tc>
      </w:tr>
      <w:tr w14:paraId="6D907C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shd w:val="clear" w:color="auto" w:fill="auto"/>
            <w:vAlign w:val="center"/>
          </w:tcPr>
          <w:p w14:paraId="2DA7B09D">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i/>
                <w:iCs/>
                <w:color w:val="0D0D0D" w:themeColor="text1" w:themeTint="F2"/>
                <w:sz w:val="18"/>
                <w:szCs w:val="18"/>
                <w:highlight w:val="none"/>
                <w14:textFill>
                  <w14:solidFill>
                    <w14:schemeClr w14:val="tx1">
                      <w14:lumMod w14:val="95000"/>
                      <w14:lumOff w14:val="5000"/>
                    </w14:schemeClr>
                  </w14:solidFill>
                </w14:textFill>
              </w:rPr>
              <w:t>Regional</w:t>
            </w:r>
            <w:r>
              <w:rPr>
                <w:rFonts w:hint="default" w:ascii="Times New Roman" w:hAnsi="Times New Roman" w:cs="Times New Roman"/>
                <w:i/>
                <w:iCs/>
                <w:color w:val="0D0D0D" w:themeColor="text1" w:themeTint="F2"/>
                <w:sz w:val="18"/>
                <w:szCs w:val="18"/>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i/>
                <w:iCs/>
                <w:color w:val="0D0D0D" w:themeColor="text1" w:themeTint="F2"/>
                <w:sz w:val="18"/>
                <w:szCs w:val="18"/>
                <w:highlight w:val="none"/>
                <w14:textFill>
                  <w14:solidFill>
                    <w14:schemeClr w14:val="tx1">
                      <w14:lumMod w14:val="95000"/>
                      <w14:lumOff w14:val="5000"/>
                    </w14:schemeClr>
                  </w14:solidFill>
                </w14:textFill>
              </w:rPr>
              <w:t>Carbon Emissions</w:t>
            </w:r>
          </w:p>
        </w:tc>
        <w:tc>
          <w:tcPr>
            <w:tcW w:w="4275" w:type="dxa"/>
            <w:tcBorders>
              <w:tl2br w:val="nil"/>
              <w:tr2bl w:val="nil"/>
            </w:tcBorders>
            <w:shd w:val="clear" w:color="auto" w:fill="auto"/>
            <w:vAlign w:val="center"/>
          </w:tcPr>
          <w:p w14:paraId="378331B4">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Times New Roman" w:hAnsi="Times New Roman" w:cs="Times New Roman" w:eastAsiaTheme="minorEastAsia"/>
                <w:i w:val="0"/>
                <w:iCs w:val="0"/>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t>China Research Data Service</w:t>
            </w:r>
          </w:p>
        </w:tc>
        <w:tc>
          <w:tcPr>
            <w:tcW w:w="2557" w:type="dxa"/>
            <w:tcBorders>
              <w:tl2br w:val="nil"/>
              <w:tr2bl w:val="nil"/>
            </w:tcBorders>
            <w:shd w:val="clear" w:color="auto" w:fill="auto"/>
            <w:vAlign w:val="center"/>
          </w:tcPr>
          <w:p w14:paraId="1A947654">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Times New Roman" w:hAnsi="Times New Roman" w:cs="Times New Roman" w:eastAsiaTheme="minorEastAsia"/>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t>https://www.cnrds.com/Home/Login</w:t>
            </w:r>
          </w:p>
        </w:tc>
      </w:tr>
      <w:tr w14:paraId="4BF4B4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tcBorders>
              <w:tl2br w:val="nil"/>
              <w:tr2bl w:val="nil"/>
            </w:tcBorders>
            <w:shd w:val="clear" w:color="auto" w:fill="auto"/>
            <w:vAlign w:val="center"/>
          </w:tcPr>
          <w:p w14:paraId="13CB75EC">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Industry</w:t>
            </w:r>
          </w:p>
        </w:tc>
        <w:tc>
          <w:tcPr>
            <w:tcW w:w="4275" w:type="dxa"/>
            <w:tcBorders>
              <w:tl2br w:val="nil"/>
              <w:tr2bl w:val="nil"/>
            </w:tcBorders>
            <w:shd w:val="clear" w:color="auto" w:fill="auto"/>
            <w:vAlign w:val="center"/>
          </w:tcPr>
          <w:p w14:paraId="545D6998">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t>China Statistical Yearbook</w:t>
            </w:r>
          </w:p>
        </w:tc>
        <w:tc>
          <w:tcPr>
            <w:tcW w:w="2557" w:type="dxa"/>
            <w:tcBorders>
              <w:tl2br w:val="nil"/>
              <w:tr2bl w:val="nil"/>
            </w:tcBorders>
            <w:shd w:val="clear" w:color="auto" w:fill="auto"/>
            <w:vAlign w:val="center"/>
          </w:tcPr>
          <w:p w14:paraId="75C8E6D0">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val="0"/>
                <w:iCs w:val="0"/>
                <w:color w:val="0D0D0D" w:themeColor="text1" w:themeTint="F2"/>
                <w:sz w:val="18"/>
                <w:szCs w:val="18"/>
                <w:highlight w:val="none"/>
                <w14:textFill>
                  <w14:solidFill>
                    <w14:schemeClr w14:val="tx1">
                      <w14:lumMod w14:val="95000"/>
                      <w14:lumOff w14:val="5000"/>
                    </w14:schemeClr>
                  </w14:solidFill>
                </w14:textFill>
              </w:rPr>
              <w:t>https://www.stats.gov.cn/sj/ndsj/</w:t>
            </w:r>
          </w:p>
        </w:tc>
      </w:tr>
      <w:tr w14:paraId="3537E8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0" w:type="dxa"/>
            <w:shd w:val="clear" w:color="auto" w:fill="auto"/>
            <w:vAlign w:val="center"/>
          </w:tcPr>
          <w:p w14:paraId="26445617">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18"/>
                <w:szCs w:val="18"/>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18"/>
                <w:szCs w:val="18"/>
                <w:highlight w:val="none"/>
                <w14:textFill>
                  <w14:solidFill>
                    <w14:schemeClr w14:val="tx1">
                      <w14:lumMod w14:val="95000"/>
                      <w14:lumOff w14:val="5000"/>
                    </w14:schemeClr>
                  </w14:solidFill>
                </w14:textFill>
              </w:rPr>
              <w:t>Market</w:t>
            </w:r>
          </w:p>
        </w:tc>
        <w:tc>
          <w:tcPr>
            <w:tcW w:w="4275" w:type="dxa"/>
            <w:shd w:val="clear" w:color="auto" w:fill="auto"/>
            <w:vAlign w:val="center"/>
          </w:tcPr>
          <w:p w14:paraId="47653EC9">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18"/>
                <w:szCs w:val="18"/>
                <w:highlight w:val="none"/>
                <w14:textFill>
                  <w14:solidFill>
                    <w14:schemeClr w14:val="tx1">
                      <w14:lumMod w14:val="95000"/>
                      <w14:lumOff w14:val="5000"/>
                    </w14:schemeClr>
                  </w14:solidFill>
                </w14:textFill>
              </w:rPr>
              <w:t xml:space="preserve">China Market Index </w:t>
            </w:r>
            <w:r>
              <w:rPr>
                <w:rFonts w:hint="eastAsia" w:ascii="Times New Roman" w:hAnsi="Times New Roman" w:cs="Times New Roman"/>
                <w:color w:val="0D0D0D" w:themeColor="text1" w:themeTint="F2"/>
                <w:sz w:val="18"/>
                <w:szCs w:val="18"/>
                <w:highlight w:val="none"/>
                <w:lang w:val="en-US" w:eastAsia="zh-CN"/>
                <w14:textFill>
                  <w14:solidFill>
                    <w14:schemeClr w14:val="tx1">
                      <w14:lumMod w14:val="95000"/>
                      <w14:lumOff w14:val="5000"/>
                    </w14:schemeClr>
                  </w14:solidFill>
                </w14:textFill>
              </w:rPr>
              <w:t>Database</w:t>
            </w:r>
          </w:p>
        </w:tc>
        <w:tc>
          <w:tcPr>
            <w:tcW w:w="2557" w:type="dxa"/>
            <w:shd w:val="clear" w:color="auto" w:fill="auto"/>
            <w:vAlign w:val="center"/>
          </w:tcPr>
          <w:p w14:paraId="020B7E70">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Times New Roman" w:hAnsi="Times New Roman" w:cs="Times New Roman" w:eastAsiaTheme="minorEastAsia"/>
                <w:i/>
                <w:iCs/>
                <w:color w:val="0D0D0D" w:themeColor="text1" w:themeTint="F2"/>
                <w:kern w:val="2"/>
                <w:sz w:val="22"/>
                <w:szCs w:val="22"/>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val="0"/>
                <w:iCs w:val="0"/>
                <w:color w:val="0D0D0D" w:themeColor="text1" w:themeTint="F2"/>
                <w:sz w:val="18"/>
                <w:szCs w:val="18"/>
                <w:highlight w:val="none"/>
                <w14:textFill>
                  <w14:solidFill>
                    <w14:schemeClr w14:val="tx1">
                      <w14:lumMod w14:val="95000"/>
                      <w14:lumOff w14:val="5000"/>
                    </w14:schemeClr>
                  </w14:solidFill>
                </w14:textFill>
              </w:rPr>
              <w:t>https://cmi.ssap.com.cn/</w:t>
            </w:r>
          </w:p>
        </w:tc>
      </w:tr>
    </w:tbl>
    <w:p w14:paraId="6A47DA92">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p>
    <w:p w14:paraId="749832D0">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eastAsiaTheme="minorEastAsia"/>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We limit the study period to 2020 for four primary reasons. First, this cutoff allows us to designate enterprises in the first</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batch</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(2017)</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pilot regions as the geographic</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treatment group and those in the second</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batch</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(2021)</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pilot regions as the geographic control group, while excluding firms from all other regions. This design ensures that both groups were selected under the same national criteria, with the only difference being the timing of implementation, thereby maximizing comparability between treatment and control groups (Gao &amp; Zhao, 2025). Second, ending the sample in 2020 avoids the complications of staggered policy adoption, as the second</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batch regions had not yet implemented the reform during our observation window. This mitigates the heterogeneity issues associated with multi</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period DID (Athey &amp; Imbens, 2022; Baker et al., 2022; Goodman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Bacon, 2021). Third, setting the cutoff to 2020 partially eliminates the impact of COVID</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19, which caused severe disruptions in China from 2020 onward. Fourth, China launched its national carbon emission trading market in 2021, covering the power generation sector first; ending our sample in 2020 avoids interference from this concurrent policy.</w:t>
      </w:r>
    </w:p>
    <w:p w14:paraId="2C7EE04A">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After applying the above criteria, we obtain a dataset of Chinese listed companies from 2012 to 2020.</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To ensure data quality, we further cleaned the dataset. First, we excluded banking and financial sector enterprises due to their industry characteristics differing substantially from our research focus. Second, we excluded enterprises labeled as ST, ST*, or with a debt-to-asset ratio exceeding 1, as their financial conditions may be abnormal. Third, we removed enterprises with only one observation during the study period to meet the requirements for running the high-dimensional fixed effects model command (reghdfe). Ultimately, we finalized our sample at 1,671 enterprises, comprising 10,256 observations.</w:t>
      </w:r>
    </w:p>
    <w:p w14:paraId="50C87F78">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eastAsiaTheme="minorEastAsia"/>
          <w:i w:val="0"/>
          <w:iCs w:val="0"/>
          <w:color w:val="0D0D0D" w:themeColor="text1" w:themeTint="F2"/>
          <w:sz w:val="22"/>
          <w:szCs w:val="22"/>
          <w:highlight w:val="none"/>
          <w:lang w:val="en-US" w:eastAsia="zh-CN"/>
          <w14:textFill>
            <w14:solidFill>
              <w14:schemeClr w14:val="tx1">
                <w14:lumMod w14:val="95000"/>
                <w14:lumOff w14:val="5000"/>
              </w14:schemeClr>
            </w14:solidFill>
          </w14:textFill>
        </w:rPr>
      </w:pPr>
    </w:p>
    <w:p w14:paraId="6E686654">
      <w:pPr>
        <w:keepNext w:val="0"/>
        <w:keepLines w:val="0"/>
        <w:pageBreakBefore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3CF6B37">
      <w:pPr>
        <w:keepNext w:val="0"/>
        <w:keepLines w:val="0"/>
        <w:pageBreakBefore w:val="0"/>
        <w:kinsoku/>
        <w:wordWrap/>
        <w:overflowPunct/>
        <w:topLinePunct w:val="0"/>
        <w:autoSpaceDE/>
        <w:autoSpaceDN/>
        <w:bidi w:val="0"/>
        <w:adjustRightInd/>
        <w:snapToGrid/>
        <w:spacing w:line="400" w:lineRule="exact"/>
        <w:ind w:left="0"/>
        <w:jc w:val="both"/>
        <w:outlineLvl w:val="0"/>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b/>
          <w:bCs/>
          <w:color w:val="0D0D0D" w:themeColor="text1" w:themeTint="F2"/>
          <w:sz w:val="22"/>
          <w:szCs w:val="22"/>
          <w:highlight w:val="none"/>
          <w14:textFill>
            <w14:solidFill>
              <w14:schemeClr w14:val="tx1">
                <w14:lumMod w14:val="95000"/>
                <w14:lumOff w14:val="5000"/>
              </w14:schemeClr>
            </w14:solidFill>
          </w14:textFill>
        </w:rPr>
        <w:t xml:space="preserve">Supplementary </w:t>
      </w: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Note 4</w:t>
      </w:r>
    </w:p>
    <w:p w14:paraId="6DDD412D">
      <w:pPr>
        <w:keepNext w:val="0"/>
        <w:keepLines w:val="0"/>
        <w:pageBreakBefore w:val="0"/>
        <w:kinsoku/>
        <w:wordWrap/>
        <w:overflowPunct/>
        <w:topLinePunct w:val="0"/>
        <w:autoSpaceDE/>
        <w:autoSpaceDN/>
        <w:bidi w:val="0"/>
        <w:adjustRightInd/>
        <w:snapToGrid/>
        <w:spacing w:line="400" w:lineRule="exact"/>
        <w:ind w:left="0"/>
        <w:jc w:val="both"/>
        <w:outlineLvl w:val="1"/>
        <w:rPr>
          <w:rFonts w:hint="default"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4.1 Endogeneity and Robustness Tests</w:t>
      </w:r>
    </w:p>
    <w:p w14:paraId="78902654">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jc w:val="both"/>
        <w:outlineLvl w:val="2"/>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4</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1</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 xml:space="preserve">.1 </w:t>
      </w:r>
      <w:r>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IV-DID Test</w:t>
      </w:r>
    </w:p>
    <w:p w14:paraId="43BFF518">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Although the selection of EST pilot regions incorporated both locational factors and top-down institutional design, potential sample selection bias may still exist. To further mitigate endogeneity concerns, we combine an IV approach with the DID methodology. We construct the IV as the standard deviation of provincial on-grid electricity prices over the ten-year period from 2006 to 2015</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(Hirth et al., 2024)</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First, as documented in policy documents, the selection of pilot regions comprehensively considered factors such as local electricity supply-demand dynamics and grid structure. Electricity price volatility reflects the intensity of regional electricity supply-demand fluctuations, thus, regions with higher price volatility face greater urgency to implement ESMR. We expect a significant positive correlation between historical price volatility and the likelihood of being selected as a pilot region.</w:t>
      </w:r>
    </w:p>
    <w:p w14:paraId="1C442F96">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Second, to enhance exogeneity, we restrict the calculation window to the ten years prior to 2015, deliberately excluding 2016 to avoid potential anticipation effects. This approach ensures that the IV is unlikely to directly influence firms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ESG performance except through the implementation of ESMR.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Meanwhile, we also controlled a series of control variables, individual fixed effects, industry fixed effects, provincial fixed effects and year fixed effects in the model. These control variables and fixed effects substantially reduce the concern that historical electricity price volatility could be correlated with omitted variables that directly influence corporate ESG performance. By absorbing a wide range of potential confounders, our empirical strategy makes it more plausible that the IV affects ESG outcomes solely through its impact on electricity spot market pilot selection, thereby reinforcing the validity of the exclusion restriction. </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As the standard deviation is time-invariant, we interact it with the annual mean of provincial GDP to construct a time-varying IV.</w:t>
      </w:r>
    </w:p>
    <w:p w14:paraId="784D8FAB">
      <w:pPr>
        <w:keepNext w:val="0"/>
        <w:keepLines w:val="0"/>
        <w:pageBreakBefore w:val="0"/>
        <w:kinsoku/>
        <w:wordWrap/>
        <w:overflowPunct/>
        <w:topLinePunct w:val="0"/>
        <w:autoSpaceDE/>
        <w:autoSpaceDN/>
        <w:bidi w:val="0"/>
        <w:adjustRightInd/>
        <w:snapToGrid/>
        <w:spacing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The IV-DID results are presented in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c</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olumn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(1)</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and (2)</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of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Table S5</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In the first stage, the coefficient of </w:t>
      </w:r>
      <w:r>
        <w:rPr>
          <w:rFonts w:hint="default" w:ascii="Times New Roman" w:hAnsi="Times New Roman" w:cs="Times New Roman"/>
          <w:i/>
          <w:iCs/>
          <w:color w:val="0D0D0D" w:themeColor="text1" w:themeTint="F2"/>
          <w:sz w:val="22"/>
          <w:szCs w:val="22"/>
          <w:highlight w:val="none"/>
          <w:lang w:val="en-US" w:eastAsia="zh-CN"/>
          <w14:textFill>
            <w14:solidFill>
              <w14:schemeClr w14:val="tx1">
                <w14:lumMod w14:val="95000"/>
                <w14:lumOff w14:val="5000"/>
              </w14:schemeClr>
            </w14:solidFill>
          </w14:textFill>
        </w:rPr>
        <w:t>IV</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is significantly positive, consistent with our expectation that regions with greater historical price volatility were more likely to be selected as pilot sites in 2017. The model also passes both underidentification and weak identification tests. In the second stage, after addressing endogeneity, the coefficient of </w:t>
      </w:r>
      <w:r>
        <w:rPr>
          <w:rFonts w:hint="default" w:ascii="Times New Roman" w:hAnsi="Times New Roman" w:cs="Times New Roman"/>
          <w:i/>
          <w:iCs/>
          <w:color w:val="0D0D0D" w:themeColor="text1" w:themeTint="F2"/>
          <w:sz w:val="22"/>
          <w:szCs w:val="22"/>
          <w:highlight w:val="none"/>
          <w:lang w:val="en-US" w:eastAsia="zh-CN"/>
          <w14:textFill>
            <w14:solidFill>
              <w14:schemeClr w14:val="tx1">
                <w14:lumMod w14:val="95000"/>
                <w14:lumOff w14:val="5000"/>
              </w14:schemeClr>
            </w14:solidFill>
          </w14:textFill>
        </w:rPr>
        <w:t>EST_fit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remains significantly positive, confirming that EST exerts a robust positive impact on corporate ESG performance even after accounting for selection bias.</w:t>
      </w:r>
    </w:p>
    <w:p w14:paraId="3B59439D">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0"/>
          <w:szCs w:val="20"/>
          <w:highlight w:val="none"/>
          <w:lang w:eastAsia="zh-CN"/>
          <w14:textFill>
            <w14:solidFill>
              <w14:schemeClr w14:val="tx1">
                <w14:lumMod w14:val="95000"/>
                <w14:lumOff w14:val="5000"/>
              </w14:schemeClr>
            </w14:solidFill>
          </w14:textFill>
        </w:rPr>
        <w:t>Table S5</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IV</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-DID</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Results</w:t>
      </w:r>
    </w:p>
    <w:tbl>
      <w:tblPr>
        <w:tblStyle w:val="12"/>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78"/>
        <w:gridCol w:w="3320"/>
        <w:gridCol w:w="3321"/>
      </w:tblGrid>
      <w:tr w14:paraId="4A0D0F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vMerge w:val="restart"/>
            <w:vAlign w:val="center"/>
          </w:tcPr>
          <w:p w14:paraId="6985E64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1948" w:type="pct"/>
            <w:tcBorders>
              <w:bottom w:val="single" w:color="auto" w:sz="4" w:space="0"/>
            </w:tcBorders>
            <w:vAlign w:val="center"/>
          </w:tcPr>
          <w:p w14:paraId="6E81A32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First Stage</w:t>
            </w:r>
          </w:p>
        </w:tc>
        <w:tc>
          <w:tcPr>
            <w:tcW w:w="1949" w:type="pct"/>
            <w:tcBorders>
              <w:bottom w:val="single" w:color="auto" w:sz="4" w:space="0"/>
            </w:tcBorders>
            <w:vAlign w:val="center"/>
          </w:tcPr>
          <w:p w14:paraId="60BFDF5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Second Stage</w:t>
            </w:r>
          </w:p>
        </w:tc>
      </w:tr>
      <w:tr w14:paraId="6B1D22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vMerge w:val="continue"/>
            <w:vAlign w:val="center"/>
          </w:tcPr>
          <w:p w14:paraId="095719A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48" w:type="pct"/>
            <w:tcBorders>
              <w:top w:val="single" w:color="auto" w:sz="4" w:space="0"/>
            </w:tcBorders>
            <w:vAlign w:val="center"/>
          </w:tcPr>
          <w:p w14:paraId="23484BF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w:t>
            </w:r>
          </w:p>
        </w:tc>
        <w:tc>
          <w:tcPr>
            <w:tcW w:w="1949" w:type="pct"/>
            <w:tcBorders>
              <w:top w:val="single" w:color="auto" w:sz="4" w:space="0"/>
            </w:tcBorders>
            <w:vAlign w:val="center"/>
          </w:tcPr>
          <w:p w14:paraId="02AB688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w:t>
            </w:r>
          </w:p>
        </w:tc>
      </w:tr>
      <w:tr w14:paraId="07A2E1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vMerge w:val="continue"/>
            <w:tcBorders>
              <w:bottom w:val="single" w:color="auto" w:sz="4" w:space="0"/>
            </w:tcBorders>
            <w:vAlign w:val="center"/>
          </w:tcPr>
          <w:p w14:paraId="7DE1F8E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48" w:type="pct"/>
            <w:tcBorders>
              <w:bottom w:val="single" w:color="auto" w:sz="4" w:space="0"/>
            </w:tcBorders>
            <w:vAlign w:val="center"/>
          </w:tcPr>
          <w:p w14:paraId="47C003A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w:t>
            </w: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ST</w:t>
            </w:r>
          </w:p>
        </w:tc>
        <w:tc>
          <w:tcPr>
            <w:tcW w:w="1949" w:type="pct"/>
            <w:tcBorders>
              <w:bottom w:val="single" w:color="auto" w:sz="4" w:space="0"/>
            </w:tcBorders>
            <w:vAlign w:val="center"/>
          </w:tcPr>
          <w:p w14:paraId="26F179F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r>
      <w:tr w14:paraId="2F3C15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op w:val="single" w:color="auto" w:sz="4" w:space="0"/>
              <w:tl2br w:val="nil"/>
              <w:tr2bl w:val="nil"/>
            </w:tcBorders>
            <w:vAlign w:val="center"/>
          </w:tcPr>
          <w:p w14:paraId="26E043B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IV</w:t>
            </w:r>
          </w:p>
        </w:tc>
        <w:tc>
          <w:tcPr>
            <w:tcW w:w="1948" w:type="pct"/>
            <w:tcBorders>
              <w:top w:val="single" w:color="auto" w:sz="4" w:space="0"/>
              <w:tl2br w:val="nil"/>
              <w:tr2bl w:val="nil"/>
            </w:tcBorders>
            <w:vAlign w:val="center"/>
          </w:tcPr>
          <w:p w14:paraId="51FFCD5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511</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vertAlign w:val="superscript"/>
                <w:lang w:val="en-US" w:eastAsia="zh-CN"/>
                <w14:textFill>
                  <w14:solidFill>
                    <w14:schemeClr w14:val="tx1">
                      <w14:lumMod w14:val="95000"/>
                      <w14:lumOff w14:val="5000"/>
                    </w14:schemeClr>
                  </w14:solidFill>
                </w14:textFill>
              </w:rPr>
              <w:t>*</w:t>
            </w:r>
          </w:p>
        </w:tc>
        <w:tc>
          <w:tcPr>
            <w:tcW w:w="1949" w:type="pct"/>
            <w:tcBorders>
              <w:top w:val="single" w:color="auto" w:sz="4" w:space="0"/>
              <w:tl2br w:val="nil"/>
              <w:tr2bl w:val="nil"/>
            </w:tcBorders>
            <w:vAlign w:val="center"/>
          </w:tcPr>
          <w:p w14:paraId="1258388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r>
      <w:tr w14:paraId="6AF377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6FB7E74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948" w:type="pct"/>
            <w:tcBorders>
              <w:tl2br w:val="nil"/>
              <w:tr2bl w:val="nil"/>
            </w:tcBorders>
            <w:vAlign w:val="center"/>
          </w:tcPr>
          <w:p w14:paraId="4A10CB4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39</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949" w:type="pct"/>
            <w:tcBorders>
              <w:tl2br w:val="nil"/>
              <w:tr2bl w:val="nil"/>
            </w:tcBorders>
            <w:vAlign w:val="center"/>
          </w:tcPr>
          <w:p w14:paraId="43D7130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r>
      <w:tr w14:paraId="0C19D2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643A151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EST_fit</w:t>
            </w:r>
          </w:p>
        </w:tc>
        <w:tc>
          <w:tcPr>
            <w:tcW w:w="1948" w:type="pct"/>
            <w:tcBorders>
              <w:tl2br w:val="nil"/>
              <w:tr2bl w:val="nil"/>
            </w:tcBorders>
            <w:vAlign w:val="center"/>
          </w:tcPr>
          <w:p w14:paraId="0B80356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49" w:type="pct"/>
            <w:tcBorders>
              <w:tl2br w:val="nil"/>
              <w:tr2bl w:val="nil"/>
            </w:tcBorders>
            <w:vAlign w:val="center"/>
          </w:tcPr>
          <w:p w14:paraId="08FF29C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0</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.33</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8</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vertAlign w:val="superscript"/>
                <w:lang w:val="en-US" w:eastAsia="zh-CN"/>
                <w14:textFill>
                  <w14:solidFill>
                    <w14:schemeClr w14:val="tx1">
                      <w14:lumMod w14:val="95000"/>
                      <w14:lumOff w14:val="5000"/>
                    </w14:schemeClr>
                  </w14:solidFill>
                </w14:textFill>
              </w:rPr>
              <w:t>*</w:t>
            </w:r>
          </w:p>
        </w:tc>
      </w:tr>
      <w:tr w14:paraId="76E396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5B7440E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948" w:type="pct"/>
            <w:tcBorders>
              <w:tl2br w:val="nil"/>
              <w:tr2bl w:val="nil"/>
            </w:tcBorders>
            <w:vAlign w:val="center"/>
          </w:tcPr>
          <w:p w14:paraId="2B6E474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949" w:type="pct"/>
            <w:tcBorders>
              <w:tl2br w:val="nil"/>
              <w:tr2bl w:val="nil"/>
            </w:tcBorders>
            <w:vAlign w:val="center"/>
          </w:tcPr>
          <w:p w14:paraId="64B4B0B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(0.16</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3</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w:t>
            </w:r>
          </w:p>
        </w:tc>
      </w:tr>
      <w:tr w14:paraId="0990F4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150F7E2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Treat × Period</w:t>
            </w:r>
          </w:p>
        </w:tc>
        <w:tc>
          <w:tcPr>
            <w:tcW w:w="1948" w:type="pct"/>
            <w:tcBorders>
              <w:tl2br w:val="nil"/>
              <w:tr2bl w:val="nil"/>
            </w:tcBorders>
            <w:vAlign w:val="center"/>
          </w:tcPr>
          <w:p w14:paraId="2D0DBD6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14:ligatures w14:val="standardContextua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0.185</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vertAlign w:val="superscript"/>
                <w:lang w:val="en-US" w:eastAsia="zh-CN"/>
                <w14:textFill>
                  <w14:solidFill>
                    <w14:schemeClr w14:val="tx1">
                      <w14:lumMod w14:val="95000"/>
                      <w14:lumOff w14:val="5000"/>
                    </w14:schemeClr>
                  </w14:solidFill>
                </w14:textFill>
              </w:rPr>
              <w:t>**</w:t>
            </w:r>
          </w:p>
        </w:tc>
        <w:tc>
          <w:tcPr>
            <w:tcW w:w="1949" w:type="pct"/>
            <w:tcBorders>
              <w:tl2br w:val="nil"/>
              <w:tr2bl w:val="nil"/>
            </w:tcBorders>
            <w:vAlign w:val="center"/>
          </w:tcPr>
          <w:p w14:paraId="1ED5737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6</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4</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vertAlign w:val="superscript"/>
                <w:lang w:val="en-US" w:eastAsia="zh-CN"/>
                <w14:textFill>
                  <w14:solidFill>
                    <w14:schemeClr w14:val="tx1">
                      <w14:lumMod w14:val="95000"/>
                      <w14:lumOff w14:val="5000"/>
                    </w14:schemeClr>
                  </w14:solidFill>
                </w14:textFill>
              </w:rPr>
              <w:t>*</w:t>
            </w:r>
          </w:p>
        </w:tc>
      </w:tr>
      <w:tr w14:paraId="04EC24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53FD949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948" w:type="pct"/>
            <w:tcBorders>
              <w:tl2br w:val="nil"/>
              <w:tr2bl w:val="nil"/>
            </w:tcBorders>
            <w:vAlign w:val="center"/>
          </w:tcPr>
          <w:p w14:paraId="6B9A34C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6</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949" w:type="pct"/>
            <w:tcBorders>
              <w:tl2br w:val="nil"/>
              <w:tr2bl w:val="nil"/>
            </w:tcBorders>
            <w:vAlign w:val="center"/>
          </w:tcPr>
          <w:p w14:paraId="717D8D2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30</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0091B8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3F5BE34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Treat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1948" w:type="pct"/>
            <w:tcBorders>
              <w:tl2br w:val="nil"/>
              <w:tr2bl w:val="nil"/>
            </w:tcBorders>
            <w:vAlign w:val="center"/>
          </w:tcPr>
          <w:p w14:paraId="7475A7F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426</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vertAlign w:val="superscript"/>
                <w:lang w:val="en-US" w:eastAsia="zh-CN"/>
                <w14:textFill>
                  <w14:solidFill>
                    <w14:schemeClr w14:val="tx1">
                      <w14:lumMod w14:val="95000"/>
                      <w14:lumOff w14:val="5000"/>
                    </w14:schemeClr>
                  </w14:solidFill>
                </w14:textFill>
              </w:rPr>
              <w:t>*</w:t>
            </w:r>
          </w:p>
        </w:tc>
        <w:tc>
          <w:tcPr>
            <w:tcW w:w="1949" w:type="pct"/>
            <w:tcBorders>
              <w:tl2br w:val="nil"/>
              <w:tr2bl w:val="nil"/>
            </w:tcBorders>
            <w:vAlign w:val="center"/>
          </w:tcPr>
          <w:p w14:paraId="5456954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13</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4</w:t>
            </w:r>
            <w:r>
              <w:rPr>
                <w:rFonts w:hint="default" w:ascii="Times New Roman" w:hAnsi="Times New Roman" w:eastAsia="宋体" w:cs="Times New Roman"/>
                <w:color w:val="0D0D0D" w:themeColor="text1" w:themeTint="F2"/>
                <w:sz w:val="20"/>
                <w:szCs w:val="20"/>
                <w:highlight w:val="none"/>
                <w:vertAlign w:val="superscript"/>
                <w:lang w:val="en-US" w:eastAsia="zh-CN"/>
                <w14:textFill>
                  <w14:solidFill>
                    <w14:schemeClr w14:val="tx1">
                      <w14:lumMod w14:val="95000"/>
                      <w14:lumOff w14:val="5000"/>
                    </w14:schemeClr>
                  </w14:solidFill>
                </w14:textFill>
              </w:rPr>
              <w:t>*</w:t>
            </w:r>
          </w:p>
        </w:tc>
      </w:tr>
      <w:tr w14:paraId="417D36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4D22BD7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948" w:type="pct"/>
            <w:tcBorders>
              <w:tl2br w:val="nil"/>
              <w:tr2bl w:val="nil"/>
            </w:tcBorders>
            <w:vAlign w:val="center"/>
          </w:tcPr>
          <w:p w14:paraId="1149325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(0.03</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8</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949" w:type="pct"/>
            <w:tcBorders>
              <w:tl2br w:val="nil"/>
              <w:tr2bl w:val="nil"/>
            </w:tcBorders>
            <w:vAlign w:val="center"/>
          </w:tcPr>
          <w:p w14:paraId="492605E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7</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4</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14CFA5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186EDC7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Period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1948" w:type="pct"/>
            <w:tcBorders>
              <w:tl2br w:val="nil"/>
              <w:tr2bl w:val="nil"/>
            </w:tcBorders>
            <w:vAlign w:val="center"/>
          </w:tcPr>
          <w:p w14:paraId="64B995D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0.573</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vertAlign w:val="superscript"/>
                <w:lang w:val="en-US" w:eastAsia="zh-CN"/>
                <w14:textFill>
                  <w14:solidFill>
                    <w14:schemeClr w14:val="tx1">
                      <w14:lumMod w14:val="95000"/>
                      <w14:lumOff w14:val="5000"/>
                    </w14:schemeClr>
                  </w14:solidFill>
                </w14:textFill>
              </w:rPr>
              <w:t>*</w:t>
            </w:r>
          </w:p>
        </w:tc>
        <w:tc>
          <w:tcPr>
            <w:tcW w:w="1949" w:type="pct"/>
            <w:tcBorders>
              <w:tl2br w:val="nil"/>
              <w:tr2bl w:val="nil"/>
            </w:tcBorders>
            <w:vAlign w:val="center"/>
          </w:tcPr>
          <w:p w14:paraId="4672241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19</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7</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07E19E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bottom w:val="nil"/>
              <w:tl2br w:val="nil"/>
              <w:tr2bl w:val="nil"/>
            </w:tcBorders>
            <w:vAlign w:val="center"/>
          </w:tcPr>
          <w:p w14:paraId="5197AB8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948" w:type="pct"/>
            <w:tcBorders>
              <w:bottom w:val="nil"/>
              <w:tl2br w:val="nil"/>
              <w:tr2bl w:val="nil"/>
            </w:tcBorders>
            <w:vAlign w:val="center"/>
          </w:tcPr>
          <w:p w14:paraId="3BD6393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13</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949" w:type="pct"/>
            <w:tcBorders>
              <w:bottom w:val="nil"/>
              <w:tl2br w:val="nil"/>
              <w:tr2bl w:val="nil"/>
            </w:tcBorders>
            <w:vAlign w:val="center"/>
          </w:tcPr>
          <w:p w14:paraId="6953097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94</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04F0F9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op w:val="single" w:color="auto" w:sz="4" w:space="0"/>
            </w:tcBorders>
            <w:vAlign w:val="center"/>
          </w:tcPr>
          <w:p w14:paraId="5282131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1948" w:type="pct"/>
            <w:tcBorders>
              <w:top w:val="single" w:color="auto" w:sz="4" w:space="0"/>
            </w:tcBorders>
            <w:vAlign w:val="center"/>
          </w:tcPr>
          <w:p w14:paraId="651460C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949" w:type="pct"/>
            <w:tcBorders>
              <w:top w:val="single" w:color="auto" w:sz="4" w:space="0"/>
            </w:tcBorders>
            <w:vAlign w:val="center"/>
          </w:tcPr>
          <w:p w14:paraId="6E03010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453A73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6C57590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1948" w:type="pct"/>
            <w:tcBorders>
              <w:tl2br w:val="nil"/>
              <w:tr2bl w:val="nil"/>
            </w:tcBorders>
            <w:vAlign w:val="center"/>
          </w:tcPr>
          <w:p w14:paraId="24414F3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949" w:type="pct"/>
            <w:tcBorders>
              <w:tl2br w:val="nil"/>
              <w:tr2bl w:val="nil"/>
            </w:tcBorders>
            <w:vAlign w:val="center"/>
          </w:tcPr>
          <w:p w14:paraId="6B33B2E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77B181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08F8C13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1948" w:type="pct"/>
            <w:tcBorders>
              <w:tl2br w:val="nil"/>
              <w:tr2bl w:val="nil"/>
            </w:tcBorders>
            <w:vAlign w:val="center"/>
          </w:tcPr>
          <w:p w14:paraId="3D575BF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949" w:type="pct"/>
            <w:tcBorders>
              <w:tl2br w:val="nil"/>
              <w:tr2bl w:val="nil"/>
            </w:tcBorders>
            <w:vAlign w:val="center"/>
          </w:tcPr>
          <w:p w14:paraId="566FF38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33B7DB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699A782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1948" w:type="pct"/>
            <w:tcBorders>
              <w:tl2br w:val="nil"/>
              <w:tr2bl w:val="nil"/>
            </w:tcBorders>
            <w:vAlign w:val="center"/>
          </w:tcPr>
          <w:p w14:paraId="3B47289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949" w:type="pct"/>
            <w:tcBorders>
              <w:tl2br w:val="nil"/>
              <w:tr2bl w:val="nil"/>
            </w:tcBorders>
            <w:vAlign w:val="center"/>
          </w:tcPr>
          <w:p w14:paraId="326D35C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02F5D6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0C973E6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1948" w:type="pct"/>
            <w:tcBorders>
              <w:tl2br w:val="nil"/>
              <w:tr2bl w:val="nil"/>
            </w:tcBorders>
            <w:vAlign w:val="center"/>
          </w:tcPr>
          <w:p w14:paraId="249EA56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949" w:type="pct"/>
            <w:tcBorders>
              <w:tl2br w:val="nil"/>
              <w:tr2bl w:val="nil"/>
            </w:tcBorders>
            <w:vAlign w:val="center"/>
          </w:tcPr>
          <w:p w14:paraId="13E5709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5A1764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102" w:type="pct"/>
            <w:tcBorders>
              <w:tl2br w:val="nil"/>
              <w:tr2bl w:val="nil"/>
            </w:tcBorders>
            <w:vAlign w:val="center"/>
          </w:tcPr>
          <w:p w14:paraId="1A76FE9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1948" w:type="pct"/>
            <w:tcBorders>
              <w:tl2br w:val="nil"/>
              <w:tr2bl w:val="nil"/>
            </w:tcBorders>
            <w:vAlign w:val="center"/>
          </w:tcPr>
          <w:p w14:paraId="28DAFC6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c>
          <w:tcPr>
            <w:tcW w:w="1949" w:type="pct"/>
            <w:tcBorders>
              <w:tl2br w:val="nil"/>
              <w:tr2bl w:val="nil"/>
            </w:tcBorders>
            <w:vAlign w:val="center"/>
          </w:tcPr>
          <w:p w14:paraId="7099A5E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10,256</w:t>
            </w:r>
          </w:p>
        </w:tc>
      </w:tr>
    </w:tbl>
    <w:p w14:paraId="62681A90">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Note: Robust standard errors in parentheses, ***, **, and * indicate significance at the 0.01, 0.05, and 0.1 levels, respectively.</w:t>
      </w:r>
    </w:p>
    <w:p w14:paraId="75CB4C43">
      <w:pPr>
        <w:bidi w:val="0"/>
        <w:rPr>
          <w:rFonts w:hint="default" w:ascii="Times New Roman" w:hAnsi="Times New Roman" w:cs="Times New Roman" w:eastAsiaTheme="minorEastAsia"/>
          <w:color w:val="0D0D0D" w:themeColor="text1" w:themeTint="F2"/>
          <w:kern w:val="0"/>
          <w:sz w:val="22"/>
          <w:szCs w:val="22"/>
          <w:highlight w:val="none"/>
          <w:lang w:val="en-US" w:eastAsia="zh-CN" w:bidi="ar-SA"/>
          <w14:textFill>
            <w14:solidFill>
              <w14:schemeClr w14:val="tx1">
                <w14:lumMod w14:val="95000"/>
                <w14:lumOff w14:val="5000"/>
              </w14:schemeClr>
            </w14:solidFill>
          </w14:textFill>
        </w:rPr>
      </w:pPr>
    </w:p>
    <w:p w14:paraId="523559C0">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To address the concern about IV exogeneity, we also conducted a series of falsification tests. First, we ran a reduced-form regression of ESG performance on the IV using the full sample. Column (1) of Supplementary Table S6 Panel A shows a significant positive association. We then restricted the sample to the period before the EST pilot (i.e., pre-2017). Column (2) reveals no significant relationship between the IV and ESG performance in this pre-policy subsample. However, column (3) shows that after 2017, this IV was significantly positively correlated with ESG performance. This pattern indicates that historical electricity price volatility affects ESG outcomes only after the policy is in place, supporting the exclusion restriction that the IV operates solely through pilot selection.</w:t>
      </w:r>
    </w:p>
    <w:p w14:paraId="69B3C7D2">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9"/>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Table S</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6</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Falsification </w:t>
      </w: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est</w:t>
      </w: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w:t>
      </w:r>
    </w:p>
    <w:tbl>
      <w:tblPr>
        <w:tblStyle w:val="12"/>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66"/>
        <w:gridCol w:w="1946"/>
        <w:gridCol w:w="1946"/>
        <w:gridCol w:w="1961"/>
      </w:tblGrid>
      <w:tr w14:paraId="48A8F9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4"/>
            <w:tcBorders>
              <w:bottom w:val="single" w:color="auto" w:sz="4" w:space="0"/>
            </w:tcBorders>
            <w:vAlign w:val="center"/>
          </w:tcPr>
          <w:p w14:paraId="7E34A89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 xml:space="preserve">Panel A: </w:t>
            </w:r>
            <w:r>
              <w:rPr>
                <w:rFonts w:hint="default" w:ascii="Times New Roman" w:hAnsi="Times New Roman" w:eastAsia="宋体" w:cs="Times New Roman"/>
                <w:b/>
                <w:bCs/>
                <w:color w:val="0D0D0D" w:themeColor="text1" w:themeTint="F2"/>
                <w:sz w:val="20"/>
                <w:szCs w:val="20"/>
                <w:highlight w:val="none"/>
                <w14:textFill>
                  <w14:solidFill>
                    <w14:schemeClr w14:val="tx1">
                      <w14:lumMod w14:val="95000"/>
                      <w14:lumOff w14:val="5000"/>
                    </w14:schemeClr>
                  </w14:solidFill>
                </w14:textFill>
              </w:rPr>
              <w:t xml:space="preserve">Simplified </w:t>
            </w:r>
            <w:r>
              <w:rPr>
                <w:rFonts w:hint="default" w:ascii="Times New Roman" w:hAnsi="Times New Roman" w:eastAsia="宋体"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R</w:t>
            </w:r>
            <w:r>
              <w:rPr>
                <w:rFonts w:hint="default" w:ascii="Times New Roman" w:hAnsi="Times New Roman" w:eastAsia="宋体" w:cs="Times New Roman"/>
                <w:b/>
                <w:bCs/>
                <w:color w:val="0D0D0D" w:themeColor="text1" w:themeTint="F2"/>
                <w:sz w:val="20"/>
                <w:szCs w:val="20"/>
                <w:highlight w:val="none"/>
                <w14:textFill>
                  <w14:solidFill>
                    <w14:schemeClr w14:val="tx1">
                      <w14:lumMod w14:val="95000"/>
                      <w14:lumOff w14:val="5000"/>
                    </w14:schemeClr>
                  </w14:solidFill>
                </w14:textFill>
              </w:rPr>
              <w:t>egression</w:t>
            </w:r>
          </w:p>
        </w:tc>
      </w:tr>
      <w:tr w14:paraId="17DCA4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vMerge w:val="restart"/>
            <w:tcBorders>
              <w:top w:val="single" w:color="auto" w:sz="4" w:space="0"/>
              <w:bottom w:val="single" w:color="auto" w:sz="4" w:space="0"/>
            </w:tcBorders>
            <w:vAlign w:val="center"/>
          </w:tcPr>
          <w:p w14:paraId="1ACEED6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1142" w:type="pct"/>
            <w:tcBorders>
              <w:top w:val="single" w:color="auto" w:sz="4" w:space="0"/>
              <w:bottom w:val="nil"/>
            </w:tcBorders>
            <w:shd w:val="clear" w:color="auto" w:fill="auto"/>
            <w:vAlign w:val="center"/>
          </w:tcPr>
          <w:p w14:paraId="623017FD">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w:t>
            </w:r>
          </w:p>
        </w:tc>
        <w:tc>
          <w:tcPr>
            <w:tcW w:w="1142" w:type="pct"/>
            <w:tcBorders>
              <w:top w:val="single" w:color="auto" w:sz="4" w:space="0"/>
              <w:bottom w:val="nil"/>
            </w:tcBorders>
            <w:shd w:val="clear" w:color="auto" w:fill="auto"/>
            <w:vAlign w:val="center"/>
          </w:tcPr>
          <w:p w14:paraId="45FDEF14">
            <w:pPr>
              <w:keepNext w:val="0"/>
              <w:keepLines w:val="0"/>
              <w:pageBreakBefore w:val="0"/>
              <w:tabs>
                <w:tab w:val="center" w:pos="693"/>
              </w:tabs>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w:t>
            </w:r>
          </w:p>
        </w:tc>
        <w:tc>
          <w:tcPr>
            <w:tcW w:w="1149" w:type="pct"/>
            <w:tcBorders>
              <w:top w:val="single" w:color="auto" w:sz="4" w:space="0"/>
              <w:bottom w:val="nil"/>
            </w:tcBorders>
            <w:vAlign w:val="center"/>
          </w:tcPr>
          <w:p w14:paraId="6BFB9B54">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3</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4E3DAF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vMerge w:val="continue"/>
            <w:tcBorders>
              <w:top w:val="single" w:color="auto" w:sz="4" w:space="0"/>
              <w:bottom w:val="single" w:color="auto" w:sz="4" w:space="0"/>
            </w:tcBorders>
            <w:vAlign w:val="center"/>
          </w:tcPr>
          <w:p w14:paraId="7B67A49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op w:val="nil"/>
              <w:bottom w:val="single" w:color="auto" w:sz="4" w:space="0"/>
            </w:tcBorders>
            <w:shd w:val="clear" w:color="auto" w:fill="auto"/>
            <w:vAlign w:val="center"/>
          </w:tcPr>
          <w:p w14:paraId="2B98BB23">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142" w:type="pct"/>
            <w:tcBorders>
              <w:top w:val="nil"/>
              <w:bottom w:val="single" w:color="auto" w:sz="4" w:space="0"/>
            </w:tcBorders>
            <w:shd w:val="clear" w:color="auto" w:fill="auto"/>
            <w:vAlign w:val="center"/>
          </w:tcPr>
          <w:p w14:paraId="48D16B76">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149" w:type="pct"/>
            <w:tcBorders>
              <w:top w:val="nil"/>
              <w:bottom w:val="single" w:color="auto" w:sz="4" w:space="0"/>
            </w:tcBorders>
            <w:vAlign w:val="center"/>
          </w:tcPr>
          <w:p w14:paraId="0C71963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r>
      <w:tr w14:paraId="5E1CF6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op w:val="single" w:color="auto" w:sz="4" w:space="0"/>
              <w:tl2br w:val="nil"/>
              <w:tr2bl w:val="nil"/>
            </w:tcBorders>
            <w:vAlign w:val="center"/>
          </w:tcPr>
          <w:p w14:paraId="19492BD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IV</w:t>
            </w:r>
          </w:p>
        </w:tc>
        <w:tc>
          <w:tcPr>
            <w:tcW w:w="1142" w:type="pct"/>
            <w:tcBorders>
              <w:top w:val="single" w:color="auto" w:sz="4" w:space="0"/>
              <w:tl2br w:val="nil"/>
              <w:tr2bl w:val="nil"/>
            </w:tcBorders>
            <w:shd w:val="clear" w:color="auto" w:fill="auto"/>
            <w:vAlign w:val="top"/>
          </w:tcPr>
          <w:p w14:paraId="664CCAD2">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0.167</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142" w:type="pct"/>
            <w:tcBorders>
              <w:top w:val="single" w:color="auto" w:sz="4" w:space="0"/>
              <w:tl2br w:val="nil"/>
              <w:tr2bl w:val="nil"/>
            </w:tcBorders>
            <w:shd w:val="clear" w:color="auto" w:fill="auto"/>
            <w:vAlign w:val="top"/>
          </w:tcPr>
          <w:p w14:paraId="40A229FE">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0.166</w:t>
            </w:r>
          </w:p>
        </w:tc>
        <w:tc>
          <w:tcPr>
            <w:tcW w:w="1149" w:type="pct"/>
            <w:tcBorders>
              <w:top w:val="single" w:color="auto" w:sz="4" w:space="0"/>
              <w:tl2br w:val="nil"/>
              <w:tr2bl w:val="nil"/>
            </w:tcBorders>
            <w:shd w:val="clear" w:color="auto" w:fill="auto"/>
            <w:vAlign w:val="top"/>
          </w:tcPr>
          <w:p w14:paraId="64669DC0">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0.496</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0DE390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04B8493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64877368">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(0.070)</w:t>
            </w:r>
          </w:p>
        </w:tc>
        <w:tc>
          <w:tcPr>
            <w:tcW w:w="1142" w:type="pct"/>
            <w:tcBorders>
              <w:tl2br w:val="nil"/>
              <w:tr2bl w:val="nil"/>
            </w:tcBorders>
            <w:shd w:val="clear" w:color="auto" w:fill="auto"/>
            <w:vAlign w:val="top"/>
          </w:tcPr>
          <w:p w14:paraId="32BA93DC">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(0.196)</w:t>
            </w:r>
          </w:p>
        </w:tc>
        <w:tc>
          <w:tcPr>
            <w:tcW w:w="1149" w:type="pct"/>
            <w:tcBorders>
              <w:tl2br w:val="nil"/>
              <w:tr2bl w:val="nil"/>
            </w:tcBorders>
            <w:shd w:val="clear" w:color="auto" w:fill="auto"/>
            <w:vAlign w:val="top"/>
          </w:tcPr>
          <w:p w14:paraId="6C48B645">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(0.181)</w:t>
            </w:r>
          </w:p>
        </w:tc>
      </w:tr>
      <w:tr w14:paraId="46C011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op w:val="single" w:color="auto" w:sz="4" w:space="0"/>
            </w:tcBorders>
            <w:vAlign w:val="center"/>
          </w:tcPr>
          <w:p w14:paraId="54AFCDE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1142" w:type="pct"/>
            <w:tcBorders>
              <w:top w:val="single" w:color="auto" w:sz="4" w:space="0"/>
            </w:tcBorders>
            <w:shd w:val="clear" w:color="auto" w:fill="auto"/>
            <w:vAlign w:val="center"/>
          </w:tcPr>
          <w:p w14:paraId="06D7342E">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op w:val="single" w:color="auto" w:sz="4" w:space="0"/>
            </w:tcBorders>
            <w:shd w:val="clear" w:color="auto" w:fill="auto"/>
            <w:vAlign w:val="center"/>
          </w:tcPr>
          <w:p w14:paraId="42D6D607">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op w:val="single" w:color="auto" w:sz="4" w:space="0"/>
            </w:tcBorders>
            <w:vAlign w:val="center"/>
          </w:tcPr>
          <w:p w14:paraId="4E1D518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01E72D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43021F8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1142" w:type="pct"/>
            <w:tcBorders>
              <w:tl2br w:val="nil"/>
              <w:tr2bl w:val="nil"/>
            </w:tcBorders>
            <w:shd w:val="clear" w:color="auto" w:fill="auto"/>
            <w:vAlign w:val="center"/>
          </w:tcPr>
          <w:p w14:paraId="569509E6">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6A4B9BD1">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4A1FD41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56ECC0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45FA4D9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1142" w:type="pct"/>
            <w:tcBorders>
              <w:tl2br w:val="nil"/>
              <w:tr2bl w:val="nil"/>
            </w:tcBorders>
            <w:shd w:val="clear" w:color="auto" w:fill="auto"/>
            <w:vAlign w:val="center"/>
          </w:tcPr>
          <w:p w14:paraId="4E573DBD">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098B4436">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2E6C3EA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780E65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02D95D0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1142" w:type="pct"/>
            <w:tcBorders>
              <w:tl2br w:val="nil"/>
              <w:tr2bl w:val="nil"/>
            </w:tcBorders>
            <w:shd w:val="clear" w:color="auto" w:fill="auto"/>
            <w:vAlign w:val="center"/>
          </w:tcPr>
          <w:p w14:paraId="2CE6093E">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1F4B1F33">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432B75D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723EF7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594A42E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1142" w:type="pct"/>
            <w:tcBorders>
              <w:tl2br w:val="nil"/>
              <w:tr2bl w:val="nil"/>
            </w:tcBorders>
            <w:shd w:val="clear" w:color="auto" w:fill="auto"/>
            <w:vAlign w:val="center"/>
          </w:tcPr>
          <w:p w14:paraId="65DB2C2A">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601704B8">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3781FD1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015B85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7FFE062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1142" w:type="pct"/>
            <w:tcBorders>
              <w:tl2br w:val="nil"/>
              <w:tr2bl w:val="nil"/>
            </w:tcBorders>
            <w:shd w:val="clear" w:color="auto" w:fill="auto"/>
            <w:vAlign w:val="top"/>
          </w:tcPr>
          <w:p w14:paraId="22EA92FB">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c>
          <w:tcPr>
            <w:tcW w:w="1142" w:type="pct"/>
            <w:tcBorders>
              <w:tl2br w:val="nil"/>
              <w:tr2bl w:val="nil"/>
            </w:tcBorders>
            <w:shd w:val="clear" w:color="auto" w:fill="auto"/>
            <w:vAlign w:val="top"/>
          </w:tcPr>
          <w:p w14:paraId="616C05B6">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4,449</w:t>
            </w:r>
          </w:p>
        </w:tc>
        <w:tc>
          <w:tcPr>
            <w:tcW w:w="1149" w:type="pct"/>
            <w:tcBorders>
              <w:tl2br w:val="nil"/>
              <w:tr2bl w:val="nil"/>
            </w:tcBorders>
            <w:shd w:val="clear" w:color="auto" w:fill="auto"/>
            <w:vAlign w:val="top"/>
          </w:tcPr>
          <w:p w14:paraId="065EB219">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5,651</w:t>
            </w:r>
          </w:p>
        </w:tc>
      </w:tr>
      <w:tr w14:paraId="25D860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bottom w:val="single" w:color="auto" w:sz="4" w:space="0"/>
              <w:tl2br w:val="nil"/>
              <w:tr2bl w:val="nil"/>
            </w:tcBorders>
            <w:vAlign w:val="center"/>
          </w:tcPr>
          <w:p w14:paraId="5E266F2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2</w:t>
            </w:r>
          </w:p>
        </w:tc>
        <w:tc>
          <w:tcPr>
            <w:tcW w:w="1142" w:type="pct"/>
            <w:tcBorders>
              <w:bottom w:val="single" w:color="auto" w:sz="4" w:space="0"/>
              <w:tl2br w:val="nil"/>
              <w:tr2bl w:val="nil"/>
            </w:tcBorders>
            <w:shd w:val="clear" w:color="auto" w:fill="auto"/>
            <w:vAlign w:val="top"/>
          </w:tcPr>
          <w:p w14:paraId="1A96B4FD">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0.627</w:t>
            </w:r>
          </w:p>
        </w:tc>
        <w:tc>
          <w:tcPr>
            <w:tcW w:w="1142" w:type="pct"/>
            <w:tcBorders>
              <w:bottom w:val="single" w:color="auto" w:sz="4" w:space="0"/>
              <w:tl2br w:val="nil"/>
              <w:tr2bl w:val="nil"/>
            </w:tcBorders>
            <w:shd w:val="clear" w:color="auto" w:fill="auto"/>
            <w:vAlign w:val="top"/>
          </w:tcPr>
          <w:p w14:paraId="57FBE41B">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0.706</w:t>
            </w:r>
          </w:p>
        </w:tc>
        <w:tc>
          <w:tcPr>
            <w:tcW w:w="1149" w:type="pct"/>
            <w:tcBorders>
              <w:bottom w:val="single" w:color="auto" w:sz="4" w:space="0"/>
              <w:tl2br w:val="nil"/>
              <w:tr2bl w:val="nil"/>
            </w:tcBorders>
            <w:shd w:val="clear" w:color="auto" w:fill="auto"/>
            <w:vAlign w:val="top"/>
          </w:tcPr>
          <w:p w14:paraId="399410F7">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0.757</w:t>
            </w:r>
          </w:p>
        </w:tc>
      </w:tr>
      <w:tr w14:paraId="62A4E2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4"/>
            <w:tcBorders>
              <w:top w:val="single" w:color="auto" w:sz="4" w:space="0"/>
              <w:bottom w:val="single" w:color="auto" w:sz="4" w:space="0"/>
            </w:tcBorders>
            <w:vAlign w:val="center"/>
          </w:tcPr>
          <w:p w14:paraId="25B9734B">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 xml:space="preserve">Panel B: </w:t>
            </w:r>
            <w:r>
              <w:rPr>
                <w:rFonts w:hint="default" w:ascii="Times New Roman" w:hAnsi="Times New Roman" w:eastAsia="宋体" w:cs="Times New Roman"/>
                <w:b/>
                <w:bCs/>
                <w:color w:val="0D0D0D" w:themeColor="text1" w:themeTint="F2"/>
                <w:sz w:val="20"/>
                <w:szCs w:val="20"/>
                <w:highlight w:val="none"/>
                <w14:textFill>
                  <w14:solidFill>
                    <w14:schemeClr w14:val="tx1">
                      <w14:lumMod w14:val="95000"/>
                      <w14:lumOff w14:val="5000"/>
                    </w14:schemeClr>
                  </w14:solidFill>
                </w14:textFill>
              </w:rPr>
              <w:t xml:space="preserve">Power </w:t>
            </w:r>
            <w:r>
              <w:rPr>
                <w:rFonts w:hint="default" w:ascii="Times New Roman" w:hAnsi="Times New Roman" w:eastAsia="宋体"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P</w:t>
            </w:r>
            <w:r>
              <w:rPr>
                <w:rFonts w:hint="default" w:ascii="Times New Roman" w:hAnsi="Times New Roman" w:eastAsia="宋体" w:cs="Times New Roman"/>
                <w:b/>
                <w:bCs/>
                <w:color w:val="0D0D0D" w:themeColor="text1" w:themeTint="F2"/>
                <w:sz w:val="20"/>
                <w:szCs w:val="20"/>
                <w:highlight w:val="none"/>
                <w14:textFill>
                  <w14:solidFill>
                    <w14:schemeClr w14:val="tx1">
                      <w14:lumMod w14:val="95000"/>
                      <w14:lumOff w14:val="5000"/>
                    </w14:schemeClr>
                  </w14:solidFill>
                </w14:textFill>
              </w:rPr>
              <w:t>ath</w:t>
            </w:r>
          </w:p>
        </w:tc>
      </w:tr>
      <w:tr w14:paraId="41730D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vMerge w:val="restart"/>
            <w:tcBorders>
              <w:top w:val="single" w:color="auto" w:sz="4" w:space="0"/>
              <w:bottom w:val="single" w:color="auto" w:sz="4" w:space="0"/>
            </w:tcBorders>
            <w:vAlign w:val="center"/>
          </w:tcPr>
          <w:p w14:paraId="0D7FEED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1142" w:type="pct"/>
            <w:tcBorders>
              <w:top w:val="single" w:color="auto" w:sz="4" w:space="0"/>
              <w:bottom w:val="nil"/>
            </w:tcBorders>
            <w:shd w:val="clear" w:color="auto" w:fill="auto"/>
            <w:vAlign w:val="center"/>
          </w:tcPr>
          <w:p w14:paraId="77D11619">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4</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142" w:type="pct"/>
            <w:tcBorders>
              <w:top w:val="single" w:color="auto" w:sz="4" w:space="0"/>
              <w:bottom w:val="nil"/>
            </w:tcBorders>
            <w:shd w:val="clear" w:color="auto" w:fill="auto"/>
            <w:vAlign w:val="center"/>
          </w:tcPr>
          <w:p w14:paraId="2E7C9BA0">
            <w:pPr>
              <w:keepNext w:val="0"/>
              <w:keepLines w:val="0"/>
              <w:pageBreakBefore w:val="0"/>
              <w:tabs>
                <w:tab w:val="center" w:pos="693"/>
              </w:tabs>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5</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149" w:type="pct"/>
            <w:tcBorders>
              <w:top w:val="single" w:color="auto" w:sz="4" w:space="0"/>
              <w:bottom w:val="nil"/>
            </w:tcBorders>
            <w:vAlign w:val="center"/>
          </w:tcPr>
          <w:p w14:paraId="0D4BAF79">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6</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0EF803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vMerge w:val="continue"/>
            <w:tcBorders>
              <w:top w:val="single" w:color="auto" w:sz="4" w:space="0"/>
              <w:bottom w:val="single" w:color="auto" w:sz="4" w:space="0"/>
            </w:tcBorders>
            <w:vAlign w:val="center"/>
          </w:tcPr>
          <w:p w14:paraId="37569AC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op w:val="nil"/>
              <w:bottom w:val="single" w:color="auto" w:sz="4" w:space="0"/>
            </w:tcBorders>
            <w:shd w:val="clear" w:color="auto" w:fill="auto"/>
            <w:vAlign w:val="center"/>
          </w:tcPr>
          <w:p w14:paraId="50167913">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142" w:type="pct"/>
            <w:tcBorders>
              <w:top w:val="nil"/>
              <w:bottom w:val="single" w:color="auto" w:sz="4" w:space="0"/>
            </w:tcBorders>
            <w:shd w:val="clear" w:color="auto" w:fill="auto"/>
            <w:vAlign w:val="center"/>
          </w:tcPr>
          <w:p w14:paraId="58643716">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Power</w:t>
            </w:r>
          </w:p>
        </w:tc>
        <w:tc>
          <w:tcPr>
            <w:tcW w:w="1149" w:type="pct"/>
            <w:tcBorders>
              <w:top w:val="nil"/>
              <w:bottom w:val="single" w:color="auto" w:sz="4" w:space="0"/>
            </w:tcBorders>
            <w:vAlign w:val="center"/>
          </w:tcPr>
          <w:p w14:paraId="446708A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r>
      <w:tr w14:paraId="3D164C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op w:val="single" w:color="auto" w:sz="4" w:space="0"/>
              <w:tl2br w:val="nil"/>
              <w:tr2bl w:val="nil"/>
            </w:tcBorders>
            <w:vAlign w:val="center"/>
          </w:tcPr>
          <w:p w14:paraId="5A6B7A9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Power</w:t>
            </w:r>
          </w:p>
        </w:tc>
        <w:tc>
          <w:tcPr>
            <w:tcW w:w="1142" w:type="pct"/>
            <w:tcBorders>
              <w:top w:val="single" w:color="auto" w:sz="4" w:space="0"/>
              <w:tl2br w:val="nil"/>
              <w:tr2bl w:val="nil"/>
            </w:tcBorders>
            <w:shd w:val="clear" w:color="auto" w:fill="auto"/>
            <w:vAlign w:val="top"/>
          </w:tcPr>
          <w:p w14:paraId="3D2E5368">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-0.188</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142" w:type="pct"/>
            <w:tcBorders>
              <w:top w:val="single" w:color="auto" w:sz="4" w:space="0"/>
              <w:tl2br w:val="nil"/>
              <w:tr2bl w:val="nil"/>
            </w:tcBorders>
            <w:shd w:val="clear" w:color="auto" w:fill="auto"/>
            <w:vAlign w:val="top"/>
          </w:tcPr>
          <w:p w14:paraId="1F6209BC">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op w:val="single" w:color="auto" w:sz="4" w:space="0"/>
              <w:tl2br w:val="nil"/>
              <w:tr2bl w:val="nil"/>
            </w:tcBorders>
            <w:shd w:val="clear" w:color="auto" w:fill="auto"/>
            <w:vAlign w:val="top"/>
          </w:tcPr>
          <w:p w14:paraId="192E4805">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66E892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093D9BB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2AB1BB37">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(0.104)</w:t>
            </w:r>
          </w:p>
        </w:tc>
        <w:tc>
          <w:tcPr>
            <w:tcW w:w="1142" w:type="pct"/>
            <w:tcBorders>
              <w:tl2br w:val="nil"/>
              <w:tr2bl w:val="nil"/>
            </w:tcBorders>
            <w:shd w:val="clear" w:color="auto" w:fill="auto"/>
            <w:vAlign w:val="top"/>
          </w:tcPr>
          <w:p w14:paraId="1572AA49">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l2br w:val="nil"/>
              <w:tr2bl w:val="nil"/>
            </w:tcBorders>
            <w:shd w:val="clear" w:color="auto" w:fill="auto"/>
            <w:vAlign w:val="top"/>
          </w:tcPr>
          <w:p w14:paraId="51DBC018">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332D27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484B023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IV</w:t>
            </w:r>
          </w:p>
        </w:tc>
        <w:tc>
          <w:tcPr>
            <w:tcW w:w="1142" w:type="pct"/>
            <w:tcBorders>
              <w:tl2br w:val="nil"/>
              <w:tr2bl w:val="nil"/>
            </w:tcBorders>
            <w:shd w:val="clear" w:color="auto" w:fill="auto"/>
            <w:vAlign w:val="top"/>
          </w:tcPr>
          <w:p w14:paraId="14A17681">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4874B3BB">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0</w:t>
            </w:r>
            <w:r>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.025</w:t>
            </w:r>
          </w:p>
        </w:tc>
        <w:tc>
          <w:tcPr>
            <w:tcW w:w="1149" w:type="pct"/>
            <w:tcBorders>
              <w:tl2br w:val="nil"/>
              <w:tr2bl w:val="nil"/>
            </w:tcBorders>
            <w:shd w:val="clear" w:color="auto" w:fill="auto"/>
            <w:vAlign w:val="top"/>
          </w:tcPr>
          <w:p w14:paraId="18815C8E">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11FD81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59485C6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310A0B3F">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7BEAA5F0">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(0.023)</w:t>
            </w:r>
          </w:p>
        </w:tc>
        <w:tc>
          <w:tcPr>
            <w:tcW w:w="1149" w:type="pct"/>
            <w:tcBorders>
              <w:tl2br w:val="nil"/>
              <w:tr2bl w:val="nil"/>
            </w:tcBorders>
            <w:shd w:val="clear" w:color="auto" w:fill="auto"/>
            <w:vAlign w:val="top"/>
          </w:tcPr>
          <w:p w14:paraId="291C357D">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27FAD5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13D8C95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Power_fit</w:t>
            </w:r>
          </w:p>
        </w:tc>
        <w:tc>
          <w:tcPr>
            <w:tcW w:w="1142" w:type="pct"/>
            <w:tcBorders>
              <w:tl2br w:val="nil"/>
              <w:tr2bl w:val="nil"/>
            </w:tcBorders>
            <w:shd w:val="clear" w:color="auto" w:fill="auto"/>
            <w:vAlign w:val="top"/>
          </w:tcPr>
          <w:p w14:paraId="72B4ABA8">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77A4611A">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l2br w:val="nil"/>
              <w:tr2bl w:val="nil"/>
            </w:tcBorders>
            <w:shd w:val="clear" w:color="auto" w:fill="auto"/>
            <w:vAlign w:val="top"/>
          </w:tcPr>
          <w:p w14:paraId="41FB2009">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-6.56</w:t>
            </w:r>
            <w:r>
              <w:rPr>
                <w:rFonts w:hint="default" w:ascii="Times New Roman" w:hAnsi="Times New Roman"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2</w:t>
            </w:r>
          </w:p>
        </w:tc>
      </w:tr>
      <w:tr w14:paraId="66EB3F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4398413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7A1D5210">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2DE9D390">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l2br w:val="nil"/>
              <w:tr2bl w:val="nil"/>
            </w:tcBorders>
            <w:shd w:val="clear" w:color="auto" w:fill="auto"/>
            <w:vAlign w:val="top"/>
          </w:tcPr>
          <w:p w14:paraId="2C48CDF8">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(6.424)</w:t>
            </w:r>
          </w:p>
        </w:tc>
      </w:tr>
      <w:tr w14:paraId="6F8EEF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op w:val="single" w:color="auto" w:sz="4" w:space="0"/>
            </w:tcBorders>
            <w:vAlign w:val="center"/>
          </w:tcPr>
          <w:p w14:paraId="71A55CB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1142" w:type="pct"/>
            <w:tcBorders>
              <w:top w:val="single" w:color="auto" w:sz="4" w:space="0"/>
            </w:tcBorders>
            <w:shd w:val="clear" w:color="auto" w:fill="auto"/>
            <w:vAlign w:val="center"/>
          </w:tcPr>
          <w:p w14:paraId="4D3CFC51">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op w:val="single" w:color="auto" w:sz="4" w:space="0"/>
            </w:tcBorders>
            <w:shd w:val="clear" w:color="auto" w:fill="auto"/>
            <w:vAlign w:val="center"/>
          </w:tcPr>
          <w:p w14:paraId="0F79B476">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op w:val="single" w:color="auto" w:sz="4" w:space="0"/>
            </w:tcBorders>
            <w:vAlign w:val="center"/>
          </w:tcPr>
          <w:p w14:paraId="3CCB375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627AF0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445B526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1142" w:type="pct"/>
            <w:tcBorders>
              <w:tl2br w:val="nil"/>
              <w:tr2bl w:val="nil"/>
            </w:tcBorders>
            <w:shd w:val="clear" w:color="auto" w:fill="auto"/>
            <w:vAlign w:val="center"/>
          </w:tcPr>
          <w:p w14:paraId="03935DF4">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06546F1D">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21A73A4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2805DD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19D24A7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1142" w:type="pct"/>
            <w:tcBorders>
              <w:tl2br w:val="nil"/>
              <w:tr2bl w:val="nil"/>
            </w:tcBorders>
            <w:shd w:val="clear" w:color="auto" w:fill="auto"/>
            <w:vAlign w:val="center"/>
          </w:tcPr>
          <w:p w14:paraId="1CC337FF">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2A35D72D">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2B3E866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3CD30E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6A52CF6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1142" w:type="pct"/>
            <w:tcBorders>
              <w:tl2br w:val="nil"/>
              <w:tr2bl w:val="nil"/>
            </w:tcBorders>
            <w:shd w:val="clear" w:color="auto" w:fill="auto"/>
            <w:vAlign w:val="center"/>
          </w:tcPr>
          <w:p w14:paraId="551812DD">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60485CC9">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2560ACD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37C404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6AADAB8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1142" w:type="pct"/>
            <w:tcBorders>
              <w:tl2br w:val="nil"/>
              <w:tr2bl w:val="nil"/>
            </w:tcBorders>
            <w:shd w:val="clear" w:color="auto" w:fill="auto"/>
            <w:vAlign w:val="center"/>
          </w:tcPr>
          <w:p w14:paraId="732555A8">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5B083009">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581C6E1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7CD875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40321B0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1142" w:type="pct"/>
            <w:tcBorders>
              <w:tl2br w:val="nil"/>
              <w:tr2bl w:val="nil"/>
            </w:tcBorders>
            <w:shd w:val="clear" w:color="auto" w:fill="auto"/>
            <w:vAlign w:val="top"/>
          </w:tcPr>
          <w:p w14:paraId="068EB497">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c>
          <w:tcPr>
            <w:tcW w:w="1142" w:type="pct"/>
            <w:tcBorders>
              <w:tl2br w:val="nil"/>
              <w:tr2bl w:val="nil"/>
            </w:tcBorders>
            <w:shd w:val="clear" w:color="auto" w:fill="auto"/>
            <w:vAlign w:val="top"/>
          </w:tcPr>
          <w:p w14:paraId="09B633C1">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c>
          <w:tcPr>
            <w:tcW w:w="1149" w:type="pct"/>
            <w:tcBorders>
              <w:tl2br w:val="nil"/>
              <w:tr2bl w:val="nil"/>
            </w:tcBorders>
            <w:shd w:val="clear" w:color="auto" w:fill="auto"/>
            <w:vAlign w:val="top"/>
          </w:tcPr>
          <w:p w14:paraId="7ACF4056">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r>
      <w:tr w14:paraId="487AB8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bottom w:val="single" w:color="auto" w:sz="4" w:space="0"/>
              <w:tl2br w:val="nil"/>
              <w:tr2bl w:val="nil"/>
            </w:tcBorders>
            <w:vAlign w:val="center"/>
          </w:tcPr>
          <w:p w14:paraId="13DC96B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2</w:t>
            </w:r>
          </w:p>
        </w:tc>
        <w:tc>
          <w:tcPr>
            <w:tcW w:w="1142" w:type="pct"/>
            <w:tcBorders>
              <w:bottom w:val="single" w:color="auto" w:sz="4" w:space="0"/>
              <w:tl2br w:val="nil"/>
              <w:tr2bl w:val="nil"/>
            </w:tcBorders>
            <w:shd w:val="clear" w:color="auto" w:fill="auto"/>
            <w:vAlign w:val="top"/>
          </w:tcPr>
          <w:p w14:paraId="2DDD92E1">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0.6</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27</w:t>
            </w:r>
          </w:p>
        </w:tc>
        <w:tc>
          <w:tcPr>
            <w:tcW w:w="1142" w:type="pct"/>
            <w:tcBorders>
              <w:bottom w:val="single" w:color="auto" w:sz="4" w:space="0"/>
              <w:tl2br w:val="nil"/>
              <w:tr2bl w:val="nil"/>
            </w:tcBorders>
            <w:shd w:val="clear" w:color="auto" w:fill="auto"/>
            <w:vAlign w:val="top"/>
          </w:tcPr>
          <w:p w14:paraId="07D7B803">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bottom w:val="single" w:color="auto" w:sz="4" w:space="0"/>
              <w:tl2br w:val="nil"/>
              <w:tr2bl w:val="nil"/>
            </w:tcBorders>
            <w:shd w:val="clear" w:color="auto" w:fill="auto"/>
            <w:vAlign w:val="top"/>
          </w:tcPr>
          <w:p w14:paraId="2F15B9C0">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6BEA3B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4"/>
            <w:tcBorders>
              <w:top w:val="single" w:color="auto" w:sz="4" w:space="0"/>
              <w:bottom w:val="single" w:color="auto" w:sz="4" w:space="0"/>
            </w:tcBorders>
            <w:vAlign w:val="center"/>
          </w:tcPr>
          <w:p w14:paraId="48EA532D">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Panel C: Cost</w:t>
            </w:r>
            <w:r>
              <w:rPr>
                <w:rFonts w:hint="default" w:ascii="Times New Roman" w:hAnsi="Times New Roman" w:eastAsia="宋体"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eastAsia="宋体"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P</w:t>
            </w:r>
            <w:r>
              <w:rPr>
                <w:rFonts w:hint="default" w:ascii="Times New Roman" w:hAnsi="Times New Roman" w:eastAsia="宋体" w:cs="Times New Roman"/>
                <w:b/>
                <w:bCs/>
                <w:color w:val="0D0D0D" w:themeColor="text1" w:themeTint="F2"/>
                <w:sz w:val="20"/>
                <w:szCs w:val="20"/>
                <w:highlight w:val="none"/>
                <w14:textFill>
                  <w14:solidFill>
                    <w14:schemeClr w14:val="tx1">
                      <w14:lumMod w14:val="95000"/>
                      <w14:lumOff w14:val="5000"/>
                    </w14:schemeClr>
                  </w14:solidFill>
                </w14:textFill>
              </w:rPr>
              <w:t>ath</w:t>
            </w:r>
          </w:p>
        </w:tc>
      </w:tr>
      <w:tr w14:paraId="7DB30E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vMerge w:val="restart"/>
            <w:tcBorders>
              <w:top w:val="single" w:color="auto" w:sz="4" w:space="0"/>
              <w:bottom w:val="single" w:color="auto" w:sz="4" w:space="0"/>
            </w:tcBorders>
            <w:vAlign w:val="center"/>
          </w:tcPr>
          <w:p w14:paraId="49E9BA7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1142" w:type="pct"/>
            <w:tcBorders>
              <w:top w:val="single" w:color="auto" w:sz="4" w:space="0"/>
              <w:bottom w:val="nil"/>
            </w:tcBorders>
            <w:shd w:val="clear" w:color="auto" w:fill="auto"/>
            <w:vAlign w:val="center"/>
          </w:tcPr>
          <w:p w14:paraId="09B257F9">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7</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142" w:type="pct"/>
            <w:tcBorders>
              <w:top w:val="single" w:color="auto" w:sz="4" w:space="0"/>
              <w:bottom w:val="nil"/>
            </w:tcBorders>
            <w:shd w:val="clear" w:color="auto" w:fill="auto"/>
            <w:vAlign w:val="center"/>
          </w:tcPr>
          <w:p w14:paraId="48BF03EE">
            <w:pPr>
              <w:keepNext w:val="0"/>
              <w:keepLines w:val="0"/>
              <w:pageBreakBefore w:val="0"/>
              <w:tabs>
                <w:tab w:val="center" w:pos="693"/>
              </w:tabs>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8</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149" w:type="pct"/>
            <w:tcBorders>
              <w:top w:val="single" w:color="auto" w:sz="4" w:space="0"/>
              <w:bottom w:val="nil"/>
            </w:tcBorders>
            <w:vAlign w:val="center"/>
          </w:tcPr>
          <w:p w14:paraId="4476EE4A">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9</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1510E3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vMerge w:val="continue"/>
            <w:tcBorders>
              <w:top w:val="single" w:color="auto" w:sz="4" w:space="0"/>
              <w:bottom w:val="single" w:color="auto" w:sz="4" w:space="0"/>
            </w:tcBorders>
            <w:vAlign w:val="center"/>
          </w:tcPr>
          <w:p w14:paraId="4CBBFC6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op w:val="nil"/>
              <w:bottom w:val="single" w:color="auto" w:sz="4" w:space="0"/>
            </w:tcBorders>
            <w:shd w:val="clear" w:color="auto" w:fill="auto"/>
            <w:vAlign w:val="center"/>
          </w:tcPr>
          <w:p w14:paraId="03179073">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142" w:type="pct"/>
            <w:tcBorders>
              <w:top w:val="nil"/>
              <w:bottom w:val="single" w:color="auto" w:sz="4" w:space="0"/>
            </w:tcBorders>
            <w:shd w:val="clear" w:color="auto" w:fill="auto"/>
            <w:vAlign w:val="center"/>
          </w:tcPr>
          <w:p w14:paraId="7C159E4C">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Cost</w:t>
            </w:r>
          </w:p>
        </w:tc>
        <w:tc>
          <w:tcPr>
            <w:tcW w:w="1149" w:type="pct"/>
            <w:tcBorders>
              <w:top w:val="nil"/>
              <w:bottom w:val="single" w:color="auto" w:sz="4" w:space="0"/>
            </w:tcBorders>
            <w:vAlign w:val="center"/>
          </w:tcPr>
          <w:p w14:paraId="7B59773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r>
      <w:tr w14:paraId="01EC39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op w:val="single" w:color="auto" w:sz="4" w:space="0"/>
              <w:tl2br w:val="nil"/>
              <w:tr2bl w:val="nil"/>
            </w:tcBorders>
            <w:vAlign w:val="center"/>
          </w:tcPr>
          <w:p w14:paraId="06444A0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Cost</w:t>
            </w:r>
          </w:p>
        </w:tc>
        <w:tc>
          <w:tcPr>
            <w:tcW w:w="1142" w:type="pct"/>
            <w:tcBorders>
              <w:top w:val="single" w:color="auto" w:sz="4" w:space="0"/>
              <w:tl2br w:val="nil"/>
              <w:tr2bl w:val="nil"/>
            </w:tcBorders>
            <w:shd w:val="clear" w:color="auto" w:fill="auto"/>
            <w:vAlign w:val="top"/>
          </w:tcPr>
          <w:p w14:paraId="608E7850">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-0.021</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142" w:type="pct"/>
            <w:tcBorders>
              <w:top w:val="single" w:color="auto" w:sz="4" w:space="0"/>
              <w:tl2br w:val="nil"/>
              <w:tr2bl w:val="nil"/>
            </w:tcBorders>
            <w:shd w:val="clear" w:color="auto" w:fill="auto"/>
            <w:vAlign w:val="top"/>
          </w:tcPr>
          <w:p w14:paraId="64566B29">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op w:val="single" w:color="auto" w:sz="4" w:space="0"/>
              <w:tl2br w:val="nil"/>
              <w:tr2bl w:val="nil"/>
            </w:tcBorders>
            <w:shd w:val="clear" w:color="auto" w:fill="auto"/>
            <w:vAlign w:val="top"/>
          </w:tcPr>
          <w:p w14:paraId="78643744">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654B45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0C1B149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29A61899">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(0.011)</w:t>
            </w:r>
          </w:p>
        </w:tc>
        <w:tc>
          <w:tcPr>
            <w:tcW w:w="1142" w:type="pct"/>
            <w:tcBorders>
              <w:tl2br w:val="nil"/>
              <w:tr2bl w:val="nil"/>
            </w:tcBorders>
            <w:shd w:val="clear" w:color="auto" w:fill="auto"/>
            <w:vAlign w:val="top"/>
          </w:tcPr>
          <w:p w14:paraId="43CEF0DA">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l2br w:val="nil"/>
              <w:tr2bl w:val="nil"/>
            </w:tcBorders>
            <w:shd w:val="clear" w:color="auto" w:fill="auto"/>
            <w:vAlign w:val="top"/>
          </w:tcPr>
          <w:p w14:paraId="12B2AB24">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4EFC04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113E047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IV</w:t>
            </w:r>
          </w:p>
        </w:tc>
        <w:tc>
          <w:tcPr>
            <w:tcW w:w="1142" w:type="pct"/>
            <w:tcBorders>
              <w:tl2br w:val="nil"/>
              <w:tr2bl w:val="nil"/>
            </w:tcBorders>
            <w:shd w:val="clear" w:color="auto" w:fill="auto"/>
            <w:vAlign w:val="top"/>
          </w:tcPr>
          <w:p w14:paraId="15EEDFA2">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78110989">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0</w:t>
            </w:r>
            <w:r>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.067</w:t>
            </w:r>
          </w:p>
        </w:tc>
        <w:tc>
          <w:tcPr>
            <w:tcW w:w="1149" w:type="pct"/>
            <w:tcBorders>
              <w:tl2br w:val="nil"/>
              <w:tr2bl w:val="nil"/>
            </w:tcBorders>
            <w:shd w:val="clear" w:color="auto" w:fill="auto"/>
            <w:vAlign w:val="top"/>
          </w:tcPr>
          <w:p w14:paraId="3B6B05F2">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6AA942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15501A8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2D73B7D7">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3820A66F">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(0.093)</w:t>
            </w:r>
          </w:p>
        </w:tc>
        <w:tc>
          <w:tcPr>
            <w:tcW w:w="1149" w:type="pct"/>
            <w:tcBorders>
              <w:tl2br w:val="nil"/>
              <w:tr2bl w:val="nil"/>
            </w:tcBorders>
            <w:shd w:val="clear" w:color="auto" w:fill="auto"/>
            <w:vAlign w:val="top"/>
          </w:tcPr>
          <w:p w14:paraId="3758CB0B">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r w14:paraId="568F6E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16DA199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Cost_fit</w:t>
            </w:r>
          </w:p>
        </w:tc>
        <w:tc>
          <w:tcPr>
            <w:tcW w:w="1142" w:type="pct"/>
            <w:tcBorders>
              <w:tl2br w:val="nil"/>
              <w:tr2bl w:val="nil"/>
            </w:tcBorders>
            <w:shd w:val="clear" w:color="auto" w:fill="auto"/>
            <w:vAlign w:val="top"/>
          </w:tcPr>
          <w:p w14:paraId="7D79495C">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7BAFAF12">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l2br w:val="nil"/>
              <w:tr2bl w:val="nil"/>
            </w:tcBorders>
            <w:shd w:val="clear" w:color="auto" w:fill="auto"/>
            <w:vAlign w:val="top"/>
          </w:tcPr>
          <w:p w14:paraId="1D0BF08B">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-2.478</w:t>
            </w:r>
          </w:p>
        </w:tc>
      </w:tr>
      <w:tr w14:paraId="31FBEC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499E2EB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6BFDC34F">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2" w:type="pct"/>
            <w:tcBorders>
              <w:tl2br w:val="nil"/>
              <w:tr2bl w:val="nil"/>
            </w:tcBorders>
            <w:shd w:val="clear" w:color="auto" w:fill="auto"/>
            <w:vAlign w:val="top"/>
          </w:tcPr>
          <w:p w14:paraId="0F343D27">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l2br w:val="nil"/>
              <w:tr2bl w:val="nil"/>
            </w:tcBorders>
            <w:shd w:val="clear" w:color="auto" w:fill="auto"/>
            <w:vAlign w:val="top"/>
          </w:tcPr>
          <w:p w14:paraId="1D6954C6">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t>(3.545)</w:t>
            </w:r>
          </w:p>
        </w:tc>
      </w:tr>
      <w:tr w14:paraId="1917C6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op w:val="single" w:color="auto" w:sz="4" w:space="0"/>
            </w:tcBorders>
            <w:vAlign w:val="center"/>
          </w:tcPr>
          <w:p w14:paraId="156C529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1142" w:type="pct"/>
            <w:tcBorders>
              <w:top w:val="single" w:color="auto" w:sz="4" w:space="0"/>
            </w:tcBorders>
            <w:shd w:val="clear" w:color="auto" w:fill="auto"/>
            <w:vAlign w:val="center"/>
          </w:tcPr>
          <w:p w14:paraId="0D6380C2">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op w:val="single" w:color="auto" w:sz="4" w:space="0"/>
            </w:tcBorders>
            <w:shd w:val="clear" w:color="auto" w:fill="auto"/>
            <w:vAlign w:val="center"/>
          </w:tcPr>
          <w:p w14:paraId="0241C629">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op w:val="single" w:color="auto" w:sz="4" w:space="0"/>
            </w:tcBorders>
            <w:vAlign w:val="center"/>
          </w:tcPr>
          <w:p w14:paraId="4C6D072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2E25FF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335FC12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1142" w:type="pct"/>
            <w:tcBorders>
              <w:tl2br w:val="nil"/>
              <w:tr2bl w:val="nil"/>
            </w:tcBorders>
            <w:shd w:val="clear" w:color="auto" w:fill="auto"/>
            <w:vAlign w:val="center"/>
          </w:tcPr>
          <w:p w14:paraId="78078715">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31117012">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2FAEE25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5F778E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11A962A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1142" w:type="pct"/>
            <w:tcBorders>
              <w:tl2br w:val="nil"/>
              <w:tr2bl w:val="nil"/>
            </w:tcBorders>
            <w:shd w:val="clear" w:color="auto" w:fill="auto"/>
            <w:vAlign w:val="center"/>
          </w:tcPr>
          <w:p w14:paraId="79839665">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4EC52544">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6298B49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7CA9A5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7A7C7CF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1142" w:type="pct"/>
            <w:tcBorders>
              <w:tl2br w:val="nil"/>
              <w:tr2bl w:val="nil"/>
            </w:tcBorders>
            <w:shd w:val="clear" w:color="auto" w:fill="auto"/>
            <w:vAlign w:val="center"/>
          </w:tcPr>
          <w:p w14:paraId="43137854">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3680E717">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1234439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303933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57810C2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1142" w:type="pct"/>
            <w:tcBorders>
              <w:tl2br w:val="nil"/>
              <w:tr2bl w:val="nil"/>
            </w:tcBorders>
            <w:shd w:val="clear" w:color="auto" w:fill="auto"/>
            <w:vAlign w:val="center"/>
          </w:tcPr>
          <w:p w14:paraId="0B1B60D0">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2" w:type="pct"/>
            <w:tcBorders>
              <w:tl2br w:val="nil"/>
              <w:tr2bl w:val="nil"/>
            </w:tcBorders>
            <w:shd w:val="clear" w:color="auto" w:fill="auto"/>
            <w:vAlign w:val="center"/>
          </w:tcPr>
          <w:p w14:paraId="3DBBE057">
            <w:pPr>
              <w:keepNext w:val="0"/>
              <w:keepLines w:val="0"/>
              <w:pageBreakBefore w:val="0"/>
              <w:kinsoku/>
              <w:wordWrap/>
              <w:overflowPunct/>
              <w:topLinePunct w:val="0"/>
              <w:autoSpaceDE/>
              <w:autoSpaceDN/>
              <w:bidi w:val="0"/>
              <w:adjustRightInd/>
              <w:snapToGrid/>
              <w:spacing w:line="240" w:lineRule="auto"/>
              <w:ind w:left="0" w:leftChars="0"/>
              <w:jc w:val="both"/>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49" w:type="pct"/>
            <w:tcBorders>
              <w:tl2br w:val="nil"/>
              <w:tr2bl w:val="nil"/>
            </w:tcBorders>
            <w:vAlign w:val="center"/>
          </w:tcPr>
          <w:p w14:paraId="6E29B13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1F1984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5DEB76E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1142" w:type="pct"/>
            <w:tcBorders>
              <w:tl2br w:val="nil"/>
              <w:tr2bl w:val="nil"/>
            </w:tcBorders>
            <w:shd w:val="clear" w:color="auto" w:fill="auto"/>
            <w:vAlign w:val="top"/>
          </w:tcPr>
          <w:p w14:paraId="71E4CDCF">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c>
          <w:tcPr>
            <w:tcW w:w="1142" w:type="pct"/>
            <w:tcBorders>
              <w:tl2br w:val="nil"/>
              <w:tr2bl w:val="nil"/>
            </w:tcBorders>
            <w:shd w:val="clear" w:color="auto" w:fill="auto"/>
            <w:vAlign w:val="top"/>
          </w:tcPr>
          <w:p w14:paraId="266C2251">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c>
          <w:tcPr>
            <w:tcW w:w="1149" w:type="pct"/>
            <w:tcBorders>
              <w:tl2br w:val="nil"/>
              <w:tr2bl w:val="nil"/>
            </w:tcBorders>
            <w:shd w:val="clear" w:color="auto" w:fill="auto"/>
            <w:vAlign w:val="top"/>
          </w:tcPr>
          <w:p w14:paraId="7BF914AA">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256</w:t>
            </w:r>
          </w:p>
        </w:tc>
      </w:tr>
      <w:tr w14:paraId="11F4B7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5" w:type="pct"/>
            <w:tcBorders>
              <w:tl2br w:val="nil"/>
              <w:tr2bl w:val="nil"/>
            </w:tcBorders>
            <w:vAlign w:val="center"/>
          </w:tcPr>
          <w:p w14:paraId="3969133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2</w:t>
            </w:r>
          </w:p>
        </w:tc>
        <w:tc>
          <w:tcPr>
            <w:tcW w:w="1142" w:type="pct"/>
            <w:tcBorders>
              <w:tl2br w:val="nil"/>
              <w:tr2bl w:val="nil"/>
            </w:tcBorders>
            <w:shd w:val="clear" w:color="auto" w:fill="auto"/>
            <w:vAlign w:val="top"/>
          </w:tcPr>
          <w:p w14:paraId="4CAAEE9D">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0.6</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27</w:t>
            </w:r>
          </w:p>
        </w:tc>
        <w:tc>
          <w:tcPr>
            <w:tcW w:w="1142" w:type="pct"/>
            <w:tcBorders>
              <w:tl2br w:val="nil"/>
              <w:tr2bl w:val="nil"/>
            </w:tcBorders>
            <w:shd w:val="clear" w:color="auto" w:fill="auto"/>
            <w:vAlign w:val="top"/>
          </w:tcPr>
          <w:p w14:paraId="01352322">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1149" w:type="pct"/>
            <w:tcBorders>
              <w:tl2br w:val="nil"/>
              <w:tr2bl w:val="nil"/>
            </w:tcBorders>
            <w:shd w:val="clear" w:color="auto" w:fill="auto"/>
            <w:vAlign w:val="top"/>
          </w:tcPr>
          <w:p w14:paraId="7D0A0480">
            <w:pPr>
              <w:spacing w:beforeLines="0" w:afterLines="0"/>
              <w:jc w:val="both"/>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r>
    </w:tbl>
    <w:p w14:paraId="01F14F2E">
      <w:pPr>
        <w:bidi w:val="0"/>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Note: Robust standard errors in parentheses, ***, **, and * indicate significance at the 0.01, 0.05, and 0.1 levels, respectively.</w:t>
      </w:r>
    </w:p>
    <w:p w14:paraId="68AB41C2">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jc w:val="both"/>
        <w:textAlignment w:val="auto"/>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p>
    <w:p w14:paraId="2ABD851A">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Second, we further examined two potential channels that might threaten the exclusion restriction, including electricity supply and cost. Specifically, we used regional power generation intensity (i.e., electricity generation per unit of GDP) as a proxy for local electricity supply conditions, and the firm's operating cost ratio as a proxy for electricity cost. Direct OLS regressions show that both variables have a significant negative association with ESG performance. This suggests that, if historically volatile regions indeed have weaker supply infrastructure or higher cost uncertainty, these factors could directly affect ESG outcomes. To test whether our IV actually operates through these channels, we conducted two separate 2SLS regressions using historical electricity price volatility as an IV for each channel. In both cases, neither the first-stage nor the second-stage results are statistically significant. The above test results are respectively shown in Supplementary Table S6 Panel B and Panel C. Therefore, the potential violation of the exclusion restriction through these pathways is unlikely, reinforcing the validity of the IV approach.</w:t>
      </w:r>
    </w:p>
    <w:p w14:paraId="34AA7284">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jc w:val="both"/>
        <w:outlineLvl w:val="2"/>
        <w:rPr>
          <w:rFonts w:hint="default" w:ascii="Times New Roman" w:hAnsi="Times New Roman" w:cs="Times New Roman" w:eastAsiaTheme="minorEastAsia"/>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4</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1</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w:t>
      </w:r>
      <w:r>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2</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 xml:space="preserve"> PSM-DID Test</w:t>
      </w:r>
    </w:p>
    <w:p w14:paraId="52E5C017">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To control for potential selection bias in ESMR, we employ propensity score matching (PSM) to address potential endogeneity issues in this study. Drawing on existing research, we select all control variables as covariates, compute their propensity scores, and then match samples using three methods: kernel matching, radius matching, and nearest neighbor matching.</w:t>
      </w:r>
    </w:p>
    <w:p w14:paraId="5E2FDEBE">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cs="Times New Roman" w:eastAsiaTheme="minorEastAsia"/>
          <w:color w:val="0D0D0D" w:themeColor="text1" w:themeTint="F2"/>
          <w:sz w:val="22"/>
          <w:szCs w:val="22"/>
          <w:highlight w:val="none"/>
          <w:lang w:eastAsia="zh-CN"/>
          <w14:textFill>
            <w14:solidFill>
              <w14:schemeClr w14:val="tx1">
                <w14:lumMod w14:val="95000"/>
                <w14:lumOff w14:val="5000"/>
              </w14:schemeClr>
            </w14:solidFill>
          </w14:textFill>
        </w:rPr>
      </w:pPr>
      <w:r>
        <w:rPr>
          <w:rFonts w:hint="eastAsia" w:ascii="Times New Roman" w:hAnsi="Times New Roman" w:cs="Times New Roman" w:eastAsiaTheme="minorEastAsia"/>
          <w:color w:val="0D0D0D" w:themeColor="text1" w:themeTint="F2"/>
          <w:sz w:val="22"/>
          <w:szCs w:val="22"/>
          <w:highlight w:val="none"/>
          <w:lang w:eastAsia="zh-CN"/>
          <w14:textFill>
            <w14:solidFill>
              <w14:schemeClr w14:val="tx1">
                <w14:lumMod w14:val="95000"/>
                <w14:lumOff w14:val="5000"/>
              </w14:schemeClr>
            </w14:solidFill>
          </w14:textFill>
        </w:rPr>
        <w:drawing>
          <wp:inline distT="0" distB="0" distL="114300" distR="114300">
            <wp:extent cx="5242560" cy="1392555"/>
            <wp:effectExtent l="0" t="0" r="3810" b="0"/>
            <wp:docPr id="9" name="图片 9" descr="3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图_01"/>
                    <pic:cNvPicPr>
                      <a:picLocks noChangeAspect="1"/>
                    </pic:cNvPicPr>
                  </pic:nvPicPr>
                  <pic:blipFill>
                    <a:blip r:embed="rId6"/>
                    <a:stretch>
                      <a:fillRect/>
                    </a:stretch>
                  </pic:blipFill>
                  <pic:spPr>
                    <a:xfrm>
                      <a:off x="0" y="0"/>
                      <a:ext cx="5242560" cy="1392555"/>
                    </a:xfrm>
                    <a:prstGeom prst="rect">
                      <a:avLst/>
                    </a:prstGeom>
                  </pic:spPr>
                </pic:pic>
              </a:graphicData>
            </a:graphic>
          </wp:inline>
        </w:drawing>
      </w:r>
    </w:p>
    <w:p w14:paraId="785851E0">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Fig. </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S1</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Balance Test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 Result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w:t>
      </w:r>
    </w:p>
    <w:p w14:paraId="6BCA2032">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p>
    <w:p w14:paraId="503C0772">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cs="Times New Roman" w:eastAsiaTheme="minorEastAsia"/>
          <w:color w:val="0D0D0D" w:themeColor="text1" w:themeTint="F2"/>
          <w:sz w:val="20"/>
          <w:szCs w:val="20"/>
          <w:highlight w:val="none"/>
          <w:lang w:eastAsia="zh-CN"/>
          <w14:textFill>
            <w14:solidFill>
              <w14:schemeClr w14:val="tx1">
                <w14:lumMod w14:val="95000"/>
                <w14:lumOff w14:val="5000"/>
              </w14:schemeClr>
            </w14:solidFill>
          </w14:textFill>
        </w:rPr>
      </w:pPr>
      <w:r>
        <w:rPr>
          <w:rFonts w:hint="eastAsia" w:ascii="Times New Roman" w:hAnsi="Times New Roman" w:cs="Times New Roman" w:eastAsiaTheme="minorEastAsia"/>
          <w:color w:val="0D0D0D" w:themeColor="text1" w:themeTint="F2"/>
          <w:sz w:val="20"/>
          <w:szCs w:val="20"/>
          <w:highlight w:val="none"/>
          <w:lang w:eastAsia="zh-CN"/>
          <w14:textFill>
            <w14:solidFill>
              <w14:schemeClr w14:val="tx1">
                <w14:lumMod w14:val="95000"/>
                <w14:lumOff w14:val="5000"/>
              </w14:schemeClr>
            </w14:solidFill>
          </w14:textFill>
        </w:rPr>
        <w:drawing>
          <wp:inline distT="0" distB="0" distL="114300" distR="114300">
            <wp:extent cx="5242560" cy="1392555"/>
            <wp:effectExtent l="0" t="0" r="3810" b="0"/>
            <wp:docPr id="11" name="图片 11" descr="3图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图_02"/>
                    <pic:cNvPicPr>
                      <a:picLocks noChangeAspect="1"/>
                    </pic:cNvPicPr>
                  </pic:nvPicPr>
                  <pic:blipFill>
                    <a:blip r:embed="rId7"/>
                    <a:stretch>
                      <a:fillRect/>
                    </a:stretch>
                  </pic:blipFill>
                  <pic:spPr>
                    <a:xfrm>
                      <a:off x="0" y="0"/>
                      <a:ext cx="5242560" cy="1392555"/>
                    </a:xfrm>
                    <a:prstGeom prst="rect">
                      <a:avLst/>
                    </a:prstGeom>
                  </pic:spPr>
                </pic:pic>
              </a:graphicData>
            </a:graphic>
          </wp:inline>
        </w:drawing>
      </w:r>
    </w:p>
    <w:p w14:paraId="3A43F326">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Fig. </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S2</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Joint Support Test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 Result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s</w:t>
      </w:r>
    </w:p>
    <w:p w14:paraId="362218AF">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p>
    <w:p w14:paraId="10C64155">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Before implementing PSM-DID, we conducted balance tests and common support tests to ensure matching quality. As shown in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Figure S1</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we plotted the standardized deviations of covariates before and after matching. Under all three matching methods, the standardized deviations of all covariates decreased significantly after matching and remained below 10%. This indicates that the comparability of covariates improved substantially after PSM. As shown in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Figure S2</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we plotted the range of propensity scores. Under all three matching methods, the ranges of propensity scores for the two groups became more overlapping after matching. These results confirm the effectiveness of our PSM approach.</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Table S7</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reports the PSM-DID test results. Under all three matching methods, the EST coefficient is significantly positive. This indicates that the impact of EST on the ESG performance of energy-intensive enterprises remains robust when selecting bias through multiple matching methods.</w:t>
      </w:r>
    </w:p>
    <w:p w14:paraId="72700A1D">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0"/>
          <w:szCs w:val="20"/>
          <w:highlight w:val="none"/>
          <w:lang w:eastAsia="zh-CN"/>
          <w14:textFill>
            <w14:solidFill>
              <w14:schemeClr w14:val="tx1">
                <w14:lumMod w14:val="95000"/>
                <w14:lumOff w14:val="5000"/>
              </w14:schemeClr>
            </w14:solidFill>
          </w14:textFill>
        </w:rPr>
        <w:t>Table S7</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PSM-DID </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Tests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Results</w:t>
      </w:r>
    </w:p>
    <w:tbl>
      <w:tblPr>
        <w:tblStyle w:val="12"/>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11"/>
        <w:gridCol w:w="1912"/>
        <w:gridCol w:w="1926"/>
        <w:gridCol w:w="2970"/>
      </w:tblGrid>
      <w:tr w14:paraId="5C68E3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vMerge w:val="restart"/>
            <w:vAlign w:val="center"/>
          </w:tcPr>
          <w:p w14:paraId="22DCDD5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1122" w:type="pct"/>
            <w:tcBorders>
              <w:bottom w:val="single" w:color="auto" w:sz="4" w:space="0"/>
            </w:tcBorders>
            <w:vAlign w:val="center"/>
          </w:tcPr>
          <w:p w14:paraId="5911AF0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Kernel M</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ethod</w:t>
            </w:r>
          </w:p>
        </w:tc>
        <w:tc>
          <w:tcPr>
            <w:tcW w:w="1130" w:type="pct"/>
            <w:tcBorders>
              <w:bottom w:val="single" w:color="auto" w:sz="4" w:space="0"/>
            </w:tcBorders>
            <w:vAlign w:val="center"/>
          </w:tcPr>
          <w:p w14:paraId="768D1BA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Radius M</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ethod</w:t>
            </w:r>
          </w:p>
        </w:tc>
        <w:tc>
          <w:tcPr>
            <w:tcW w:w="1743" w:type="pct"/>
            <w:tcBorders>
              <w:bottom w:val="single" w:color="auto" w:sz="4" w:space="0"/>
            </w:tcBorders>
            <w:vAlign w:val="center"/>
          </w:tcPr>
          <w:p w14:paraId="2E940A1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Nearest Neighbor M</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ethod</w:t>
            </w:r>
          </w:p>
        </w:tc>
      </w:tr>
      <w:tr w14:paraId="4C0211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vMerge w:val="continue"/>
            <w:vAlign w:val="center"/>
          </w:tcPr>
          <w:p w14:paraId="0E42A3B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op w:val="single" w:color="auto" w:sz="4" w:space="0"/>
            </w:tcBorders>
            <w:vAlign w:val="center"/>
          </w:tcPr>
          <w:p w14:paraId="4640084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w:t>
            </w:r>
          </w:p>
        </w:tc>
        <w:tc>
          <w:tcPr>
            <w:tcW w:w="1130" w:type="pct"/>
            <w:tcBorders>
              <w:top w:val="single" w:color="auto" w:sz="4" w:space="0"/>
            </w:tcBorders>
            <w:vAlign w:val="center"/>
          </w:tcPr>
          <w:p w14:paraId="054471B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w:t>
            </w:r>
          </w:p>
        </w:tc>
        <w:tc>
          <w:tcPr>
            <w:tcW w:w="1743" w:type="pct"/>
            <w:tcBorders>
              <w:top w:val="single" w:color="auto" w:sz="4" w:space="0"/>
            </w:tcBorders>
            <w:vAlign w:val="center"/>
          </w:tcPr>
          <w:p w14:paraId="16038A6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(3)</w:t>
            </w:r>
          </w:p>
        </w:tc>
      </w:tr>
      <w:tr w14:paraId="4460F4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vMerge w:val="continue"/>
            <w:tcBorders>
              <w:bottom w:val="single" w:color="auto" w:sz="4" w:space="0"/>
            </w:tcBorders>
            <w:vAlign w:val="center"/>
          </w:tcPr>
          <w:p w14:paraId="36A2F33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bottom w:val="single" w:color="auto" w:sz="4" w:space="0"/>
            </w:tcBorders>
            <w:vAlign w:val="center"/>
          </w:tcPr>
          <w:p w14:paraId="1958C49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130" w:type="pct"/>
            <w:tcBorders>
              <w:bottom w:val="single" w:color="auto" w:sz="4" w:space="0"/>
            </w:tcBorders>
            <w:vAlign w:val="center"/>
          </w:tcPr>
          <w:p w14:paraId="7EF629F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743" w:type="pct"/>
            <w:tcBorders>
              <w:bottom w:val="single" w:color="auto" w:sz="4" w:space="0"/>
            </w:tcBorders>
            <w:vAlign w:val="center"/>
          </w:tcPr>
          <w:p w14:paraId="038250F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r>
      <w:tr w14:paraId="367887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op w:val="single" w:color="auto" w:sz="4" w:space="0"/>
              <w:tl2br w:val="nil"/>
              <w:tr2bl w:val="nil"/>
            </w:tcBorders>
            <w:vAlign w:val="center"/>
          </w:tcPr>
          <w:p w14:paraId="67CC1B1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EST</w:t>
            </w:r>
          </w:p>
        </w:tc>
        <w:tc>
          <w:tcPr>
            <w:tcW w:w="1122" w:type="pct"/>
            <w:tcBorders>
              <w:top w:val="single" w:color="auto" w:sz="4" w:space="0"/>
              <w:tl2br w:val="nil"/>
              <w:tr2bl w:val="nil"/>
            </w:tcBorders>
            <w:shd w:val="clear" w:color="auto" w:fill="auto"/>
            <w:vAlign w:val="top"/>
          </w:tcPr>
          <w:p w14:paraId="07E040EA">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0.012</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130" w:type="pct"/>
            <w:tcBorders>
              <w:top w:val="single" w:color="auto" w:sz="4" w:space="0"/>
              <w:tl2br w:val="nil"/>
              <w:tr2bl w:val="nil"/>
            </w:tcBorders>
            <w:shd w:val="clear" w:color="auto" w:fill="auto"/>
            <w:vAlign w:val="top"/>
          </w:tcPr>
          <w:p w14:paraId="6FF17130">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0.013</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743" w:type="pct"/>
            <w:tcBorders>
              <w:top w:val="single" w:color="auto" w:sz="4" w:space="0"/>
              <w:tl2br w:val="nil"/>
              <w:tr2bl w:val="nil"/>
            </w:tcBorders>
            <w:shd w:val="clear" w:color="auto" w:fill="auto"/>
            <w:vAlign w:val="top"/>
          </w:tcPr>
          <w:p w14:paraId="01BFCF0E">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0.021</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411819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50E83D1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shd w:val="clear" w:color="auto" w:fill="auto"/>
            <w:vAlign w:val="top"/>
          </w:tcPr>
          <w:p w14:paraId="12041B8A">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130" w:type="pct"/>
            <w:tcBorders>
              <w:tl2br w:val="nil"/>
              <w:tr2bl w:val="nil"/>
            </w:tcBorders>
            <w:shd w:val="clear" w:color="auto" w:fill="auto"/>
            <w:vAlign w:val="top"/>
          </w:tcPr>
          <w:p w14:paraId="2CCF6011">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743" w:type="pct"/>
            <w:tcBorders>
              <w:tl2br w:val="nil"/>
              <w:tr2bl w:val="nil"/>
            </w:tcBorders>
            <w:shd w:val="clear" w:color="auto" w:fill="auto"/>
            <w:vAlign w:val="top"/>
          </w:tcPr>
          <w:p w14:paraId="29D4C86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(0.006)</w:t>
            </w:r>
          </w:p>
        </w:tc>
      </w:tr>
      <w:tr w14:paraId="2A4BBD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2DB23F7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Treat × Period</w:t>
            </w:r>
          </w:p>
        </w:tc>
        <w:tc>
          <w:tcPr>
            <w:tcW w:w="1122" w:type="pct"/>
            <w:tcBorders>
              <w:tl2br w:val="nil"/>
              <w:tr2bl w:val="nil"/>
            </w:tcBorders>
            <w:shd w:val="clear" w:color="auto" w:fill="auto"/>
            <w:vAlign w:val="top"/>
          </w:tcPr>
          <w:p w14:paraId="47DB7689">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130" w:type="pct"/>
            <w:tcBorders>
              <w:tl2br w:val="nil"/>
              <w:tr2bl w:val="nil"/>
            </w:tcBorders>
            <w:shd w:val="clear" w:color="auto" w:fill="auto"/>
            <w:vAlign w:val="top"/>
          </w:tcPr>
          <w:p w14:paraId="6394498C">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-0.003</w:t>
            </w:r>
          </w:p>
        </w:tc>
        <w:tc>
          <w:tcPr>
            <w:tcW w:w="1743" w:type="pct"/>
            <w:tcBorders>
              <w:tl2br w:val="nil"/>
              <w:tr2bl w:val="nil"/>
            </w:tcBorders>
            <w:shd w:val="clear" w:color="auto" w:fill="auto"/>
            <w:vAlign w:val="top"/>
          </w:tcPr>
          <w:p w14:paraId="5D0498BC">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-0.006</w:t>
            </w:r>
          </w:p>
        </w:tc>
      </w:tr>
      <w:tr w14:paraId="5118B4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431AB91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shd w:val="clear" w:color="auto" w:fill="auto"/>
            <w:vAlign w:val="top"/>
          </w:tcPr>
          <w:p w14:paraId="6F0A60CF">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130" w:type="pct"/>
            <w:tcBorders>
              <w:tl2br w:val="nil"/>
              <w:tr2bl w:val="nil"/>
            </w:tcBorders>
            <w:shd w:val="clear" w:color="auto" w:fill="auto"/>
            <w:vAlign w:val="top"/>
          </w:tcPr>
          <w:p w14:paraId="4603BF4D">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743" w:type="pct"/>
            <w:tcBorders>
              <w:tl2br w:val="nil"/>
              <w:tr2bl w:val="nil"/>
            </w:tcBorders>
            <w:shd w:val="clear" w:color="auto" w:fill="auto"/>
            <w:vAlign w:val="top"/>
          </w:tcPr>
          <w:p w14:paraId="3E8786D8">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(0.006)</w:t>
            </w:r>
          </w:p>
        </w:tc>
      </w:tr>
      <w:tr w14:paraId="073CC1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1F5DFDD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Treat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1122" w:type="pct"/>
            <w:tcBorders>
              <w:tl2br w:val="nil"/>
              <w:tr2bl w:val="nil"/>
            </w:tcBorders>
            <w:shd w:val="clear" w:color="auto" w:fill="auto"/>
            <w:vAlign w:val="top"/>
          </w:tcPr>
          <w:p w14:paraId="20588CB8">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130" w:type="pct"/>
            <w:tcBorders>
              <w:tl2br w:val="nil"/>
              <w:tr2bl w:val="nil"/>
            </w:tcBorders>
            <w:shd w:val="clear" w:color="auto" w:fill="auto"/>
            <w:vAlign w:val="top"/>
          </w:tcPr>
          <w:p w14:paraId="6395EDC5">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743" w:type="pct"/>
            <w:tcBorders>
              <w:tl2br w:val="nil"/>
              <w:tr2bl w:val="nil"/>
            </w:tcBorders>
            <w:shd w:val="clear" w:color="auto" w:fill="auto"/>
            <w:vAlign w:val="top"/>
          </w:tcPr>
          <w:p w14:paraId="56C7B38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0.003</w:t>
            </w:r>
          </w:p>
        </w:tc>
      </w:tr>
      <w:tr w14:paraId="10ACBD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0441DC0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shd w:val="clear" w:color="auto" w:fill="auto"/>
            <w:vAlign w:val="top"/>
          </w:tcPr>
          <w:p w14:paraId="4D72618E">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(0.038)</w:t>
            </w:r>
          </w:p>
        </w:tc>
        <w:tc>
          <w:tcPr>
            <w:tcW w:w="1130" w:type="pct"/>
            <w:tcBorders>
              <w:tl2br w:val="nil"/>
              <w:tr2bl w:val="nil"/>
            </w:tcBorders>
            <w:shd w:val="clear" w:color="auto" w:fill="auto"/>
            <w:vAlign w:val="top"/>
          </w:tcPr>
          <w:p w14:paraId="4239793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(0.037)</w:t>
            </w:r>
          </w:p>
        </w:tc>
        <w:tc>
          <w:tcPr>
            <w:tcW w:w="1743" w:type="pct"/>
            <w:tcBorders>
              <w:tl2br w:val="nil"/>
              <w:tr2bl w:val="nil"/>
            </w:tcBorders>
            <w:shd w:val="clear" w:color="auto" w:fill="auto"/>
            <w:vAlign w:val="top"/>
          </w:tcPr>
          <w:p w14:paraId="6E17E0FA">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(0.032)</w:t>
            </w:r>
          </w:p>
        </w:tc>
      </w:tr>
      <w:tr w14:paraId="7A793E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7F2B005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Period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1122" w:type="pct"/>
            <w:tcBorders>
              <w:tl2br w:val="nil"/>
              <w:tr2bl w:val="nil"/>
            </w:tcBorders>
            <w:shd w:val="clear" w:color="auto" w:fill="auto"/>
            <w:vAlign w:val="top"/>
          </w:tcPr>
          <w:p w14:paraId="69AF99DA">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-0.009</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130" w:type="pct"/>
            <w:tcBorders>
              <w:tl2br w:val="nil"/>
              <w:tr2bl w:val="nil"/>
            </w:tcBorders>
            <w:shd w:val="clear" w:color="auto" w:fill="auto"/>
            <w:vAlign w:val="top"/>
          </w:tcPr>
          <w:p w14:paraId="6ADA797F">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-0.010</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743" w:type="pct"/>
            <w:tcBorders>
              <w:tl2br w:val="nil"/>
              <w:tr2bl w:val="nil"/>
            </w:tcBorders>
            <w:shd w:val="clear" w:color="auto" w:fill="auto"/>
            <w:vAlign w:val="top"/>
          </w:tcPr>
          <w:p w14:paraId="4053E3E6">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-0.018</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7B48AE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bottom w:val="single" w:color="auto" w:sz="4" w:space="0"/>
              <w:tl2br w:val="nil"/>
              <w:tr2bl w:val="nil"/>
            </w:tcBorders>
            <w:vAlign w:val="center"/>
          </w:tcPr>
          <w:p w14:paraId="5531065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bottom w:val="single" w:color="auto" w:sz="4" w:space="0"/>
              <w:tl2br w:val="nil"/>
              <w:tr2bl w:val="nil"/>
            </w:tcBorders>
            <w:shd w:val="clear" w:color="auto" w:fill="auto"/>
            <w:vAlign w:val="top"/>
          </w:tcPr>
          <w:p w14:paraId="1F610878">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130" w:type="pct"/>
            <w:tcBorders>
              <w:bottom w:val="single" w:color="auto" w:sz="4" w:space="0"/>
              <w:tl2br w:val="nil"/>
              <w:tr2bl w:val="nil"/>
            </w:tcBorders>
            <w:shd w:val="clear" w:color="auto" w:fill="auto"/>
            <w:vAlign w:val="top"/>
          </w:tcPr>
          <w:p w14:paraId="0BEF977F">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(0.003)</w:t>
            </w:r>
          </w:p>
        </w:tc>
        <w:tc>
          <w:tcPr>
            <w:tcW w:w="1743" w:type="pct"/>
            <w:tcBorders>
              <w:bottom w:val="single" w:color="auto" w:sz="4" w:space="0"/>
              <w:tl2br w:val="nil"/>
              <w:tr2bl w:val="nil"/>
            </w:tcBorders>
            <w:shd w:val="clear" w:color="auto" w:fill="auto"/>
            <w:vAlign w:val="top"/>
          </w:tcPr>
          <w:p w14:paraId="317512AE">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r>
      <w:tr w14:paraId="5BCD92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op w:val="single" w:color="auto" w:sz="4" w:space="0"/>
            </w:tcBorders>
            <w:vAlign w:val="center"/>
          </w:tcPr>
          <w:p w14:paraId="3B9D3A4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1122" w:type="pct"/>
            <w:tcBorders>
              <w:top w:val="single" w:color="auto" w:sz="4" w:space="0"/>
            </w:tcBorders>
            <w:vAlign w:val="center"/>
          </w:tcPr>
          <w:p w14:paraId="4279D60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op w:val="single" w:color="auto" w:sz="4" w:space="0"/>
            </w:tcBorders>
            <w:vAlign w:val="center"/>
          </w:tcPr>
          <w:p w14:paraId="428E208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op w:val="single" w:color="auto" w:sz="4" w:space="0"/>
            </w:tcBorders>
            <w:vAlign w:val="center"/>
          </w:tcPr>
          <w:p w14:paraId="2A83758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5336B0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2A6C5C7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1122" w:type="pct"/>
            <w:tcBorders>
              <w:tl2br w:val="nil"/>
              <w:tr2bl w:val="nil"/>
            </w:tcBorders>
            <w:vAlign w:val="center"/>
          </w:tcPr>
          <w:p w14:paraId="30F0C97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31D0165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5B6631D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0D2429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2A51692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1122" w:type="pct"/>
            <w:tcBorders>
              <w:tl2br w:val="nil"/>
              <w:tr2bl w:val="nil"/>
            </w:tcBorders>
            <w:vAlign w:val="center"/>
          </w:tcPr>
          <w:p w14:paraId="6220BF8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37E842E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4FDADAD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174DBE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3F6260D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1122" w:type="pct"/>
            <w:tcBorders>
              <w:tl2br w:val="nil"/>
              <w:tr2bl w:val="nil"/>
            </w:tcBorders>
            <w:vAlign w:val="center"/>
          </w:tcPr>
          <w:p w14:paraId="348CCC7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506E575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5DA16D3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70926D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6B58052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1122" w:type="pct"/>
            <w:tcBorders>
              <w:tl2br w:val="nil"/>
              <w:tr2bl w:val="nil"/>
            </w:tcBorders>
            <w:vAlign w:val="center"/>
          </w:tcPr>
          <w:p w14:paraId="7C36DDD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2BCE4D5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0F77747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7B7E64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43AA235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1122" w:type="pct"/>
            <w:tcBorders>
              <w:tl2br w:val="nil"/>
              <w:tr2bl w:val="nil"/>
            </w:tcBorders>
            <w:vAlign w:val="center"/>
          </w:tcPr>
          <w:p w14:paraId="70C0F77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10,1</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78</w:t>
            </w:r>
          </w:p>
        </w:tc>
        <w:tc>
          <w:tcPr>
            <w:tcW w:w="1130" w:type="pct"/>
            <w:tcBorders>
              <w:tl2br w:val="nil"/>
              <w:tr2bl w:val="nil"/>
            </w:tcBorders>
            <w:vAlign w:val="center"/>
          </w:tcPr>
          <w:p w14:paraId="11F10A9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9,954</w:t>
            </w:r>
          </w:p>
        </w:tc>
        <w:tc>
          <w:tcPr>
            <w:tcW w:w="1743" w:type="pct"/>
            <w:tcBorders>
              <w:tl2br w:val="nil"/>
              <w:tr2bl w:val="nil"/>
            </w:tcBorders>
            <w:vAlign w:val="center"/>
          </w:tcPr>
          <w:p w14:paraId="6FF0C94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2,659</w:t>
            </w:r>
          </w:p>
        </w:tc>
      </w:tr>
      <w:tr w14:paraId="391FCB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07FA050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2</w:t>
            </w:r>
          </w:p>
        </w:tc>
        <w:tc>
          <w:tcPr>
            <w:tcW w:w="1122" w:type="pct"/>
            <w:tcBorders>
              <w:tl2br w:val="nil"/>
              <w:tr2bl w:val="nil"/>
            </w:tcBorders>
            <w:vAlign w:val="center"/>
          </w:tcPr>
          <w:p w14:paraId="4AD0FD0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0.626</w:t>
            </w:r>
          </w:p>
        </w:tc>
        <w:tc>
          <w:tcPr>
            <w:tcW w:w="1130" w:type="pct"/>
            <w:tcBorders>
              <w:tl2br w:val="nil"/>
              <w:tr2bl w:val="nil"/>
            </w:tcBorders>
            <w:vAlign w:val="center"/>
          </w:tcPr>
          <w:p w14:paraId="177BDB3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0.625</w:t>
            </w:r>
          </w:p>
        </w:tc>
        <w:tc>
          <w:tcPr>
            <w:tcW w:w="1743" w:type="pct"/>
            <w:tcBorders>
              <w:tl2br w:val="nil"/>
              <w:tr2bl w:val="nil"/>
            </w:tcBorders>
            <w:vAlign w:val="center"/>
          </w:tcPr>
          <w:p w14:paraId="637CC07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0.685</w:t>
            </w:r>
          </w:p>
        </w:tc>
      </w:tr>
    </w:tbl>
    <w:p w14:paraId="45148B10">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Note: Robust standard errors in parentheses, ***, **, and * indicate significance at the 0.01, 0.05, and 0.1 levels, respectively.</w:t>
      </w:r>
    </w:p>
    <w:p w14:paraId="1A32A21C">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jc w:val="both"/>
        <w:outlineLvl w:val="2"/>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4</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1</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w:t>
      </w:r>
      <w:r>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3</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 xml:space="preserve"> Placebo Test</w:t>
      </w:r>
    </w:p>
    <w:p w14:paraId="37C75FA1">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Using the DDD method, we can largely exclude confounding factors to estimate the impact of EST. To further eliminate potential interference from unobserved variables, we conduct a placebo test. Specifically, we randomly generated a pseudo-experimental group matching the size of the actual experimental group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 xml:space="preserve">Treat × </w:t>
      </w:r>
      <w:r>
        <w:rPr>
          <w:rFonts w:hint="default" w:ascii="Times New Roman" w:hAnsi="Times New Roman" w:cs="Times New Roman"/>
          <w:i/>
          <w:iCs/>
          <w:color w:val="0D0D0D" w:themeColor="text1" w:themeTint="F2"/>
          <w:sz w:val="22"/>
          <w:szCs w:val="22"/>
          <w:highlight w:val="none"/>
          <w:lang w:eastAsia="zh-CN"/>
          <w14:textFill>
            <w14:solidFill>
              <w14:schemeClr w14:val="tx1">
                <w14:lumMod w14:val="95000"/>
                <w14:lumOff w14:val="5000"/>
              </w14:schemeClr>
            </w14:solidFill>
          </w14:textFill>
        </w:rPr>
        <w:t>Energy</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This group interacted with the time variable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Period</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to create a pseudo-policy variable. We sampled 500 times and tested the coefficient values and significance of the pseudo-policy variable using the baseline regression model.</w:t>
      </w:r>
    </w:p>
    <w:p w14:paraId="4229D2BA">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Figure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S3</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presents the estimated regression coefficients of the dummy policy variable, their kernel density distributions, and corresponding p-values. The results indicate that the kernel density functions of the coefficients approximate a normal distribution, suggesting the sampling process satisfies randomness requirements. The coefficient estimates cluster around zero, and the vast majority of samples yield p-values exceeding 0.05. In contrast, the true regression coefficient is 0.012 (see Table 2), marked by the vertical dashed line, which is significantly larger than the estimated values of most sampled coefficients. This indicates that the positive impact of EST on the ESG performance of energy-intensive enterprises cannot be explained by unobserved variables.</w:t>
      </w:r>
    </w:p>
    <w:p w14:paraId="47CD4E20">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eastAsia" w:ascii="Times New Roman" w:hAnsi="Times New Roman" w:cs="Times New Roman" w:eastAsiaTheme="minorEastAsia"/>
          <w:color w:val="0D0D0D" w:themeColor="text1" w:themeTint="F2"/>
          <w:sz w:val="20"/>
          <w:szCs w:val="20"/>
          <w:highlight w:val="none"/>
          <w:lang w:eastAsia="zh-CN"/>
          <w14:textFill>
            <w14:solidFill>
              <w14:schemeClr w14:val="tx1">
                <w14:lumMod w14:val="95000"/>
                <w14:lumOff w14:val="5000"/>
              </w14:schemeClr>
            </w14:solidFill>
          </w14:textFill>
        </w:rPr>
      </w:pPr>
      <w:r>
        <w:rPr>
          <w:rFonts w:hint="eastAsia" w:ascii="Times New Roman" w:hAnsi="Times New Roman" w:cs="Times New Roman" w:eastAsiaTheme="minorEastAsia"/>
          <w:color w:val="0D0D0D" w:themeColor="text1" w:themeTint="F2"/>
          <w:sz w:val="20"/>
          <w:szCs w:val="20"/>
          <w:highlight w:val="none"/>
          <w:lang w:eastAsia="zh-CN"/>
          <w14:textFill>
            <w14:solidFill>
              <w14:schemeClr w14:val="tx1">
                <w14:lumMod w14:val="95000"/>
                <w14:lumOff w14:val="5000"/>
              </w14:schemeClr>
            </w14:solidFill>
          </w14:textFill>
        </w:rPr>
        <w:drawing>
          <wp:inline distT="0" distB="0" distL="114300" distR="114300">
            <wp:extent cx="5270500" cy="3836035"/>
            <wp:effectExtent l="0" t="0" r="8255" b="6985"/>
            <wp:docPr id="4" name="图片 4" descr="安慰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安慰剂"/>
                    <pic:cNvPicPr>
                      <a:picLocks noChangeAspect="1"/>
                    </pic:cNvPicPr>
                  </pic:nvPicPr>
                  <pic:blipFill>
                    <a:blip r:embed="rId8"/>
                    <a:stretch>
                      <a:fillRect/>
                    </a:stretch>
                  </pic:blipFill>
                  <pic:spPr>
                    <a:xfrm>
                      <a:off x="0" y="0"/>
                      <a:ext cx="5270500" cy="3836035"/>
                    </a:xfrm>
                    <a:prstGeom prst="rect">
                      <a:avLst/>
                    </a:prstGeom>
                  </pic:spPr>
                </pic:pic>
              </a:graphicData>
            </a:graphic>
          </wp:inline>
        </w:drawing>
      </w:r>
    </w:p>
    <w:p w14:paraId="33713327">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Fig. </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S3</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Placebo Test</w:t>
      </w:r>
    </w:p>
    <w:p w14:paraId="40075966">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jc w:val="both"/>
        <w:outlineLvl w:val="2"/>
        <w:rPr>
          <w:rFonts w:hint="default" w:ascii="Times New Roman" w:hAnsi="Times New Roman" w:cs="Times New Roman" w:eastAsiaTheme="minorEastAsia"/>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4</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1</w:t>
      </w:r>
      <w:r>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.4</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 xml:space="preserve"> Controlling for Other Policy I</w:t>
      </w:r>
      <w:r>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nterferences</w:t>
      </w:r>
    </w:p>
    <w:p w14:paraId="08287CCD">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To accurately identify the causal effects of EST on the ESG performance of energy-intensive enterprises, we control for potential interferences from other policies implemented during the same period. We focus on three energy and environment-related reforms in China. First, we control for the impact of the pilot reform on energy rights trading. In July 2016, China issued the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Pilot Program for the Paid Use and Trading System of Energy Rights</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designating Zhejiang, Fujian, Henan, and Sichuan as pilot regions for energy rights trading. The program was formally approved and implemented in 2017, aiming to guide energy allocation toward competitive industries and leading enterprises (Yang et al., 2024). We generate the policy variable for this reform using a DID model, denoted as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ECRT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and incorporate it into the baseline regression model.</w:t>
      </w:r>
    </w:p>
    <w:p w14:paraId="225DDF38">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Second, we control for China</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s green finance reform. Since 2017, China has established </w:t>
      </w:r>
      <w:r>
        <w:rPr>
          <w:rFonts w:hint="default" w:ascii="Times New Roman" w:hAnsi="Times New Roman" w:cs="Times New Roman"/>
          <w:i/>
          <w:iCs/>
          <w:color w:val="0D0D0D" w:themeColor="text1" w:themeTint="F2"/>
          <w:sz w:val="22"/>
          <w:szCs w:val="22"/>
          <w:highlight w:val="none"/>
          <w:lang w:val="en-US" w:eastAsia="zh-CN"/>
          <w14:textFill>
            <w14:solidFill>
              <w14:schemeClr w14:val="tx1">
                <w14:lumMod w14:val="95000"/>
                <w14:lumOff w14:val="5000"/>
              </w14:schemeClr>
            </w14:solidFill>
          </w14:textFill>
        </w:rPr>
        <w:t>G</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 xml:space="preserve">reen </w:t>
      </w:r>
      <w:r>
        <w:rPr>
          <w:rFonts w:hint="default" w:ascii="Times New Roman" w:hAnsi="Times New Roman" w:cs="Times New Roman"/>
          <w:i/>
          <w:iCs/>
          <w:color w:val="0D0D0D" w:themeColor="text1" w:themeTint="F2"/>
          <w:sz w:val="22"/>
          <w:szCs w:val="22"/>
          <w:highlight w:val="none"/>
          <w:lang w:val="en-US" w:eastAsia="zh-CN"/>
          <w14:textFill>
            <w14:solidFill>
              <w14:schemeClr w14:val="tx1">
                <w14:lumMod w14:val="95000"/>
                <w14:lumOff w14:val="5000"/>
              </w14:schemeClr>
            </w14:solidFill>
          </w14:textFill>
        </w:rPr>
        <w:t>F</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 xml:space="preserve">inance </w:t>
      </w:r>
      <w:r>
        <w:rPr>
          <w:rFonts w:hint="default" w:ascii="Times New Roman" w:hAnsi="Times New Roman" w:cs="Times New Roman"/>
          <w:i/>
          <w:iCs/>
          <w:color w:val="0D0D0D" w:themeColor="text1" w:themeTint="F2"/>
          <w:sz w:val="22"/>
          <w:szCs w:val="22"/>
          <w:highlight w:val="none"/>
          <w:lang w:val="en-US" w:eastAsia="zh-CN"/>
          <w14:textFill>
            <w14:solidFill>
              <w14:schemeClr w14:val="tx1">
                <w14:lumMod w14:val="95000"/>
                <w14:lumOff w14:val="5000"/>
              </w14:schemeClr>
            </w14:solidFill>
          </w14:textFill>
        </w:rPr>
        <w:t>R</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 xml:space="preserve">eform and </w:t>
      </w:r>
      <w:r>
        <w:rPr>
          <w:rFonts w:hint="default" w:ascii="Times New Roman" w:hAnsi="Times New Roman" w:cs="Times New Roman"/>
          <w:i/>
          <w:iCs/>
          <w:color w:val="0D0D0D" w:themeColor="text1" w:themeTint="F2"/>
          <w:sz w:val="22"/>
          <w:szCs w:val="22"/>
          <w:highlight w:val="none"/>
          <w:lang w:val="en-US" w:eastAsia="zh-CN"/>
          <w14:textFill>
            <w14:solidFill>
              <w14:schemeClr w14:val="tx1">
                <w14:lumMod w14:val="95000"/>
                <w14:lumOff w14:val="5000"/>
              </w14:schemeClr>
            </w14:solidFill>
          </w14:textFill>
        </w:rPr>
        <w:t>I</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 xml:space="preserve">nnovation </w:t>
      </w:r>
      <w:r>
        <w:rPr>
          <w:rFonts w:hint="default" w:ascii="Times New Roman" w:hAnsi="Times New Roman" w:cs="Times New Roman"/>
          <w:i/>
          <w:iCs/>
          <w:color w:val="0D0D0D" w:themeColor="text1" w:themeTint="F2"/>
          <w:sz w:val="22"/>
          <w:szCs w:val="22"/>
          <w:highlight w:val="none"/>
          <w:lang w:val="en-US" w:eastAsia="zh-CN"/>
          <w14:textFill>
            <w14:solidFill>
              <w14:schemeClr w14:val="tx1">
                <w14:lumMod w14:val="95000"/>
                <w14:lumOff w14:val="5000"/>
              </w14:schemeClr>
            </w14:solidFill>
          </w14:textFill>
        </w:rPr>
        <w:t>P</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 xml:space="preserve">ilot </w:t>
      </w:r>
      <w:r>
        <w:rPr>
          <w:rFonts w:hint="default" w:ascii="Times New Roman" w:hAnsi="Times New Roman" w:cs="Times New Roman"/>
          <w:i/>
          <w:iCs/>
          <w:color w:val="0D0D0D" w:themeColor="text1" w:themeTint="F2"/>
          <w:sz w:val="22"/>
          <w:szCs w:val="22"/>
          <w:highlight w:val="none"/>
          <w:lang w:val="en-US" w:eastAsia="zh-CN"/>
          <w14:textFill>
            <w14:solidFill>
              <w14:schemeClr w14:val="tx1">
                <w14:lumMod w14:val="95000"/>
                <w14:lumOff w14:val="5000"/>
              </w14:schemeClr>
            </w14:solidFill>
          </w14:textFill>
        </w:rPr>
        <w:t>Z</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ones</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in Zhejiang, Jiangxi, Guangdong, Guizhou, Xinjiang, Gansu, and Chongqing, creating a new green development model that integrates central top-level design with local practical exploration (Cheng &amp; Zhu, 2024). Similarly, we use a DID model to generate the policy variable for this reform, denoted as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GFR</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and incorporate it into the benchmark regression model.</w:t>
      </w:r>
    </w:p>
    <w:p w14:paraId="00F95701">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Third, we control for China</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s environmental tax reform. The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Environmental Protection Tax Law of the People</w:t>
      </w:r>
      <w:r>
        <w:rPr>
          <w:rFonts w:hint="eastAsia" w:ascii="Times New Roman" w:hAnsi="Times New Roman" w:cs="Times New Roman"/>
          <w:i/>
          <w:iCs/>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s Republic of China</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took effect on January 1, 2018, aiming to accelerate economic transformation and upgrading while reducing pollutant emissions through tax design (Liu et al., 202</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2</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We identified the experimental group by examining enterprises</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detailed tax payment statements and generated the policy variable for this reform using a DID model, denoted as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EPT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which was incorporated into the baseline regression model.</w:t>
      </w:r>
    </w:p>
    <w:p w14:paraId="7DDD3117">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Table S8</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reports regression results controlling for these reform effects. After incorporating the policy variable for the aforementioned reforms into the baseline model, we find that the coefficients for EST remain significantly positive at the 0.05 level. Simultaneously, none of the three reforms exhibit a significant positive impact. It should be noted that in our sample design, to enhance comparability between pilot and non-pilot regions for electricity spot market duration, we retained only the second batch of pilot regions as the control group. This research design may have resulted in the exclusion of some regions affected by the aforementioned reforms.</w:t>
      </w:r>
    </w:p>
    <w:p w14:paraId="1CD3ABD3">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0"/>
          <w:szCs w:val="20"/>
          <w:highlight w:val="none"/>
          <w:lang w:eastAsia="zh-CN"/>
          <w14:textFill>
            <w14:solidFill>
              <w14:schemeClr w14:val="tx1">
                <w14:lumMod w14:val="95000"/>
                <w14:lumOff w14:val="5000"/>
              </w14:schemeClr>
            </w14:solidFill>
          </w14:textFill>
        </w:rPr>
        <w:t>Table S8</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Controlling for Other Policy Interferences</w:t>
      </w:r>
    </w:p>
    <w:tbl>
      <w:tblPr>
        <w:tblStyle w:val="12"/>
        <w:tblW w:w="4998" w:type="pct"/>
        <w:tblInd w:w="0" w:type="dxa"/>
        <w:tblBorders>
          <w:top w:val="single" w:color="auto" w:sz="8"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11"/>
        <w:gridCol w:w="1912"/>
        <w:gridCol w:w="1926"/>
        <w:gridCol w:w="2970"/>
      </w:tblGrid>
      <w:tr w14:paraId="3E815430">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vMerge w:val="restart"/>
            <w:tcBorders>
              <w:top w:val="single" w:color="auto" w:sz="4" w:space="0"/>
            </w:tcBorders>
            <w:vAlign w:val="center"/>
          </w:tcPr>
          <w:p w14:paraId="787FA45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1122" w:type="pct"/>
            <w:tcBorders>
              <w:top w:val="single" w:color="auto" w:sz="4" w:space="0"/>
              <w:bottom w:val="single" w:color="auto" w:sz="4" w:space="0"/>
            </w:tcBorders>
            <w:vAlign w:val="center"/>
          </w:tcPr>
          <w:p w14:paraId="14E9007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Control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ECRT</w:t>
            </w:r>
          </w:p>
        </w:tc>
        <w:tc>
          <w:tcPr>
            <w:tcW w:w="1130" w:type="pct"/>
            <w:tcBorders>
              <w:top w:val="single" w:color="auto" w:sz="4" w:space="0"/>
              <w:bottom w:val="single" w:color="auto" w:sz="4" w:space="0"/>
            </w:tcBorders>
            <w:vAlign w:val="center"/>
          </w:tcPr>
          <w:p w14:paraId="44A0149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Control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GFR</w:t>
            </w:r>
          </w:p>
        </w:tc>
        <w:tc>
          <w:tcPr>
            <w:tcW w:w="1743" w:type="pct"/>
            <w:tcBorders>
              <w:top w:val="single" w:color="auto" w:sz="4" w:space="0"/>
              <w:bottom w:val="single" w:color="auto" w:sz="4" w:space="0"/>
            </w:tcBorders>
            <w:vAlign w:val="center"/>
          </w:tcPr>
          <w:p w14:paraId="4633FB5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Control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EPT</w:t>
            </w:r>
          </w:p>
        </w:tc>
      </w:tr>
      <w:tr w14:paraId="21BB9C7B">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vMerge w:val="continue"/>
            <w:vAlign w:val="center"/>
          </w:tcPr>
          <w:p w14:paraId="46B690E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op w:val="single" w:color="auto" w:sz="4" w:space="0"/>
            </w:tcBorders>
            <w:vAlign w:val="center"/>
          </w:tcPr>
          <w:p w14:paraId="5CE6853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w:t>
            </w:r>
          </w:p>
        </w:tc>
        <w:tc>
          <w:tcPr>
            <w:tcW w:w="1130" w:type="pct"/>
            <w:tcBorders>
              <w:top w:val="single" w:color="auto" w:sz="4" w:space="0"/>
            </w:tcBorders>
            <w:vAlign w:val="center"/>
          </w:tcPr>
          <w:p w14:paraId="7FED1EE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w:t>
            </w:r>
          </w:p>
        </w:tc>
        <w:tc>
          <w:tcPr>
            <w:tcW w:w="1743" w:type="pct"/>
            <w:tcBorders>
              <w:top w:val="single" w:color="auto" w:sz="4" w:space="0"/>
            </w:tcBorders>
            <w:vAlign w:val="center"/>
          </w:tcPr>
          <w:p w14:paraId="29FD901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(3)</w:t>
            </w:r>
          </w:p>
        </w:tc>
      </w:tr>
      <w:tr w14:paraId="0944DBC5">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vMerge w:val="continue"/>
            <w:tcBorders>
              <w:bottom w:val="single" w:color="auto" w:sz="4" w:space="0"/>
            </w:tcBorders>
            <w:vAlign w:val="center"/>
          </w:tcPr>
          <w:p w14:paraId="526FD3C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bottom w:val="single" w:color="auto" w:sz="4" w:space="0"/>
            </w:tcBorders>
            <w:vAlign w:val="center"/>
          </w:tcPr>
          <w:p w14:paraId="1E7B25A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130" w:type="pct"/>
            <w:tcBorders>
              <w:bottom w:val="single" w:color="auto" w:sz="4" w:space="0"/>
            </w:tcBorders>
            <w:vAlign w:val="center"/>
          </w:tcPr>
          <w:p w14:paraId="36150AD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1743" w:type="pct"/>
            <w:tcBorders>
              <w:bottom w:val="single" w:color="auto" w:sz="4" w:space="0"/>
            </w:tcBorders>
            <w:vAlign w:val="center"/>
          </w:tcPr>
          <w:p w14:paraId="068EA04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r>
      <w:tr w14:paraId="76D648EE">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op w:val="single" w:color="auto" w:sz="4" w:space="0"/>
              <w:tl2br w:val="nil"/>
              <w:tr2bl w:val="nil"/>
            </w:tcBorders>
            <w:vAlign w:val="center"/>
          </w:tcPr>
          <w:p w14:paraId="4336EB2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EST</w:t>
            </w:r>
          </w:p>
        </w:tc>
        <w:tc>
          <w:tcPr>
            <w:tcW w:w="1122" w:type="pct"/>
            <w:tcBorders>
              <w:top w:val="single" w:color="auto" w:sz="4" w:space="0"/>
              <w:tl2br w:val="nil"/>
              <w:tr2bl w:val="nil"/>
            </w:tcBorders>
          </w:tcPr>
          <w:p w14:paraId="311A5AA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0.012</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130" w:type="pct"/>
            <w:tcBorders>
              <w:top w:val="single" w:color="auto" w:sz="4" w:space="0"/>
              <w:tl2br w:val="nil"/>
              <w:tr2bl w:val="nil"/>
            </w:tcBorders>
          </w:tcPr>
          <w:p w14:paraId="505EC14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0.011</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743" w:type="pct"/>
            <w:tcBorders>
              <w:top w:val="single" w:color="auto" w:sz="4" w:space="0"/>
              <w:tl2br w:val="nil"/>
              <w:tr2bl w:val="nil"/>
            </w:tcBorders>
          </w:tcPr>
          <w:p w14:paraId="714A0FA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0.012</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1A266F42">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672429A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tcPr>
          <w:p w14:paraId="7A8FB59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130" w:type="pct"/>
            <w:tcBorders>
              <w:tl2br w:val="nil"/>
              <w:tr2bl w:val="nil"/>
            </w:tcBorders>
          </w:tcPr>
          <w:p w14:paraId="78F9EE7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743" w:type="pct"/>
            <w:tcBorders>
              <w:tl2br w:val="nil"/>
              <w:tr2bl w:val="nil"/>
            </w:tcBorders>
          </w:tcPr>
          <w:p w14:paraId="78DF68D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r>
      <w:tr w14:paraId="086E2F7D">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78053BA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Treat × Period</w:t>
            </w:r>
          </w:p>
        </w:tc>
        <w:tc>
          <w:tcPr>
            <w:tcW w:w="1122" w:type="pct"/>
            <w:tcBorders>
              <w:tl2br w:val="nil"/>
              <w:tr2bl w:val="nil"/>
            </w:tcBorders>
          </w:tcPr>
          <w:p w14:paraId="49D3AFF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130" w:type="pct"/>
            <w:tcBorders>
              <w:tl2br w:val="nil"/>
              <w:tr2bl w:val="nil"/>
            </w:tcBorders>
          </w:tcPr>
          <w:p w14:paraId="7F94621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-0.001</w:t>
            </w:r>
          </w:p>
        </w:tc>
        <w:tc>
          <w:tcPr>
            <w:tcW w:w="1743" w:type="pct"/>
            <w:tcBorders>
              <w:tl2br w:val="nil"/>
              <w:tr2bl w:val="nil"/>
            </w:tcBorders>
          </w:tcPr>
          <w:p w14:paraId="5D51837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r>
      <w:tr w14:paraId="1F7C6573">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29D7AEC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tcPr>
          <w:p w14:paraId="4F95F1E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130" w:type="pct"/>
            <w:tcBorders>
              <w:tl2br w:val="nil"/>
              <w:tr2bl w:val="nil"/>
            </w:tcBorders>
          </w:tcPr>
          <w:p w14:paraId="7BEC505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(0.006)</w:t>
            </w:r>
          </w:p>
        </w:tc>
        <w:tc>
          <w:tcPr>
            <w:tcW w:w="1743" w:type="pct"/>
            <w:tcBorders>
              <w:tl2br w:val="nil"/>
              <w:tr2bl w:val="nil"/>
            </w:tcBorders>
          </w:tcPr>
          <w:p w14:paraId="33EB9A5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r>
      <w:tr w14:paraId="71A75FAE">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504688D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Treat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1122" w:type="pct"/>
            <w:tcBorders>
              <w:tl2br w:val="nil"/>
              <w:tr2bl w:val="nil"/>
            </w:tcBorders>
          </w:tcPr>
          <w:p w14:paraId="6B6FE0B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130" w:type="pct"/>
            <w:tcBorders>
              <w:tl2br w:val="nil"/>
              <w:tr2bl w:val="nil"/>
            </w:tcBorders>
          </w:tcPr>
          <w:p w14:paraId="252F8D4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743" w:type="pct"/>
            <w:tcBorders>
              <w:tl2br w:val="nil"/>
              <w:tr2bl w:val="nil"/>
            </w:tcBorders>
          </w:tcPr>
          <w:p w14:paraId="3796EBE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r>
      <w:tr w14:paraId="26395E28">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4715779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tcPr>
          <w:p w14:paraId="21B469A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(0.039)</w:t>
            </w:r>
          </w:p>
        </w:tc>
        <w:tc>
          <w:tcPr>
            <w:tcW w:w="1130" w:type="pct"/>
            <w:tcBorders>
              <w:tl2br w:val="nil"/>
              <w:tr2bl w:val="nil"/>
            </w:tcBorders>
          </w:tcPr>
          <w:p w14:paraId="37B6A5A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(0.039)</w:t>
            </w:r>
          </w:p>
        </w:tc>
        <w:tc>
          <w:tcPr>
            <w:tcW w:w="1743" w:type="pct"/>
            <w:tcBorders>
              <w:tl2br w:val="nil"/>
              <w:tr2bl w:val="nil"/>
            </w:tcBorders>
          </w:tcPr>
          <w:p w14:paraId="0D05C86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(0.038)</w:t>
            </w:r>
          </w:p>
        </w:tc>
      </w:tr>
      <w:tr w14:paraId="433AADE0">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5515E47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Period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1122" w:type="pct"/>
            <w:tcBorders>
              <w:tl2br w:val="nil"/>
              <w:tr2bl w:val="nil"/>
            </w:tcBorders>
          </w:tcPr>
          <w:p w14:paraId="5CCC625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-0.010</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130" w:type="pct"/>
            <w:tcBorders>
              <w:tl2br w:val="nil"/>
              <w:tr2bl w:val="nil"/>
            </w:tcBorders>
          </w:tcPr>
          <w:p w14:paraId="6578ED0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-0.010</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743" w:type="pct"/>
            <w:tcBorders>
              <w:tl2br w:val="nil"/>
              <w:tr2bl w:val="nil"/>
            </w:tcBorders>
          </w:tcPr>
          <w:p w14:paraId="23A805A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-0.011</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701367C3">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0F2EE03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tcPr>
          <w:p w14:paraId="6C356CD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130" w:type="pct"/>
            <w:tcBorders>
              <w:tl2br w:val="nil"/>
              <w:tr2bl w:val="nil"/>
            </w:tcBorders>
          </w:tcPr>
          <w:p w14:paraId="03C6373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1743" w:type="pct"/>
            <w:tcBorders>
              <w:tl2br w:val="nil"/>
              <w:tr2bl w:val="nil"/>
            </w:tcBorders>
          </w:tcPr>
          <w:p w14:paraId="15C884A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(0.004)</w:t>
            </w:r>
          </w:p>
        </w:tc>
      </w:tr>
      <w:tr w14:paraId="5B071F0A">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7FBB562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ECRT</w:t>
            </w:r>
          </w:p>
        </w:tc>
        <w:tc>
          <w:tcPr>
            <w:tcW w:w="1122" w:type="pct"/>
            <w:tcBorders>
              <w:tl2br w:val="nil"/>
              <w:tr2bl w:val="nil"/>
            </w:tcBorders>
          </w:tcPr>
          <w:p w14:paraId="1AE78BE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0.002</w:t>
            </w:r>
          </w:p>
        </w:tc>
        <w:tc>
          <w:tcPr>
            <w:tcW w:w="1130" w:type="pct"/>
            <w:tcBorders>
              <w:tl2br w:val="nil"/>
              <w:tr2bl w:val="nil"/>
            </w:tcBorders>
          </w:tcPr>
          <w:p w14:paraId="3EE6012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743" w:type="pct"/>
            <w:tcBorders>
              <w:tl2br w:val="nil"/>
              <w:tr2bl w:val="nil"/>
            </w:tcBorders>
          </w:tcPr>
          <w:p w14:paraId="054FDD9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r>
      <w:tr w14:paraId="5F8F720F">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30DD444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tcPr>
          <w:p w14:paraId="0FA2E5E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130" w:type="pct"/>
            <w:tcBorders>
              <w:tl2br w:val="nil"/>
              <w:tr2bl w:val="nil"/>
            </w:tcBorders>
          </w:tcPr>
          <w:p w14:paraId="3B95D37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743" w:type="pct"/>
            <w:tcBorders>
              <w:tl2br w:val="nil"/>
              <w:tr2bl w:val="nil"/>
            </w:tcBorders>
          </w:tcPr>
          <w:p w14:paraId="70983ED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r>
      <w:tr w14:paraId="3F1025BE">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4B42570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GFR</w:t>
            </w:r>
          </w:p>
        </w:tc>
        <w:tc>
          <w:tcPr>
            <w:tcW w:w="1122" w:type="pct"/>
            <w:tcBorders>
              <w:tl2br w:val="nil"/>
              <w:tr2bl w:val="nil"/>
            </w:tcBorders>
          </w:tcPr>
          <w:p w14:paraId="5AD1A8B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130" w:type="pct"/>
            <w:tcBorders>
              <w:tl2br w:val="nil"/>
              <w:tr2bl w:val="nil"/>
            </w:tcBorders>
          </w:tcPr>
          <w:p w14:paraId="1C56D07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1743" w:type="pct"/>
            <w:tcBorders>
              <w:tl2br w:val="nil"/>
              <w:tr2bl w:val="nil"/>
            </w:tcBorders>
          </w:tcPr>
          <w:p w14:paraId="5F11020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r>
      <w:tr w14:paraId="56B23196">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3349551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tl2br w:val="nil"/>
              <w:tr2bl w:val="nil"/>
            </w:tcBorders>
          </w:tcPr>
          <w:p w14:paraId="7F171B9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130" w:type="pct"/>
            <w:tcBorders>
              <w:tl2br w:val="nil"/>
              <w:tr2bl w:val="nil"/>
            </w:tcBorders>
          </w:tcPr>
          <w:p w14:paraId="1DF70C6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(0.006)</w:t>
            </w:r>
          </w:p>
        </w:tc>
        <w:tc>
          <w:tcPr>
            <w:tcW w:w="1743" w:type="pct"/>
            <w:tcBorders>
              <w:tl2br w:val="nil"/>
              <w:tr2bl w:val="nil"/>
            </w:tcBorders>
          </w:tcPr>
          <w:p w14:paraId="5AA6832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r>
      <w:tr w14:paraId="1898C68A">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09AF1B6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EPT</w:t>
            </w:r>
          </w:p>
        </w:tc>
        <w:tc>
          <w:tcPr>
            <w:tcW w:w="1122" w:type="pct"/>
            <w:tcBorders>
              <w:tl2br w:val="nil"/>
              <w:tr2bl w:val="nil"/>
            </w:tcBorders>
          </w:tcPr>
          <w:p w14:paraId="42732FB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130" w:type="pct"/>
            <w:tcBorders>
              <w:tl2br w:val="nil"/>
              <w:tr2bl w:val="nil"/>
            </w:tcBorders>
          </w:tcPr>
          <w:p w14:paraId="293836B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743" w:type="pct"/>
            <w:tcBorders>
              <w:tl2br w:val="nil"/>
              <w:tr2bl w:val="nil"/>
            </w:tcBorders>
          </w:tcPr>
          <w:p w14:paraId="29FE4EC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0.007</w:t>
            </w:r>
          </w:p>
        </w:tc>
      </w:tr>
      <w:tr w14:paraId="08649760">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bottom w:val="single" w:color="auto" w:sz="4" w:space="0"/>
              <w:tl2br w:val="nil"/>
              <w:tr2bl w:val="nil"/>
            </w:tcBorders>
            <w:vAlign w:val="center"/>
          </w:tcPr>
          <w:p w14:paraId="2CF2915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1122" w:type="pct"/>
            <w:tcBorders>
              <w:bottom w:val="single" w:color="auto" w:sz="4" w:space="0"/>
              <w:tl2br w:val="nil"/>
              <w:tr2bl w:val="nil"/>
            </w:tcBorders>
          </w:tcPr>
          <w:p w14:paraId="1612AA5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130" w:type="pct"/>
            <w:tcBorders>
              <w:bottom w:val="single" w:color="auto" w:sz="4" w:space="0"/>
              <w:tl2br w:val="nil"/>
              <w:tr2bl w:val="nil"/>
            </w:tcBorders>
          </w:tcPr>
          <w:p w14:paraId="0149C07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743" w:type="pct"/>
            <w:tcBorders>
              <w:bottom w:val="single" w:color="auto" w:sz="4" w:space="0"/>
              <w:tl2br w:val="nil"/>
              <w:tr2bl w:val="nil"/>
            </w:tcBorders>
          </w:tcPr>
          <w:p w14:paraId="116A46E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(0.005)</w:t>
            </w:r>
          </w:p>
        </w:tc>
      </w:tr>
      <w:tr w14:paraId="75876B9D">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op w:val="single" w:color="auto" w:sz="4" w:space="0"/>
            </w:tcBorders>
            <w:vAlign w:val="center"/>
          </w:tcPr>
          <w:p w14:paraId="18432ED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1122" w:type="pct"/>
            <w:tcBorders>
              <w:top w:val="single" w:color="auto" w:sz="4" w:space="0"/>
            </w:tcBorders>
            <w:vAlign w:val="center"/>
          </w:tcPr>
          <w:p w14:paraId="6CC860F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op w:val="single" w:color="auto" w:sz="4" w:space="0"/>
            </w:tcBorders>
            <w:vAlign w:val="center"/>
          </w:tcPr>
          <w:p w14:paraId="625A325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op w:val="single" w:color="auto" w:sz="4" w:space="0"/>
            </w:tcBorders>
            <w:vAlign w:val="center"/>
          </w:tcPr>
          <w:p w14:paraId="10130E3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47F6239C">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201D5EE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1122" w:type="pct"/>
            <w:tcBorders>
              <w:tl2br w:val="nil"/>
              <w:tr2bl w:val="nil"/>
            </w:tcBorders>
            <w:vAlign w:val="center"/>
          </w:tcPr>
          <w:p w14:paraId="23B2A05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1AEC42C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5EFDD55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713EAD12">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2946178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1122" w:type="pct"/>
            <w:tcBorders>
              <w:tl2br w:val="nil"/>
              <w:tr2bl w:val="nil"/>
            </w:tcBorders>
            <w:vAlign w:val="center"/>
          </w:tcPr>
          <w:p w14:paraId="6BFE0BB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1BE47FA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2915D59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2B9DDBFB">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356196F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1122" w:type="pct"/>
            <w:tcBorders>
              <w:tl2br w:val="nil"/>
              <w:tr2bl w:val="nil"/>
            </w:tcBorders>
            <w:vAlign w:val="center"/>
          </w:tcPr>
          <w:p w14:paraId="4C3ADC6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614AA38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03B49E2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0632C8D3">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61C063E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1122" w:type="pct"/>
            <w:tcBorders>
              <w:tl2br w:val="nil"/>
              <w:tr2bl w:val="nil"/>
            </w:tcBorders>
            <w:vAlign w:val="center"/>
          </w:tcPr>
          <w:p w14:paraId="36B67B9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130" w:type="pct"/>
            <w:tcBorders>
              <w:tl2br w:val="nil"/>
              <w:tr2bl w:val="nil"/>
            </w:tcBorders>
            <w:vAlign w:val="center"/>
          </w:tcPr>
          <w:p w14:paraId="7E8A5C2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743" w:type="pct"/>
            <w:tcBorders>
              <w:tl2br w:val="nil"/>
              <w:tr2bl w:val="nil"/>
            </w:tcBorders>
            <w:vAlign w:val="center"/>
          </w:tcPr>
          <w:p w14:paraId="0D08ADC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5042FDC7">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18346D9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1122" w:type="pct"/>
            <w:tcBorders>
              <w:tl2br w:val="nil"/>
              <w:tr2bl w:val="nil"/>
            </w:tcBorders>
            <w:vAlign w:val="center"/>
          </w:tcPr>
          <w:p w14:paraId="3D3994C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10,256</w:t>
            </w:r>
          </w:p>
        </w:tc>
        <w:tc>
          <w:tcPr>
            <w:tcW w:w="1130" w:type="pct"/>
            <w:tcBorders>
              <w:tl2br w:val="nil"/>
              <w:tr2bl w:val="nil"/>
            </w:tcBorders>
            <w:vAlign w:val="center"/>
          </w:tcPr>
          <w:p w14:paraId="0019367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10,256</w:t>
            </w:r>
          </w:p>
        </w:tc>
        <w:tc>
          <w:tcPr>
            <w:tcW w:w="1743" w:type="pct"/>
            <w:tcBorders>
              <w:tl2br w:val="nil"/>
              <w:tr2bl w:val="nil"/>
            </w:tcBorders>
            <w:vAlign w:val="center"/>
          </w:tcPr>
          <w:p w14:paraId="4649E88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10,256</w:t>
            </w:r>
          </w:p>
        </w:tc>
      </w:tr>
      <w:tr w14:paraId="447238D8">
        <w:tblPrEx>
          <w:tblBorders>
            <w:top w:val="single" w:color="auto" w:sz="8"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1004" w:type="pct"/>
            <w:tcBorders>
              <w:tl2br w:val="nil"/>
              <w:tr2bl w:val="nil"/>
            </w:tcBorders>
            <w:vAlign w:val="center"/>
          </w:tcPr>
          <w:p w14:paraId="480ECE9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2</w:t>
            </w:r>
          </w:p>
        </w:tc>
        <w:tc>
          <w:tcPr>
            <w:tcW w:w="1122" w:type="pct"/>
            <w:tcBorders>
              <w:tl2br w:val="nil"/>
              <w:tr2bl w:val="nil"/>
            </w:tcBorders>
          </w:tcPr>
          <w:p w14:paraId="6860BA6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0.627</w:t>
            </w:r>
          </w:p>
        </w:tc>
        <w:tc>
          <w:tcPr>
            <w:tcW w:w="1130" w:type="pct"/>
            <w:tcBorders>
              <w:tl2br w:val="nil"/>
              <w:tr2bl w:val="nil"/>
            </w:tcBorders>
          </w:tcPr>
          <w:p w14:paraId="7CD5503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0.627</w:t>
            </w:r>
          </w:p>
        </w:tc>
        <w:tc>
          <w:tcPr>
            <w:tcW w:w="1743" w:type="pct"/>
            <w:tcBorders>
              <w:tl2br w:val="nil"/>
              <w:tr2bl w:val="nil"/>
            </w:tcBorders>
          </w:tcPr>
          <w:p w14:paraId="302F5B1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0.627</w:t>
            </w:r>
          </w:p>
        </w:tc>
      </w:tr>
    </w:tbl>
    <w:p w14:paraId="7A6258EB">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Note: Robust standard errors in parentheses, ***, **, and * indicate significance at the 0.01, 0.05, and 0.1 levels, respectively.</w:t>
      </w:r>
    </w:p>
    <w:p w14:paraId="229FE834">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jc w:val="both"/>
        <w:outlineLvl w:val="2"/>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4</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1</w:t>
      </w:r>
      <w:r>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.5</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 xml:space="preserve"> </w:t>
      </w:r>
      <w:r>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Multi-period D</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D</w:t>
      </w:r>
      <w:r>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D</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 xml:space="preserve"> Model</w:t>
      </w:r>
    </w:p>
    <w:p w14:paraId="652DF088">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To address the concern that ending the sample in 2020 may provide too short a window to observe the full impact of the EST policy, we extended the sample period to 2023 and employed a multi</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period DDD model. To maintain consistency with our baseline specification, which already adopted a triple</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difference design based on region, industry, and time, we constructed a multi</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period DDD policy variable. Specifically, this variable takes the value of one for energy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intensive firms located in either the first</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batch or second</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batch pilot regions, and for years on or after the respective implementation year (2017 for the first batch, 2021 for the second batch). For all other firms and periods, the indicator is zero. In addition, we included year</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by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industry and year</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by</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province interaction fixed effects to absorb potentially confounding time</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varying heterogeneity. The results, reported in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c</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olumn (1) of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Table S9</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remain significantly positive.</w:t>
      </w:r>
    </w:p>
    <w:p w14:paraId="652A54F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both"/>
        <w:textAlignment w:val="auto"/>
        <w:rPr>
          <w:rFonts w:hint="eastAsia" w:ascii="Times New Roman" w:hAnsi="Times New Roman" w:eastAsia="宋体" w:cs="Times New Roman"/>
          <w:i/>
          <w:iCs/>
          <w:color w:val="0D0D0D" w:themeColor="text1" w:themeTint="F2"/>
          <w:sz w:val="22"/>
          <w:szCs w:val="22"/>
          <w:highlight w:val="none"/>
          <w:lang w:eastAsia="zh-CN"/>
          <w14:textFill>
            <w14:solidFill>
              <w14:schemeClr w14:val="tx1">
                <w14:lumMod w14:val="95000"/>
                <w14:lumOff w14:val="5000"/>
              </w14:schemeClr>
            </w14:solidFill>
          </w14:textFill>
        </w:rPr>
      </w:pPr>
      <w:r>
        <w:rPr>
          <w:rFonts w:hint="eastAsia" w:ascii="Times New Roman" w:hAnsi="Times New Roman" w:eastAsia="宋体" w:cs="Times New Roman"/>
          <w:i/>
          <w:iCs/>
          <w:color w:val="0D0D0D" w:themeColor="text1" w:themeTint="F2"/>
          <w:sz w:val="22"/>
          <w:szCs w:val="22"/>
          <w:highlight w:val="none"/>
          <w:lang w:eastAsia="zh-CN"/>
          <w14:textFill>
            <w14:solidFill>
              <w14:schemeClr w14:val="tx1">
                <w14:lumMod w14:val="95000"/>
                <w14:lumOff w14:val="5000"/>
              </w14:schemeClr>
            </w14:solidFill>
          </w14:textFill>
        </w:rPr>
        <w:drawing>
          <wp:inline distT="0" distB="0" distL="114300" distR="114300">
            <wp:extent cx="5266690" cy="2021840"/>
            <wp:effectExtent l="0" t="0" r="1270" b="7620"/>
            <wp:docPr id="5" name="图片 5" descr="2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_01(1)"/>
                    <pic:cNvPicPr>
                      <a:picLocks noChangeAspect="1"/>
                    </pic:cNvPicPr>
                  </pic:nvPicPr>
                  <pic:blipFill>
                    <a:blip r:embed="rId9"/>
                    <a:stretch>
                      <a:fillRect/>
                    </a:stretch>
                  </pic:blipFill>
                  <pic:spPr>
                    <a:xfrm>
                      <a:off x="0" y="0"/>
                      <a:ext cx="5266690" cy="2021840"/>
                    </a:xfrm>
                    <a:prstGeom prst="rect">
                      <a:avLst/>
                    </a:prstGeom>
                  </pic:spPr>
                </pic:pic>
              </a:graphicData>
            </a:graphic>
          </wp:inline>
        </w:drawing>
      </w:r>
    </w:p>
    <w:p w14:paraId="66E821AB">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Fig. </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S4</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Multi-period Parallel Trend Test</w:t>
      </w:r>
    </w:p>
    <w:p w14:paraId="1A85E57E">
      <w:pPr>
        <w:bidi w:val="0"/>
        <w:rPr>
          <w:rFonts w:hint="default"/>
          <w:color w:val="0D0D0D" w:themeColor="text1" w:themeTint="F2"/>
          <w:highlight w:val="none"/>
          <w14:textFill>
            <w14:solidFill>
              <w14:schemeClr w14:val="tx1">
                <w14:lumMod w14:val="95000"/>
                <w14:lumOff w14:val="5000"/>
              </w14:schemeClr>
            </w14:solidFill>
          </w14:textFill>
        </w:rPr>
      </w:pPr>
    </w:p>
    <w:p w14:paraId="4446C25B">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default" w:ascii="Times New Roman" w:hAnsi="Times New Roman" w:cs="Times New Roman" w:eastAsiaTheme="minorEastAsia"/>
          <w:color w:val="0D0D0D" w:themeColor="text1" w:themeTint="F2"/>
          <w:kern w:val="0"/>
          <w:sz w:val="22"/>
          <w:szCs w:val="22"/>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eastAsiaTheme="minorEastAsia"/>
          <w:color w:val="0D0D0D" w:themeColor="text1" w:themeTint="F2"/>
          <w:kern w:val="0"/>
          <w:sz w:val="22"/>
          <w:szCs w:val="22"/>
          <w:highlight w:val="none"/>
          <w:lang w:val="en-US" w:eastAsia="zh-CN" w:bidi="ar-SA"/>
          <w14:textFill>
            <w14:solidFill>
              <w14:schemeClr w14:val="tx1">
                <w14:lumMod w14:val="95000"/>
                <w14:lumOff w14:val="5000"/>
              </w14:schemeClr>
            </w14:solidFill>
          </w14:textFill>
        </w:rPr>
        <w:t xml:space="preserve">Furthermore, we conducted parallel trend tests using both an event-study dynamic model and a stacked approach. As shown in </w:t>
      </w:r>
      <w:r>
        <w:rPr>
          <w:rFonts w:hint="eastAsia" w:ascii="Times New Roman" w:hAnsi="Times New Roman" w:cs="Times New Roman"/>
          <w:color w:val="0D0D0D" w:themeColor="text1" w:themeTint="F2"/>
          <w:kern w:val="0"/>
          <w:sz w:val="22"/>
          <w:szCs w:val="22"/>
          <w:highlight w:val="none"/>
          <w:lang w:val="en-US" w:eastAsia="zh-CN" w:bidi="ar-SA"/>
          <w14:textFill>
            <w14:solidFill>
              <w14:schemeClr w14:val="tx1">
                <w14:lumMod w14:val="95000"/>
                <w14:lumOff w14:val="5000"/>
              </w14:schemeClr>
            </w14:solidFill>
          </w14:textFill>
        </w:rPr>
        <w:t>Figure S4</w:t>
      </w:r>
      <w:r>
        <w:rPr>
          <w:rFonts w:hint="default" w:ascii="Times New Roman" w:hAnsi="Times New Roman" w:cs="Times New Roman" w:eastAsiaTheme="minorEastAsia"/>
          <w:color w:val="0D0D0D" w:themeColor="text1" w:themeTint="F2"/>
          <w:kern w:val="0"/>
          <w:sz w:val="22"/>
          <w:szCs w:val="22"/>
          <w:highlight w:val="none"/>
          <w:lang w:val="en-US" w:eastAsia="zh-CN" w:bidi="ar-SA"/>
          <w14:textFill>
            <w14:solidFill>
              <w14:schemeClr w14:val="tx1">
                <w14:lumMod w14:val="95000"/>
                <w14:lumOff w14:val="5000"/>
              </w14:schemeClr>
            </w14:solidFill>
          </w14:textFill>
        </w:rPr>
        <w:t>, the results of both methods meet the requirements of the parallel trend assumption. Notably, the contemporaneous (period 0) coefficient is significantly positive, followed by a noticeable decline in periods 1-3, and then a re</w:t>
      </w:r>
      <w:r>
        <w:rPr>
          <w:rFonts w:hint="eastAsia" w:ascii="Times New Roman" w:hAnsi="Times New Roman" w:cs="Times New Roman"/>
          <w:color w:val="0D0D0D" w:themeColor="text1" w:themeTint="F2"/>
          <w:kern w:val="0"/>
          <w:sz w:val="22"/>
          <w:szCs w:val="22"/>
          <w:highlight w:val="none"/>
          <w:lang w:val="en-US" w:eastAsia="zh-CN" w:bidi="ar-SA"/>
          <w14:textFill>
            <w14:solidFill>
              <w14:schemeClr w14:val="tx1">
                <w14:lumMod w14:val="95000"/>
                <w14:lumOff w14:val="5000"/>
              </w14:schemeClr>
            </w14:solidFill>
          </w14:textFill>
        </w:rPr>
        <w:t>-</w:t>
      </w:r>
      <w:r>
        <w:rPr>
          <w:rFonts w:hint="default" w:ascii="Times New Roman" w:hAnsi="Times New Roman" w:cs="Times New Roman" w:eastAsiaTheme="minorEastAsia"/>
          <w:color w:val="0D0D0D" w:themeColor="text1" w:themeTint="F2"/>
          <w:kern w:val="0"/>
          <w:sz w:val="22"/>
          <w:szCs w:val="22"/>
          <w:highlight w:val="none"/>
          <w:lang w:val="en-US" w:eastAsia="zh-CN" w:bidi="ar-SA"/>
          <w14:textFill>
            <w14:solidFill>
              <w14:schemeClr w14:val="tx1">
                <w14:lumMod w14:val="95000"/>
                <w14:lumOff w14:val="5000"/>
              </w14:schemeClr>
            </w14:solidFill>
          </w14:textFill>
        </w:rPr>
        <w:t>emergence of significant positive effects in periods 4-6. It is plausible that the initial positive effect in period 0 reflects short-term adjustments, e.g., immediate cost savings, whereas the subsequent decline in periods 1-3 captures the disruptive impact of COVID-19 and the learning curve of second-batch pilots. The re</w:t>
      </w:r>
      <w:r>
        <w:rPr>
          <w:rFonts w:hint="eastAsia" w:ascii="Times New Roman" w:hAnsi="Times New Roman" w:cs="Times New Roman"/>
          <w:color w:val="0D0D0D" w:themeColor="text1" w:themeTint="F2"/>
          <w:kern w:val="0"/>
          <w:sz w:val="22"/>
          <w:szCs w:val="22"/>
          <w:highlight w:val="none"/>
          <w:lang w:val="en-US" w:eastAsia="zh-CN" w:bidi="ar-SA"/>
          <w14:textFill>
            <w14:solidFill>
              <w14:schemeClr w14:val="tx1">
                <w14:lumMod w14:val="95000"/>
                <w14:lumOff w14:val="5000"/>
              </w14:schemeClr>
            </w14:solidFill>
          </w14:textFill>
        </w:rPr>
        <w:t>-</w:t>
      </w:r>
      <w:r>
        <w:rPr>
          <w:rFonts w:hint="default" w:ascii="Times New Roman" w:hAnsi="Times New Roman" w:cs="Times New Roman" w:eastAsiaTheme="minorEastAsia"/>
          <w:color w:val="0D0D0D" w:themeColor="text1" w:themeTint="F2"/>
          <w:kern w:val="0"/>
          <w:sz w:val="22"/>
          <w:szCs w:val="22"/>
          <w:highlight w:val="none"/>
          <w:lang w:val="en-US" w:eastAsia="zh-CN" w:bidi="ar-SA"/>
          <w14:textFill>
            <w14:solidFill>
              <w14:schemeClr w14:val="tx1">
                <w14:lumMod w14:val="95000"/>
                <w14:lumOff w14:val="5000"/>
              </w14:schemeClr>
            </w14:solidFill>
          </w14:textFill>
        </w:rPr>
        <w:t>emergence of significant positive effects in periods 4-6 suggests that once these temporary shocks subside and firms accumulate experience with the spot market, the beneficial impact on ESG performance becomes sustained and growing over time.</w:t>
      </w:r>
    </w:p>
    <w:p w14:paraId="4F339418">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jc w:val="both"/>
        <w:outlineLvl w:val="2"/>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4</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1</w:t>
      </w:r>
      <w:r>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eastAsia"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6</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 xml:space="preserve"> </w:t>
      </w:r>
      <w:r>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Other</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 xml:space="preserve"> Robustness</w:t>
      </w:r>
      <w:r>
        <w:rPr>
          <w:rFonts w:hint="default" w:ascii="Times New Roman" w:hAnsi="Times New Roman"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b/>
          <w:bCs/>
          <w:color w:val="0D0D0D" w:themeColor="text1" w:themeTint="F2"/>
          <w:sz w:val="22"/>
          <w:szCs w:val="22"/>
          <w:highlight w:val="none"/>
          <w14:textFill>
            <w14:solidFill>
              <w14:schemeClr w14:val="tx1">
                <w14:lumMod w14:val="95000"/>
                <w14:lumOff w14:val="5000"/>
              </w14:schemeClr>
            </w14:solidFill>
          </w14:textFill>
        </w:rPr>
        <w:t>Tests</w:t>
      </w:r>
    </w:p>
    <w:p w14:paraId="0048E247">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eastAsiaTheme="minorEastAsia"/>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To further enhance the robustness of the causal relationship between EST and the ESG performance of energy-intensive enterprises, we conducted the following additional tests. First, we altered the variable measurement approach. We employed the ESG score from Hexun.com as a new proxy variable, taking its natural logarithm. Compared to Huazheng ESG, this ESG score covers fewer companies but is also widely used by many scholars.</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In addition, we also used the original value of the Huazheng ESG score for testing to avoid the impact of logarithmic processing on the results.</w:t>
      </w:r>
    </w:p>
    <w:p w14:paraId="4DF2163E">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Second, we excluded the interference of enterprise migration behavior. EST may induce some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energy-intensive</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enterprises to relocate to regions with lower electricity costs or more favorable market conditions, especially as spot price signals create spatial arbitrage opportunities. Such policy</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induced migration, if present, could distort causal inference by altering the composition of firms in pilot and non</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pilot regions. To address this concern, we identified and excluded samples where enterprises changed their registered location during the study period. This conservative approach ensures that our estimated treatment effects are not driven by geographic mobility but reflect genuine changes in firm behavior. Nevertheless, removing these firms may oversimplify reality, as migration itself could be a legitimate strategic response to the policy. For instance, firms that relocate might systematically differ from stayers in terms of size, productivity, or environmental performance</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However, given that migration is a relatively rare event in our sample (affecting less than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1.4</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of observations), its exclusion is unlikely to materially affect.</w:t>
      </w:r>
    </w:p>
    <w:p w14:paraId="01028B91">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Third, we control for the impact of enterprise strategic inertia. Major strategic decisions often exhibit long-term effects, potentially causing current behavior to be influenced by inertia from prior actions. Specifically, an enterprise</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s current ESG performance may be affected by its past ESG decisions and investments. To address this, we incorporate a one-period lagged ESG performance variable, </w:t>
      </w:r>
      <w:r>
        <w:rPr>
          <w:rFonts w:hint="default" w:ascii="Times New Roman" w:hAnsi="Times New Roman" w:cs="Times New Roman"/>
          <w:i/>
          <w:iCs/>
          <w:color w:val="0D0D0D" w:themeColor="text1" w:themeTint="F2"/>
          <w:sz w:val="22"/>
          <w:szCs w:val="22"/>
          <w:highlight w:val="none"/>
          <w14:textFill>
            <w14:solidFill>
              <w14:schemeClr w14:val="tx1">
                <w14:lumMod w14:val="95000"/>
                <w14:lumOff w14:val="5000"/>
              </w14:schemeClr>
            </w14:solidFill>
          </w14:textFill>
        </w:rPr>
        <w:t>L1.ESG</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into the baseline regression model.</w:t>
      </w:r>
    </w:p>
    <w:p w14:paraId="630EC7CF">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Columns (2) - (5) in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Table S9</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report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the results of these tests. As shown, all EST coefficients are significantly positive. This indicates that after controlling for sensitivity to core variable measurement methods, enterprise migration behavior, and strategic inertia, the impact of EST on ESG performance remains robust for energy-intensive enterprises.</w:t>
      </w:r>
    </w:p>
    <w:p w14:paraId="1EBB479F">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0"/>
          <w:szCs w:val="20"/>
          <w:highlight w:val="none"/>
          <w:lang w:eastAsia="zh-CN"/>
          <w14:textFill>
            <w14:solidFill>
              <w14:schemeClr w14:val="tx1">
                <w14:lumMod w14:val="95000"/>
                <w14:lumOff w14:val="5000"/>
              </w14:schemeClr>
            </w14:solidFill>
          </w14:textFill>
        </w:rPr>
        <w:t>Table S9</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Other Robustness</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Tests</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Results</w:t>
      </w:r>
    </w:p>
    <w:tbl>
      <w:tblPr>
        <w:tblStyle w:val="12"/>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46"/>
        <w:gridCol w:w="1270"/>
        <w:gridCol w:w="1100"/>
        <w:gridCol w:w="1100"/>
        <w:gridCol w:w="1740"/>
        <w:gridCol w:w="1466"/>
      </w:tblGrid>
      <w:tr w14:paraId="1C79347B">
        <w:tblPrEx>
          <w:tblCellMar>
            <w:top w:w="0" w:type="dxa"/>
            <w:left w:w="108" w:type="dxa"/>
            <w:bottom w:w="0" w:type="dxa"/>
            <w:right w:w="108" w:type="dxa"/>
          </w:tblCellMar>
        </w:tblPrEx>
        <w:trPr>
          <w:trHeight w:val="0" w:hRule="atLeast"/>
        </w:trPr>
        <w:tc>
          <w:tcPr>
            <w:tcW w:w="1083" w:type="pct"/>
            <w:vMerge w:val="restart"/>
            <w:tcBorders>
              <w:tl2br w:val="nil"/>
              <w:tr2bl w:val="nil"/>
            </w:tcBorders>
            <w:vAlign w:val="center"/>
          </w:tcPr>
          <w:p w14:paraId="6061D5D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745" w:type="pct"/>
            <w:tcBorders>
              <w:bottom w:val="single" w:color="auto" w:sz="4" w:space="0"/>
            </w:tcBorders>
            <w:vAlign w:val="center"/>
          </w:tcPr>
          <w:p w14:paraId="1250486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Multi-period DDD</w:t>
            </w:r>
          </w:p>
        </w:tc>
        <w:tc>
          <w:tcPr>
            <w:tcW w:w="1290" w:type="pct"/>
            <w:gridSpan w:val="2"/>
            <w:tcBorders>
              <w:bottom w:val="single" w:color="auto" w:sz="4" w:space="0"/>
            </w:tcBorders>
            <w:vAlign w:val="center"/>
          </w:tcPr>
          <w:p w14:paraId="424849B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Replace </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M</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easures</w:t>
            </w:r>
          </w:p>
        </w:tc>
        <w:tc>
          <w:tcPr>
            <w:tcW w:w="1020" w:type="pct"/>
            <w:tcBorders>
              <w:bottom w:val="single" w:color="auto" w:sz="4" w:space="0"/>
            </w:tcBorders>
            <w:vAlign w:val="center"/>
          </w:tcPr>
          <w:p w14:paraId="08C978B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Exclude </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M</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igrating</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Enterprises</w:t>
            </w:r>
          </w:p>
        </w:tc>
        <w:tc>
          <w:tcPr>
            <w:tcW w:w="860" w:type="pct"/>
            <w:tcBorders>
              <w:bottom w:val="single" w:color="auto" w:sz="4" w:space="0"/>
            </w:tcBorders>
            <w:vAlign w:val="center"/>
          </w:tcPr>
          <w:p w14:paraId="04A0884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Include </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L</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agged </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T</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erms</w:t>
            </w:r>
          </w:p>
        </w:tc>
      </w:tr>
      <w:tr w14:paraId="07EBB5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vMerge w:val="continue"/>
            <w:tcBorders>
              <w:tl2br w:val="nil"/>
              <w:tr2bl w:val="nil"/>
            </w:tcBorders>
            <w:vAlign w:val="center"/>
          </w:tcPr>
          <w:p w14:paraId="36298C0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745" w:type="pct"/>
            <w:tcBorders>
              <w:top w:val="single" w:color="auto" w:sz="4" w:space="0"/>
              <w:tl2br w:val="nil"/>
              <w:tr2bl w:val="nil"/>
            </w:tcBorders>
            <w:vAlign w:val="center"/>
          </w:tcPr>
          <w:p w14:paraId="3A6E346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w:t>
            </w:r>
          </w:p>
        </w:tc>
        <w:tc>
          <w:tcPr>
            <w:tcW w:w="645" w:type="pct"/>
            <w:tcBorders>
              <w:top w:val="single" w:color="auto" w:sz="4" w:space="0"/>
              <w:tl2br w:val="nil"/>
              <w:tr2bl w:val="nil"/>
            </w:tcBorders>
            <w:vAlign w:val="center"/>
          </w:tcPr>
          <w:p w14:paraId="64F5FA1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2</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645" w:type="pct"/>
            <w:tcBorders>
              <w:top w:val="single" w:color="auto" w:sz="4" w:space="0"/>
              <w:tl2br w:val="nil"/>
              <w:tr2bl w:val="nil"/>
            </w:tcBorders>
            <w:shd w:val="clear" w:color="auto" w:fill="auto"/>
            <w:vAlign w:val="center"/>
          </w:tcPr>
          <w:p w14:paraId="411128B7">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3</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1020" w:type="pct"/>
            <w:tcBorders>
              <w:top w:val="single" w:color="auto" w:sz="4" w:space="0"/>
              <w:tl2br w:val="nil"/>
              <w:tr2bl w:val="nil"/>
            </w:tcBorders>
            <w:shd w:val="clear" w:color="auto" w:fill="auto"/>
            <w:vAlign w:val="center"/>
          </w:tcPr>
          <w:p w14:paraId="3DA3F436">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4</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860" w:type="pct"/>
            <w:tcBorders>
              <w:top w:val="single" w:color="auto" w:sz="4" w:space="0"/>
              <w:tl2br w:val="nil"/>
              <w:tr2bl w:val="nil"/>
            </w:tcBorders>
            <w:vAlign w:val="center"/>
          </w:tcPr>
          <w:p w14:paraId="4D64407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5</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662260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vMerge w:val="continue"/>
            <w:tcBorders>
              <w:bottom w:val="single" w:color="auto" w:sz="4" w:space="0"/>
              <w:tl2br w:val="nil"/>
              <w:tr2bl w:val="nil"/>
            </w:tcBorders>
            <w:vAlign w:val="center"/>
          </w:tcPr>
          <w:p w14:paraId="1EF60D9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745" w:type="pct"/>
            <w:tcBorders>
              <w:bottom w:val="single" w:color="auto" w:sz="4" w:space="0"/>
              <w:tl2br w:val="nil"/>
              <w:tr2bl w:val="nil"/>
            </w:tcBorders>
            <w:shd w:val="clear" w:color="auto" w:fill="auto"/>
            <w:vAlign w:val="center"/>
          </w:tcPr>
          <w:p w14:paraId="0ACECB8B">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645" w:type="pct"/>
            <w:tcBorders>
              <w:bottom w:val="single" w:color="auto" w:sz="4" w:space="0"/>
              <w:tl2br w:val="nil"/>
              <w:tr2bl w:val="nil"/>
            </w:tcBorders>
            <w:shd w:val="clear" w:color="auto" w:fill="auto"/>
            <w:vAlign w:val="center"/>
          </w:tcPr>
          <w:p w14:paraId="1189AD9C">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Hexun</w:t>
            </w:r>
          </w:p>
        </w:tc>
        <w:tc>
          <w:tcPr>
            <w:tcW w:w="645" w:type="pct"/>
            <w:tcBorders>
              <w:bottom w:val="single" w:color="auto" w:sz="4" w:space="0"/>
              <w:tl2br w:val="nil"/>
              <w:tr2bl w:val="nil"/>
            </w:tcBorders>
            <w:shd w:val="clear" w:color="auto" w:fill="auto"/>
            <w:vAlign w:val="center"/>
          </w:tcPr>
          <w:p w14:paraId="09165597">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Huazheng</w:t>
            </w:r>
          </w:p>
        </w:tc>
        <w:tc>
          <w:tcPr>
            <w:tcW w:w="1020" w:type="pct"/>
            <w:tcBorders>
              <w:bottom w:val="single" w:color="auto" w:sz="4" w:space="0"/>
              <w:tl2br w:val="nil"/>
              <w:tr2bl w:val="nil"/>
            </w:tcBorders>
            <w:shd w:val="clear" w:color="auto" w:fill="auto"/>
            <w:vAlign w:val="center"/>
          </w:tcPr>
          <w:p w14:paraId="5A768935">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c>
          <w:tcPr>
            <w:tcW w:w="860" w:type="pct"/>
            <w:tcBorders>
              <w:bottom w:val="single" w:color="auto" w:sz="4" w:space="0"/>
              <w:tl2br w:val="nil"/>
              <w:tr2bl w:val="nil"/>
            </w:tcBorders>
            <w:vAlign w:val="center"/>
          </w:tcPr>
          <w:p w14:paraId="7052C58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ESG</w:t>
            </w:r>
          </w:p>
        </w:tc>
      </w:tr>
      <w:tr w14:paraId="314B36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op w:val="single" w:color="auto" w:sz="4" w:space="0"/>
            </w:tcBorders>
            <w:vAlign w:val="center"/>
          </w:tcPr>
          <w:p w14:paraId="11F1C5D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EST</w:t>
            </w:r>
          </w:p>
        </w:tc>
        <w:tc>
          <w:tcPr>
            <w:tcW w:w="745" w:type="pct"/>
            <w:tcBorders>
              <w:top w:val="single" w:color="auto" w:sz="4" w:space="0"/>
            </w:tcBorders>
            <w:shd w:val="clear" w:color="auto" w:fill="auto"/>
            <w:vAlign w:val="top"/>
          </w:tcPr>
          <w:p w14:paraId="35ED582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0.008</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645" w:type="pct"/>
            <w:tcBorders>
              <w:top w:val="single" w:color="auto" w:sz="4" w:space="0"/>
            </w:tcBorders>
            <w:shd w:val="clear" w:color="auto" w:fill="auto"/>
            <w:vAlign w:val="top"/>
          </w:tcPr>
          <w:p w14:paraId="57972133">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0.227</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645" w:type="pct"/>
            <w:tcBorders>
              <w:top w:val="single" w:color="auto" w:sz="4" w:space="0"/>
            </w:tcBorders>
            <w:shd w:val="clear" w:color="auto" w:fill="auto"/>
            <w:vAlign w:val="top"/>
          </w:tcPr>
          <w:p w14:paraId="47D66FD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0.750</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020" w:type="pct"/>
            <w:tcBorders>
              <w:top w:val="single" w:color="auto" w:sz="4" w:space="0"/>
            </w:tcBorders>
            <w:shd w:val="clear" w:color="auto" w:fill="auto"/>
            <w:vAlign w:val="top"/>
          </w:tcPr>
          <w:p w14:paraId="4D796F25">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0.014</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860" w:type="pct"/>
            <w:tcBorders>
              <w:top w:val="single" w:color="auto" w:sz="4" w:space="0"/>
            </w:tcBorders>
            <w:shd w:val="clear" w:color="auto" w:fill="auto"/>
            <w:vAlign w:val="top"/>
          </w:tcPr>
          <w:p w14:paraId="13216018">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0.011</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731F54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03FB190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745" w:type="pct"/>
            <w:tcBorders>
              <w:tl2br w:val="nil"/>
              <w:tr2bl w:val="nil"/>
            </w:tcBorders>
            <w:shd w:val="clear" w:color="auto" w:fill="auto"/>
            <w:vAlign w:val="top"/>
          </w:tcPr>
          <w:p w14:paraId="5B0B3EE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(0.003)</w:t>
            </w:r>
          </w:p>
        </w:tc>
        <w:tc>
          <w:tcPr>
            <w:tcW w:w="645" w:type="pct"/>
            <w:tcBorders>
              <w:tl2br w:val="nil"/>
              <w:tr2bl w:val="nil"/>
            </w:tcBorders>
            <w:shd w:val="clear" w:color="auto" w:fill="auto"/>
            <w:vAlign w:val="top"/>
          </w:tcPr>
          <w:p w14:paraId="6708973B">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(0.110)</w:t>
            </w:r>
          </w:p>
        </w:tc>
        <w:tc>
          <w:tcPr>
            <w:tcW w:w="645" w:type="pct"/>
            <w:tcBorders>
              <w:tl2br w:val="nil"/>
              <w:tr2bl w:val="nil"/>
            </w:tcBorders>
            <w:shd w:val="clear" w:color="auto" w:fill="auto"/>
            <w:vAlign w:val="top"/>
          </w:tcPr>
          <w:p w14:paraId="67CE2E6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(0.353)</w:t>
            </w:r>
          </w:p>
        </w:tc>
        <w:tc>
          <w:tcPr>
            <w:tcW w:w="1020" w:type="pct"/>
            <w:tcBorders>
              <w:tl2br w:val="nil"/>
              <w:tr2bl w:val="nil"/>
            </w:tcBorders>
            <w:shd w:val="clear" w:color="auto" w:fill="auto"/>
            <w:vAlign w:val="top"/>
          </w:tcPr>
          <w:p w14:paraId="6518B301">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860" w:type="pct"/>
            <w:tcBorders>
              <w:tl2br w:val="nil"/>
              <w:tr2bl w:val="nil"/>
            </w:tcBorders>
            <w:shd w:val="clear" w:color="auto" w:fill="auto"/>
            <w:vAlign w:val="top"/>
          </w:tcPr>
          <w:p w14:paraId="61E3EF5E">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r>
      <w:tr w14:paraId="3D03BD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1385E8F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Treat × Period</w:t>
            </w:r>
          </w:p>
        </w:tc>
        <w:tc>
          <w:tcPr>
            <w:tcW w:w="745" w:type="pct"/>
            <w:tcBorders>
              <w:tl2br w:val="nil"/>
              <w:tr2bl w:val="nil"/>
            </w:tcBorders>
            <w:shd w:val="clear" w:color="auto" w:fill="auto"/>
            <w:vAlign w:val="top"/>
          </w:tcPr>
          <w:p w14:paraId="7A797E99">
            <w:pPr>
              <w:spacing w:beforeLines="0" w:afterLines="0"/>
              <w:jc w:val="left"/>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tc>
        <w:tc>
          <w:tcPr>
            <w:tcW w:w="645" w:type="pct"/>
            <w:tcBorders>
              <w:tl2br w:val="nil"/>
              <w:tr2bl w:val="nil"/>
            </w:tcBorders>
            <w:shd w:val="clear" w:color="auto" w:fill="auto"/>
            <w:vAlign w:val="top"/>
          </w:tcPr>
          <w:p w14:paraId="77644BD3">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-0.043</w:t>
            </w:r>
          </w:p>
        </w:tc>
        <w:tc>
          <w:tcPr>
            <w:tcW w:w="645" w:type="pct"/>
            <w:tcBorders>
              <w:tl2br w:val="nil"/>
              <w:tr2bl w:val="nil"/>
            </w:tcBorders>
            <w:shd w:val="clear" w:color="auto" w:fill="auto"/>
            <w:vAlign w:val="top"/>
          </w:tcPr>
          <w:p w14:paraId="4018D91C">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-0.268</w:t>
            </w:r>
          </w:p>
        </w:tc>
        <w:tc>
          <w:tcPr>
            <w:tcW w:w="1020" w:type="pct"/>
            <w:tcBorders>
              <w:tl2br w:val="nil"/>
              <w:tr2bl w:val="nil"/>
            </w:tcBorders>
            <w:shd w:val="clear" w:color="auto" w:fill="auto"/>
            <w:vAlign w:val="top"/>
          </w:tcPr>
          <w:p w14:paraId="49E74C4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-0.005</w:t>
            </w:r>
          </w:p>
        </w:tc>
        <w:tc>
          <w:tcPr>
            <w:tcW w:w="860" w:type="pct"/>
            <w:tcBorders>
              <w:tl2br w:val="nil"/>
              <w:tr2bl w:val="nil"/>
            </w:tcBorders>
            <w:shd w:val="clear" w:color="auto" w:fill="auto"/>
            <w:vAlign w:val="top"/>
          </w:tcPr>
          <w:p w14:paraId="632DD076">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r>
      <w:tr w14:paraId="318B89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5CB210C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745" w:type="pct"/>
            <w:tcBorders>
              <w:tl2br w:val="nil"/>
              <w:tr2bl w:val="nil"/>
            </w:tcBorders>
            <w:shd w:val="clear" w:color="auto" w:fill="auto"/>
            <w:vAlign w:val="top"/>
          </w:tcPr>
          <w:p w14:paraId="188EF75C">
            <w:pPr>
              <w:spacing w:beforeLines="0" w:afterLines="0"/>
              <w:jc w:val="left"/>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tc>
        <w:tc>
          <w:tcPr>
            <w:tcW w:w="645" w:type="pct"/>
            <w:tcBorders>
              <w:tl2br w:val="nil"/>
              <w:tr2bl w:val="nil"/>
            </w:tcBorders>
            <w:shd w:val="clear" w:color="auto" w:fill="auto"/>
            <w:vAlign w:val="top"/>
          </w:tcPr>
          <w:p w14:paraId="01EA2A46">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(0.047)</w:t>
            </w:r>
          </w:p>
        </w:tc>
        <w:tc>
          <w:tcPr>
            <w:tcW w:w="645" w:type="pct"/>
            <w:tcBorders>
              <w:tl2br w:val="nil"/>
              <w:tr2bl w:val="nil"/>
            </w:tcBorders>
            <w:shd w:val="clear" w:color="auto" w:fill="auto"/>
            <w:vAlign w:val="top"/>
          </w:tcPr>
          <w:p w14:paraId="046A064F">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(0.318)</w:t>
            </w:r>
          </w:p>
        </w:tc>
        <w:tc>
          <w:tcPr>
            <w:tcW w:w="1020" w:type="pct"/>
            <w:tcBorders>
              <w:tl2br w:val="nil"/>
              <w:tr2bl w:val="nil"/>
            </w:tcBorders>
            <w:shd w:val="clear" w:color="auto" w:fill="auto"/>
            <w:vAlign w:val="top"/>
          </w:tcPr>
          <w:p w14:paraId="68C6A87C">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860" w:type="pct"/>
            <w:tcBorders>
              <w:tl2br w:val="nil"/>
              <w:tr2bl w:val="nil"/>
            </w:tcBorders>
            <w:shd w:val="clear" w:color="auto" w:fill="auto"/>
            <w:vAlign w:val="top"/>
          </w:tcPr>
          <w:p w14:paraId="7A4EA043">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(0.005)</w:t>
            </w:r>
          </w:p>
        </w:tc>
      </w:tr>
      <w:tr w14:paraId="5AC82E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733490C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Treat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745" w:type="pct"/>
            <w:tcBorders>
              <w:tl2br w:val="nil"/>
              <w:tr2bl w:val="nil"/>
            </w:tcBorders>
            <w:shd w:val="clear" w:color="auto" w:fill="auto"/>
            <w:vAlign w:val="top"/>
          </w:tcPr>
          <w:p w14:paraId="3D953BD4">
            <w:pPr>
              <w:spacing w:beforeLines="0" w:afterLines="0"/>
              <w:jc w:val="left"/>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tc>
        <w:tc>
          <w:tcPr>
            <w:tcW w:w="645" w:type="pct"/>
            <w:tcBorders>
              <w:tl2br w:val="nil"/>
              <w:tr2bl w:val="nil"/>
            </w:tcBorders>
            <w:shd w:val="clear" w:color="auto" w:fill="auto"/>
            <w:vAlign w:val="top"/>
          </w:tcPr>
          <w:p w14:paraId="7B29B411">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0.062</w:t>
            </w:r>
          </w:p>
        </w:tc>
        <w:tc>
          <w:tcPr>
            <w:tcW w:w="645" w:type="pct"/>
            <w:tcBorders>
              <w:tl2br w:val="nil"/>
              <w:tr2bl w:val="nil"/>
            </w:tcBorders>
            <w:shd w:val="clear" w:color="auto" w:fill="auto"/>
            <w:vAlign w:val="top"/>
          </w:tcPr>
          <w:p w14:paraId="253FD5AE">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0.212</w:t>
            </w:r>
          </w:p>
        </w:tc>
        <w:tc>
          <w:tcPr>
            <w:tcW w:w="1020" w:type="pct"/>
            <w:tcBorders>
              <w:tl2br w:val="nil"/>
              <w:tr2bl w:val="nil"/>
            </w:tcBorders>
            <w:shd w:val="clear" w:color="auto" w:fill="auto"/>
            <w:vAlign w:val="top"/>
          </w:tcPr>
          <w:p w14:paraId="431CAA5B">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-0.001</w:t>
            </w:r>
          </w:p>
        </w:tc>
        <w:tc>
          <w:tcPr>
            <w:tcW w:w="860" w:type="pct"/>
            <w:tcBorders>
              <w:tl2br w:val="nil"/>
              <w:tr2bl w:val="nil"/>
            </w:tcBorders>
            <w:shd w:val="clear" w:color="auto" w:fill="auto"/>
            <w:vAlign w:val="top"/>
          </w:tcPr>
          <w:p w14:paraId="1A3EA1BD">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0.006</w:t>
            </w:r>
          </w:p>
        </w:tc>
      </w:tr>
      <w:tr w14:paraId="139539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1BAD994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745" w:type="pct"/>
            <w:tcBorders>
              <w:tl2br w:val="nil"/>
              <w:tr2bl w:val="nil"/>
            </w:tcBorders>
            <w:shd w:val="clear" w:color="auto" w:fill="auto"/>
            <w:vAlign w:val="top"/>
          </w:tcPr>
          <w:p w14:paraId="6F497ED8">
            <w:pPr>
              <w:spacing w:beforeLines="0" w:afterLines="0"/>
              <w:jc w:val="left"/>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tc>
        <w:tc>
          <w:tcPr>
            <w:tcW w:w="645" w:type="pct"/>
            <w:tcBorders>
              <w:tl2br w:val="nil"/>
              <w:tr2bl w:val="nil"/>
            </w:tcBorders>
            <w:shd w:val="clear" w:color="auto" w:fill="auto"/>
            <w:vAlign w:val="top"/>
          </w:tcPr>
          <w:p w14:paraId="3A5A910E">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(0.283)</w:t>
            </w:r>
          </w:p>
        </w:tc>
        <w:tc>
          <w:tcPr>
            <w:tcW w:w="645" w:type="pct"/>
            <w:tcBorders>
              <w:tl2br w:val="nil"/>
              <w:tr2bl w:val="nil"/>
            </w:tcBorders>
            <w:shd w:val="clear" w:color="auto" w:fill="auto"/>
            <w:vAlign w:val="top"/>
          </w:tcPr>
          <w:p w14:paraId="71FFC674">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(2.646)</w:t>
            </w:r>
          </w:p>
        </w:tc>
        <w:tc>
          <w:tcPr>
            <w:tcW w:w="1020" w:type="pct"/>
            <w:tcBorders>
              <w:tl2br w:val="nil"/>
              <w:tr2bl w:val="nil"/>
            </w:tcBorders>
            <w:shd w:val="clear" w:color="auto" w:fill="auto"/>
            <w:vAlign w:val="top"/>
          </w:tcPr>
          <w:p w14:paraId="683A74E6">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(0.039)</w:t>
            </w:r>
          </w:p>
        </w:tc>
        <w:tc>
          <w:tcPr>
            <w:tcW w:w="860" w:type="pct"/>
            <w:tcBorders>
              <w:tl2br w:val="nil"/>
              <w:tr2bl w:val="nil"/>
            </w:tcBorders>
            <w:shd w:val="clear" w:color="auto" w:fill="auto"/>
            <w:vAlign w:val="top"/>
          </w:tcPr>
          <w:p w14:paraId="158AE47D">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(0.031)</w:t>
            </w:r>
          </w:p>
        </w:tc>
      </w:tr>
      <w:tr w14:paraId="3A8D8B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50BD53A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Period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745" w:type="pct"/>
            <w:tcBorders>
              <w:tl2br w:val="nil"/>
              <w:tr2bl w:val="nil"/>
            </w:tcBorders>
            <w:shd w:val="clear" w:color="auto" w:fill="auto"/>
            <w:vAlign w:val="top"/>
          </w:tcPr>
          <w:p w14:paraId="4D2EACEC">
            <w:pPr>
              <w:spacing w:beforeLines="0" w:afterLines="0"/>
              <w:jc w:val="left"/>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tc>
        <w:tc>
          <w:tcPr>
            <w:tcW w:w="645" w:type="pct"/>
            <w:tcBorders>
              <w:tl2br w:val="nil"/>
              <w:tr2bl w:val="nil"/>
            </w:tcBorders>
            <w:shd w:val="clear" w:color="auto" w:fill="auto"/>
            <w:vAlign w:val="top"/>
          </w:tcPr>
          <w:p w14:paraId="571B10B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-0.006</w:t>
            </w:r>
          </w:p>
        </w:tc>
        <w:tc>
          <w:tcPr>
            <w:tcW w:w="645" w:type="pct"/>
            <w:tcBorders>
              <w:tl2br w:val="nil"/>
              <w:tr2bl w:val="nil"/>
            </w:tcBorders>
            <w:shd w:val="clear" w:color="auto" w:fill="auto"/>
            <w:vAlign w:val="top"/>
          </w:tcPr>
          <w:p w14:paraId="5E3D9264">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-0.634</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1020" w:type="pct"/>
            <w:tcBorders>
              <w:tl2br w:val="nil"/>
              <w:tr2bl w:val="nil"/>
            </w:tcBorders>
            <w:shd w:val="clear" w:color="auto" w:fill="auto"/>
            <w:vAlign w:val="top"/>
          </w:tcPr>
          <w:p w14:paraId="26D680A6">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-0.011</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860" w:type="pct"/>
            <w:tcBorders>
              <w:tl2br w:val="nil"/>
              <w:tr2bl w:val="nil"/>
            </w:tcBorders>
            <w:shd w:val="clear" w:color="auto" w:fill="auto"/>
            <w:vAlign w:val="top"/>
          </w:tcPr>
          <w:p w14:paraId="7370F943">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-0.007</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6E5569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3FBA27A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745" w:type="pct"/>
            <w:tcBorders>
              <w:tl2br w:val="nil"/>
              <w:tr2bl w:val="nil"/>
            </w:tcBorders>
            <w:shd w:val="clear" w:color="auto" w:fill="auto"/>
            <w:vAlign w:val="top"/>
          </w:tcPr>
          <w:p w14:paraId="7E341BF3">
            <w:pPr>
              <w:spacing w:beforeLines="0" w:afterLines="0"/>
              <w:jc w:val="left"/>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tc>
        <w:tc>
          <w:tcPr>
            <w:tcW w:w="645" w:type="pct"/>
            <w:tcBorders>
              <w:tl2br w:val="nil"/>
              <w:tr2bl w:val="nil"/>
            </w:tcBorders>
            <w:shd w:val="clear" w:color="auto" w:fill="auto"/>
            <w:vAlign w:val="top"/>
          </w:tcPr>
          <w:p w14:paraId="0A973719">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(0.089)</w:t>
            </w:r>
          </w:p>
        </w:tc>
        <w:tc>
          <w:tcPr>
            <w:tcW w:w="645" w:type="pct"/>
            <w:tcBorders>
              <w:tl2br w:val="nil"/>
              <w:tr2bl w:val="nil"/>
            </w:tcBorders>
            <w:shd w:val="clear" w:color="auto" w:fill="auto"/>
            <w:vAlign w:val="top"/>
          </w:tcPr>
          <w:p w14:paraId="3B13294F">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(0.268)</w:t>
            </w:r>
          </w:p>
        </w:tc>
        <w:tc>
          <w:tcPr>
            <w:tcW w:w="1020" w:type="pct"/>
            <w:tcBorders>
              <w:tl2br w:val="nil"/>
              <w:tr2bl w:val="nil"/>
            </w:tcBorders>
            <w:shd w:val="clear" w:color="auto" w:fill="auto"/>
            <w:vAlign w:val="top"/>
          </w:tcPr>
          <w:p w14:paraId="4EBC1768">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(0.004)</w:t>
            </w:r>
          </w:p>
        </w:tc>
        <w:tc>
          <w:tcPr>
            <w:tcW w:w="860" w:type="pct"/>
            <w:tcBorders>
              <w:tl2br w:val="nil"/>
              <w:tr2bl w:val="nil"/>
            </w:tcBorders>
            <w:shd w:val="clear" w:color="auto" w:fill="auto"/>
            <w:vAlign w:val="top"/>
          </w:tcPr>
          <w:p w14:paraId="672B8119">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(0.003)</w:t>
            </w:r>
          </w:p>
        </w:tc>
      </w:tr>
      <w:tr w14:paraId="07CA68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03F98A9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L1.ESG</w:t>
            </w:r>
          </w:p>
        </w:tc>
        <w:tc>
          <w:tcPr>
            <w:tcW w:w="745" w:type="pct"/>
            <w:tcBorders>
              <w:tl2br w:val="nil"/>
              <w:tr2bl w:val="nil"/>
            </w:tcBorders>
          </w:tcPr>
          <w:p w14:paraId="13E31D7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645" w:type="pct"/>
            <w:tcBorders>
              <w:tl2br w:val="nil"/>
              <w:tr2bl w:val="nil"/>
            </w:tcBorders>
          </w:tcPr>
          <w:p w14:paraId="4BD093E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645" w:type="pct"/>
            <w:tcBorders>
              <w:tl2br w:val="nil"/>
              <w:tr2bl w:val="nil"/>
            </w:tcBorders>
          </w:tcPr>
          <w:p w14:paraId="0D9E684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020" w:type="pct"/>
            <w:tcBorders>
              <w:tl2br w:val="nil"/>
              <w:tr2bl w:val="nil"/>
            </w:tcBorders>
          </w:tcPr>
          <w:p w14:paraId="3CB8465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860" w:type="pct"/>
            <w:tcBorders>
              <w:tl2br w:val="nil"/>
              <w:tr2bl w:val="nil"/>
            </w:tcBorders>
            <w:shd w:val="clear" w:color="auto" w:fill="auto"/>
            <w:vAlign w:val="top"/>
          </w:tcPr>
          <w:p w14:paraId="498266A4">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0.307</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52D46A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bottom w:val="single" w:color="auto" w:sz="4" w:space="0"/>
              <w:tl2br w:val="nil"/>
              <w:tr2bl w:val="nil"/>
            </w:tcBorders>
            <w:vAlign w:val="center"/>
          </w:tcPr>
          <w:p w14:paraId="0673B07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745" w:type="pct"/>
            <w:tcBorders>
              <w:bottom w:val="single" w:color="auto" w:sz="4" w:space="0"/>
              <w:tl2br w:val="nil"/>
              <w:tr2bl w:val="nil"/>
            </w:tcBorders>
          </w:tcPr>
          <w:p w14:paraId="1FE9E02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645" w:type="pct"/>
            <w:tcBorders>
              <w:bottom w:val="single" w:color="auto" w:sz="4" w:space="0"/>
              <w:tl2br w:val="nil"/>
              <w:tr2bl w:val="nil"/>
            </w:tcBorders>
          </w:tcPr>
          <w:p w14:paraId="25E484F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645" w:type="pct"/>
            <w:tcBorders>
              <w:bottom w:val="single" w:color="auto" w:sz="4" w:space="0"/>
              <w:tl2br w:val="nil"/>
              <w:tr2bl w:val="nil"/>
            </w:tcBorders>
          </w:tcPr>
          <w:p w14:paraId="1F06D1D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1020" w:type="pct"/>
            <w:tcBorders>
              <w:bottom w:val="single" w:color="auto" w:sz="4" w:space="0"/>
              <w:tl2br w:val="nil"/>
              <w:tr2bl w:val="nil"/>
            </w:tcBorders>
          </w:tcPr>
          <w:p w14:paraId="4CB587F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p>
        </w:tc>
        <w:tc>
          <w:tcPr>
            <w:tcW w:w="860" w:type="pct"/>
            <w:tcBorders>
              <w:bottom w:val="single" w:color="auto" w:sz="4" w:space="0"/>
              <w:tl2br w:val="nil"/>
              <w:tr2bl w:val="nil"/>
            </w:tcBorders>
            <w:shd w:val="clear" w:color="auto" w:fill="auto"/>
            <w:vAlign w:val="top"/>
          </w:tcPr>
          <w:p w14:paraId="23C477E4">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(0.019)</w:t>
            </w:r>
          </w:p>
        </w:tc>
      </w:tr>
      <w:tr w14:paraId="6E97D8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op w:val="single" w:color="auto" w:sz="4" w:space="0"/>
            </w:tcBorders>
            <w:vAlign w:val="center"/>
          </w:tcPr>
          <w:p w14:paraId="69C0C67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745" w:type="pct"/>
            <w:tcBorders>
              <w:top w:val="single" w:color="auto" w:sz="4" w:space="0"/>
            </w:tcBorders>
            <w:vAlign w:val="center"/>
          </w:tcPr>
          <w:p w14:paraId="5B2FD9C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op w:val="single" w:color="auto" w:sz="4" w:space="0"/>
            </w:tcBorders>
            <w:vAlign w:val="center"/>
          </w:tcPr>
          <w:p w14:paraId="2E8189A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op w:val="single" w:color="auto" w:sz="4" w:space="0"/>
            </w:tcBorders>
            <w:shd w:val="clear" w:color="auto" w:fill="auto"/>
            <w:vAlign w:val="center"/>
          </w:tcPr>
          <w:p w14:paraId="4F265C4A">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020" w:type="pct"/>
            <w:tcBorders>
              <w:top w:val="single" w:color="auto" w:sz="4" w:space="0"/>
            </w:tcBorders>
            <w:vAlign w:val="center"/>
          </w:tcPr>
          <w:p w14:paraId="26EF3C4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860" w:type="pct"/>
            <w:tcBorders>
              <w:top w:val="single" w:color="auto" w:sz="4" w:space="0"/>
            </w:tcBorders>
            <w:vAlign w:val="center"/>
          </w:tcPr>
          <w:p w14:paraId="55DF28D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15A3CF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56E95797">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i w:val="0"/>
                <w:iCs w:val="0"/>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745" w:type="pct"/>
            <w:tcBorders>
              <w:tl2br w:val="nil"/>
              <w:tr2bl w:val="nil"/>
            </w:tcBorders>
            <w:vAlign w:val="center"/>
          </w:tcPr>
          <w:p w14:paraId="66C2DBD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vAlign w:val="center"/>
          </w:tcPr>
          <w:p w14:paraId="00B2B74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645" w:type="pct"/>
            <w:tcBorders>
              <w:tl2br w:val="nil"/>
              <w:tr2bl w:val="nil"/>
            </w:tcBorders>
            <w:shd w:val="clear" w:color="auto" w:fill="auto"/>
            <w:vAlign w:val="center"/>
          </w:tcPr>
          <w:p w14:paraId="2B77FA2D">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1020" w:type="pct"/>
            <w:tcBorders>
              <w:tl2br w:val="nil"/>
              <w:tr2bl w:val="nil"/>
            </w:tcBorders>
            <w:vAlign w:val="center"/>
          </w:tcPr>
          <w:p w14:paraId="47BCFE3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860" w:type="pct"/>
            <w:tcBorders>
              <w:tl2br w:val="nil"/>
              <w:tr2bl w:val="nil"/>
            </w:tcBorders>
            <w:vAlign w:val="center"/>
          </w:tcPr>
          <w:p w14:paraId="261BA36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r>
      <w:tr w14:paraId="278773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7D551DE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Province </w:t>
            </w:r>
            <w:r>
              <w:rPr>
                <w:rFonts w:hint="default" w:ascii="Times New Roman" w:hAnsi="Times New Roman" w:eastAsia="宋体" w:cs="Times New Roman"/>
                <w:i w:val="0"/>
                <w:iCs w:val="0"/>
                <w:color w:val="0D0D0D" w:themeColor="text1" w:themeTint="F2"/>
                <w:sz w:val="20"/>
                <w:szCs w:val="20"/>
                <w:highlight w:val="none"/>
                <w14:textFill>
                  <w14:solidFill>
                    <w14:schemeClr w14:val="tx1">
                      <w14:lumMod w14:val="95000"/>
                      <w14:lumOff w14:val="5000"/>
                    </w14:schemeClr>
                  </w14:solidFill>
                </w14:textFill>
              </w:rPr>
              <w:t xml:space="preserve">× </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745" w:type="pct"/>
            <w:tcBorders>
              <w:tl2br w:val="nil"/>
              <w:tr2bl w:val="nil"/>
            </w:tcBorders>
            <w:vAlign w:val="center"/>
          </w:tcPr>
          <w:p w14:paraId="190F5FD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vAlign w:val="center"/>
          </w:tcPr>
          <w:p w14:paraId="4429691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645" w:type="pct"/>
            <w:tcBorders>
              <w:tl2br w:val="nil"/>
              <w:tr2bl w:val="nil"/>
            </w:tcBorders>
            <w:shd w:val="clear" w:color="auto" w:fill="auto"/>
            <w:vAlign w:val="center"/>
          </w:tcPr>
          <w:p w14:paraId="35827813">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1020" w:type="pct"/>
            <w:tcBorders>
              <w:tl2br w:val="nil"/>
              <w:tr2bl w:val="nil"/>
            </w:tcBorders>
            <w:vAlign w:val="center"/>
          </w:tcPr>
          <w:p w14:paraId="2FE69F1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860" w:type="pct"/>
            <w:tcBorders>
              <w:tl2br w:val="nil"/>
              <w:tr2bl w:val="nil"/>
            </w:tcBorders>
            <w:vAlign w:val="center"/>
          </w:tcPr>
          <w:p w14:paraId="0609FBD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r>
      <w:tr w14:paraId="3497F6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12EA7DF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745" w:type="pct"/>
            <w:tcBorders>
              <w:tl2br w:val="nil"/>
              <w:tr2bl w:val="nil"/>
            </w:tcBorders>
            <w:shd w:val="clear" w:color="auto" w:fill="auto"/>
            <w:vAlign w:val="center"/>
          </w:tcPr>
          <w:p w14:paraId="6FC3BCDF">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vAlign w:val="center"/>
          </w:tcPr>
          <w:p w14:paraId="45CDA7D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shd w:val="clear" w:color="auto" w:fill="auto"/>
            <w:vAlign w:val="center"/>
          </w:tcPr>
          <w:p w14:paraId="7CF610CA">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020" w:type="pct"/>
            <w:tcBorders>
              <w:tl2br w:val="nil"/>
              <w:tr2bl w:val="nil"/>
            </w:tcBorders>
            <w:vAlign w:val="center"/>
          </w:tcPr>
          <w:p w14:paraId="7EA7019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860" w:type="pct"/>
            <w:tcBorders>
              <w:tl2br w:val="nil"/>
              <w:tr2bl w:val="nil"/>
            </w:tcBorders>
            <w:vAlign w:val="center"/>
          </w:tcPr>
          <w:p w14:paraId="1548EA1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34ECD2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2AC9FD5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745" w:type="pct"/>
            <w:tcBorders>
              <w:tl2br w:val="nil"/>
              <w:tr2bl w:val="nil"/>
            </w:tcBorders>
            <w:shd w:val="clear" w:color="auto" w:fill="auto"/>
            <w:vAlign w:val="center"/>
          </w:tcPr>
          <w:p w14:paraId="6F97C5D5">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vAlign w:val="center"/>
          </w:tcPr>
          <w:p w14:paraId="13116AA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shd w:val="clear" w:color="auto" w:fill="auto"/>
            <w:vAlign w:val="center"/>
          </w:tcPr>
          <w:p w14:paraId="5B7AAD7F">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020" w:type="pct"/>
            <w:tcBorders>
              <w:tl2br w:val="nil"/>
              <w:tr2bl w:val="nil"/>
            </w:tcBorders>
            <w:vAlign w:val="center"/>
          </w:tcPr>
          <w:p w14:paraId="7610BAE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860" w:type="pct"/>
            <w:tcBorders>
              <w:tl2br w:val="nil"/>
              <w:tr2bl w:val="nil"/>
            </w:tcBorders>
            <w:vAlign w:val="center"/>
          </w:tcPr>
          <w:p w14:paraId="72ABA53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18DDE0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4FDB4C7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745" w:type="pct"/>
            <w:tcBorders>
              <w:tl2br w:val="nil"/>
              <w:tr2bl w:val="nil"/>
            </w:tcBorders>
            <w:shd w:val="clear" w:color="auto" w:fill="auto"/>
            <w:vAlign w:val="center"/>
          </w:tcPr>
          <w:p w14:paraId="496BB544">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vAlign w:val="center"/>
          </w:tcPr>
          <w:p w14:paraId="397AF0B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shd w:val="clear" w:color="auto" w:fill="auto"/>
            <w:vAlign w:val="center"/>
          </w:tcPr>
          <w:p w14:paraId="522C18B3">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020" w:type="pct"/>
            <w:tcBorders>
              <w:tl2br w:val="nil"/>
              <w:tr2bl w:val="nil"/>
            </w:tcBorders>
            <w:vAlign w:val="center"/>
          </w:tcPr>
          <w:p w14:paraId="2A2B547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860" w:type="pct"/>
            <w:tcBorders>
              <w:tl2br w:val="nil"/>
              <w:tr2bl w:val="nil"/>
            </w:tcBorders>
            <w:vAlign w:val="center"/>
          </w:tcPr>
          <w:p w14:paraId="63E2C7E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49770B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64C4590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745" w:type="pct"/>
            <w:tcBorders>
              <w:tl2br w:val="nil"/>
              <w:tr2bl w:val="nil"/>
            </w:tcBorders>
            <w:shd w:val="clear" w:color="auto" w:fill="auto"/>
            <w:vAlign w:val="center"/>
          </w:tcPr>
          <w:p w14:paraId="34B80314">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vAlign w:val="center"/>
          </w:tcPr>
          <w:p w14:paraId="66369CF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645" w:type="pct"/>
            <w:tcBorders>
              <w:tl2br w:val="nil"/>
              <w:tr2bl w:val="nil"/>
            </w:tcBorders>
            <w:shd w:val="clear" w:color="auto" w:fill="auto"/>
            <w:vAlign w:val="center"/>
          </w:tcPr>
          <w:p w14:paraId="371BDB8F">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1020" w:type="pct"/>
            <w:tcBorders>
              <w:tl2br w:val="nil"/>
              <w:tr2bl w:val="nil"/>
            </w:tcBorders>
            <w:vAlign w:val="center"/>
          </w:tcPr>
          <w:p w14:paraId="16F51BD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860" w:type="pct"/>
            <w:tcBorders>
              <w:tl2br w:val="nil"/>
              <w:tr2bl w:val="nil"/>
            </w:tcBorders>
            <w:vAlign w:val="center"/>
          </w:tcPr>
          <w:p w14:paraId="0B2B783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60A515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282487F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745" w:type="pct"/>
            <w:tcBorders>
              <w:tl2br w:val="nil"/>
              <w:tr2bl w:val="nil"/>
            </w:tcBorders>
            <w:vAlign w:val="center"/>
          </w:tcPr>
          <w:p w14:paraId="4CBFC51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27,517</w:t>
            </w:r>
          </w:p>
        </w:tc>
        <w:tc>
          <w:tcPr>
            <w:tcW w:w="645" w:type="pct"/>
            <w:tcBorders>
              <w:tl2br w:val="nil"/>
              <w:tr2bl w:val="nil"/>
            </w:tcBorders>
            <w:vAlign w:val="center"/>
          </w:tcPr>
          <w:p w14:paraId="44E5E93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8,945</w:t>
            </w:r>
          </w:p>
        </w:tc>
        <w:tc>
          <w:tcPr>
            <w:tcW w:w="645" w:type="pct"/>
            <w:tcBorders>
              <w:tl2br w:val="nil"/>
              <w:tr2bl w:val="nil"/>
            </w:tcBorders>
            <w:shd w:val="clear" w:color="auto" w:fill="auto"/>
            <w:vAlign w:val="center"/>
          </w:tcPr>
          <w:p w14:paraId="4240B58A">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10,256</w:t>
            </w:r>
          </w:p>
        </w:tc>
        <w:tc>
          <w:tcPr>
            <w:tcW w:w="1020" w:type="pct"/>
            <w:tcBorders>
              <w:tl2br w:val="nil"/>
              <w:tr2bl w:val="nil"/>
            </w:tcBorders>
            <w:vAlign w:val="center"/>
          </w:tcPr>
          <w:p w14:paraId="47921FD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114</w:t>
            </w:r>
          </w:p>
        </w:tc>
        <w:tc>
          <w:tcPr>
            <w:tcW w:w="860" w:type="pct"/>
            <w:tcBorders>
              <w:tl2br w:val="nil"/>
              <w:tr2bl w:val="nil"/>
            </w:tcBorders>
            <w:vAlign w:val="center"/>
          </w:tcPr>
          <w:p w14:paraId="6A72DB8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127</w:t>
            </w:r>
          </w:p>
        </w:tc>
      </w:tr>
      <w:tr w14:paraId="4FDA1B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3" w:type="pct"/>
            <w:tcBorders>
              <w:tl2br w:val="nil"/>
              <w:tr2bl w:val="nil"/>
            </w:tcBorders>
            <w:vAlign w:val="center"/>
          </w:tcPr>
          <w:p w14:paraId="727959F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2</w:t>
            </w:r>
          </w:p>
        </w:tc>
        <w:tc>
          <w:tcPr>
            <w:tcW w:w="745" w:type="pct"/>
            <w:tcBorders>
              <w:tl2br w:val="nil"/>
              <w:tr2bl w:val="nil"/>
            </w:tcBorders>
            <w:shd w:val="clear" w:color="auto" w:fill="auto"/>
            <w:vAlign w:val="top"/>
          </w:tcPr>
          <w:p w14:paraId="5DF8E5B5">
            <w:pPr>
              <w:spacing w:beforeLines="0" w:afterLines="0"/>
              <w:jc w:val="left"/>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0.621</w:t>
            </w:r>
          </w:p>
        </w:tc>
        <w:tc>
          <w:tcPr>
            <w:tcW w:w="645" w:type="pct"/>
            <w:tcBorders>
              <w:tl2br w:val="nil"/>
              <w:tr2bl w:val="nil"/>
            </w:tcBorders>
            <w:shd w:val="clear" w:color="auto" w:fill="auto"/>
            <w:vAlign w:val="top"/>
          </w:tcPr>
          <w:p w14:paraId="0483E02E">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0.500</w:t>
            </w:r>
          </w:p>
        </w:tc>
        <w:tc>
          <w:tcPr>
            <w:tcW w:w="645" w:type="pct"/>
            <w:tcBorders>
              <w:tl2br w:val="nil"/>
              <w:tr2bl w:val="nil"/>
            </w:tcBorders>
            <w:shd w:val="clear" w:color="auto" w:fill="auto"/>
            <w:vAlign w:val="top"/>
          </w:tcPr>
          <w:p w14:paraId="334908AD">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0.639</w:t>
            </w:r>
          </w:p>
        </w:tc>
        <w:tc>
          <w:tcPr>
            <w:tcW w:w="1020" w:type="pct"/>
            <w:tcBorders>
              <w:tl2br w:val="nil"/>
              <w:tr2bl w:val="nil"/>
            </w:tcBorders>
            <w:shd w:val="clear" w:color="auto" w:fill="auto"/>
            <w:vAlign w:val="top"/>
          </w:tcPr>
          <w:p w14:paraId="170FDFBD">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0.6</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24</w:t>
            </w:r>
          </w:p>
        </w:tc>
        <w:tc>
          <w:tcPr>
            <w:tcW w:w="860" w:type="pct"/>
            <w:tcBorders>
              <w:tl2br w:val="nil"/>
              <w:tr2bl w:val="nil"/>
            </w:tcBorders>
            <w:shd w:val="clear" w:color="auto" w:fill="auto"/>
            <w:vAlign w:val="top"/>
          </w:tcPr>
          <w:p w14:paraId="0C9AB0B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0.660</w:t>
            </w:r>
          </w:p>
        </w:tc>
      </w:tr>
    </w:tbl>
    <w:p w14:paraId="17961AB3">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Note: Robust standard errors in parentheses, ***, **, and * indicate significance at the 0.01, 0.05, and 0.1 levels, respectively.</w:t>
      </w:r>
    </w:p>
    <w:p w14:paraId="11D1B1C1">
      <w:pPr>
        <w:keepNext w:val="0"/>
        <w:keepLines w:val="0"/>
        <w:pageBreakBefore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9166FCE">
      <w:pPr>
        <w:keepNext w:val="0"/>
        <w:keepLines w:val="0"/>
        <w:pageBreakBefore w:val="0"/>
        <w:kinsoku/>
        <w:wordWrap/>
        <w:overflowPunct/>
        <w:topLinePunct w:val="0"/>
        <w:autoSpaceDE/>
        <w:autoSpaceDN/>
        <w:bidi w:val="0"/>
        <w:adjustRightInd/>
        <w:snapToGrid/>
        <w:spacing w:line="400" w:lineRule="exact"/>
        <w:ind w:left="0"/>
        <w:jc w:val="both"/>
        <w:outlineLvl w:val="0"/>
        <w:rPr>
          <w:rFonts w:hint="default"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b/>
          <w:bCs/>
          <w:color w:val="0D0D0D" w:themeColor="text1" w:themeTint="F2"/>
          <w:sz w:val="22"/>
          <w:szCs w:val="22"/>
          <w:highlight w:val="none"/>
          <w14:textFill>
            <w14:solidFill>
              <w14:schemeClr w14:val="tx1">
                <w14:lumMod w14:val="95000"/>
                <w14:lumOff w14:val="5000"/>
              </w14:schemeClr>
            </w14:solidFill>
          </w14:textFill>
        </w:rPr>
        <w:t xml:space="preserve">Supplementary </w:t>
      </w: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Note 5</w:t>
      </w:r>
    </w:p>
    <w:p w14:paraId="27019ED5">
      <w:pPr>
        <w:keepNext w:val="0"/>
        <w:keepLines w:val="0"/>
        <w:pageBreakBefore w:val="0"/>
        <w:kinsoku/>
        <w:wordWrap/>
        <w:overflowPunct/>
        <w:topLinePunct w:val="0"/>
        <w:autoSpaceDE/>
        <w:autoSpaceDN/>
        <w:bidi w:val="0"/>
        <w:adjustRightInd/>
        <w:snapToGrid/>
        <w:spacing w:line="400" w:lineRule="exact"/>
        <w:ind w:left="0"/>
        <w:jc w:val="both"/>
        <w:outlineLvl w:val="1"/>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eastAsia" w:ascii="Times New Roman" w:hAnsi="Times New Roman" w:eastAsia="宋体" w:cs="Times New Roman"/>
          <w:b/>
          <w:bCs/>
          <w:color w:val="0D0D0D" w:themeColor="text1" w:themeTint="F2"/>
          <w:sz w:val="22"/>
          <w:szCs w:val="22"/>
          <w:highlight w:val="none"/>
          <w:lang w:val="en-US" w:eastAsia="zh-CN"/>
          <w14:textFill>
            <w14:solidFill>
              <w14:schemeClr w14:val="tx1">
                <w14:lumMod w14:val="95000"/>
                <w14:lumOff w14:val="5000"/>
              </w14:schemeClr>
            </w14:solidFill>
          </w14:textFill>
        </w:rPr>
        <w:t>5.1 Additional Analysis</w:t>
      </w:r>
    </w:p>
    <w:p w14:paraId="2FC75917">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Recent studies indicate that corporate ESG disclosures may be driven by greenwashing motives</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selective or false reporting to align with investor expectations and secure stakeholder support (Li</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u</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et al., 2024; Fang et al., 2025</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Sun et al., 2025</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If energy-intensive enterprises disclose ESG information solely to align with market expectations rather than substantially improve environmental performance following ESMR, their enhanced ESG performance may lack tangible environmental benefits, thereby diminishing the policy implications of this research.</w:t>
      </w:r>
    </w:p>
    <w:p w14:paraId="5FAC455F">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To verify whether reforms genuinely drive environmental improvements, we further examine the direct impact of ESMR on carbon emissions. Due to the absence of stringent mandatory disclosure requirements for corporate energy consumption and carbon emissions in China, the availability and quality of firm-level data vary substantially across firms and over time. On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the one</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hand, most firms did not separately report energy consumption or carbon emission figures in their early ESG reports. Only in recent years, as energy transition and climate concerns have intensified, have some firms begun to retroactively disclose such historical data, yet the data quality remains difficult to verify. On the other hand, there is considerable heterogeneity in the accounting scopes adopted by different firms. For example, only a small fraction of firms include Scope 3 emissions in their calculations. Likewise, some firms report only data from the parent company, whereas others consolidate data from the entire corporate group. These inconsistencies severely undermine the cross</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sectional comparability of energy consumption and carbon emission data across firms.</w:t>
      </w:r>
    </w:p>
    <w:p w14:paraId="2094ED62">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Given inconsistent and poorly comparable energy consumption and carbon emission data at the enterprise level, we shift our analysis to the city level. Using Chinese city panel data from 2012 to 2020, we constructed a multi-period DID model with the first batch of pilot cities for ESMR in 2017 as the treatment group and the second batch of pilot cities in 2021 as the control group. After controlling for a series of city-level characteristics and removing missing values, the final sample comprised 173 cities with 1,523 observations. Carbon emissions data were sourced from the China Research Data Service </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(CRDS)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Platform, while other variables were obtained from the China Urban Statistical Yearbook and the China Energy Statistical Yearbook. The measurement methods and descriptive statistics for all variables in this test are presented in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Supplementary Table 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10</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w:t>
      </w:r>
    </w:p>
    <w:p w14:paraId="34494896">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outlineLvl w:val="9"/>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Table S</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10</w:t>
      </w:r>
      <w:r>
        <w:rPr>
          <w:rFonts w:hint="default" w:ascii="Times New Roman" w:hAnsi="Times New Roman" w:cs="Times New Roman"/>
          <w:b/>
          <w:bCs/>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 City-Level Variable Definitions and Descriptive Statistics</w:t>
      </w:r>
    </w:p>
    <w:tbl>
      <w:tblPr>
        <w:tblStyle w:val="12"/>
        <w:tblW w:w="50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94"/>
        <w:gridCol w:w="3942"/>
        <w:gridCol w:w="866"/>
        <w:gridCol w:w="901"/>
        <w:gridCol w:w="766"/>
        <w:gridCol w:w="953"/>
      </w:tblGrid>
      <w:tr w14:paraId="08A6E5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bottom w:val="single" w:color="auto" w:sz="4" w:space="0"/>
            </w:tcBorders>
            <w:vAlign w:val="center"/>
          </w:tcPr>
          <w:p w14:paraId="520B521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Symbol</w:t>
            </w:r>
          </w:p>
        </w:tc>
        <w:tc>
          <w:tcPr>
            <w:tcW w:w="2312" w:type="pct"/>
            <w:tcBorders>
              <w:bottom w:val="single" w:color="auto" w:sz="4" w:space="0"/>
            </w:tcBorders>
            <w:vAlign w:val="center"/>
          </w:tcPr>
          <w:p w14:paraId="7FAD4AC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Measure</w:t>
            </w:r>
          </w:p>
        </w:tc>
        <w:tc>
          <w:tcPr>
            <w:tcW w:w="508" w:type="pct"/>
            <w:tcBorders>
              <w:bottom w:val="single" w:color="auto" w:sz="4" w:space="0"/>
            </w:tcBorders>
            <w:vAlign w:val="center"/>
          </w:tcPr>
          <w:p w14:paraId="2D302B6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Mean</w:t>
            </w:r>
          </w:p>
        </w:tc>
        <w:tc>
          <w:tcPr>
            <w:tcW w:w="529" w:type="pct"/>
            <w:tcBorders>
              <w:bottom w:val="single" w:color="auto" w:sz="4" w:space="0"/>
            </w:tcBorders>
            <w:vAlign w:val="center"/>
          </w:tcPr>
          <w:p w14:paraId="57E9056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Std. Dev.</w:t>
            </w:r>
          </w:p>
        </w:tc>
        <w:tc>
          <w:tcPr>
            <w:tcW w:w="449" w:type="pct"/>
            <w:tcBorders>
              <w:bottom w:val="single" w:color="auto" w:sz="4" w:space="0"/>
            </w:tcBorders>
            <w:vAlign w:val="center"/>
          </w:tcPr>
          <w:p w14:paraId="7C5D8A2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Min</w:t>
            </w:r>
          </w:p>
        </w:tc>
        <w:tc>
          <w:tcPr>
            <w:tcW w:w="558" w:type="pct"/>
            <w:tcBorders>
              <w:bottom w:val="single" w:color="auto" w:sz="4" w:space="0"/>
            </w:tcBorders>
            <w:vAlign w:val="center"/>
          </w:tcPr>
          <w:p w14:paraId="54C5E6D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Max</w:t>
            </w:r>
          </w:p>
        </w:tc>
      </w:tr>
      <w:tr w14:paraId="60D618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op w:val="single" w:color="auto" w:sz="4" w:space="0"/>
              <w:tl2br w:val="nil"/>
              <w:tr2bl w:val="nil"/>
            </w:tcBorders>
            <w:vAlign w:val="center"/>
          </w:tcPr>
          <w:p w14:paraId="40517FE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_ln</w:t>
            </w:r>
          </w:p>
        </w:tc>
        <w:tc>
          <w:tcPr>
            <w:tcW w:w="2312" w:type="pct"/>
            <w:tcBorders>
              <w:top w:val="single" w:color="auto" w:sz="4" w:space="0"/>
              <w:tl2br w:val="nil"/>
              <w:tr2bl w:val="nil"/>
            </w:tcBorders>
            <w:vAlign w:val="center"/>
          </w:tcPr>
          <w:p w14:paraId="4ADCE26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Total Carbon Emissions (Ln)</w:t>
            </w:r>
          </w:p>
        </w:tc>
        <w:tc>
          <w:tcPr>
            <w:tcW w:w="508" w:type="pct"/>
            <w:tcBorders>
              <w:top w:val="single" w:color="auto" w:sz="4" w:space="0"/>
              <w:tl2br w:val="nil"/>
              <w:tr2bl w:val="nil"/>
            </w:tcBorders>
            <w:vAlign w:val="center"/>
          </w:tcPr>
          <w:p w14:paraId="392AE79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8.099</w:t>
            </w:r>
          </w:p>
        </w:tc>
        <w:tc>
          <w:tcPr>
            <w:tcW w:w="529" w:type="pct"/>
            <w:tcBorders>
              <w:top w:val="single" w:color="auto" w:sz="4" w:space="0"/>
              <w:tl2br w:val="nil"/>
              <w:tr2bl w:val="nil"/>
            </w:tcBorders>
            <w:vAlign w:val="center"/>
          </w:tcPr>
          <w:p w14:paraId="18E5384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0</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.417</w:t>
            </w:r>
          </w:p>
        </w:tc>
        <w:tc>
          <w:tcPr>
            <w:tcW w:w="449" w:type="pct"/>
            <w:tcBorders>
              <w:top w:val="single" w:color="auto" w:sz="4" w:space="0"/>
              <w:tl2br w:val="nil"/>
              <w:tr2bl w:val="nil"/>
            </w:tcBorders>
            <w:vAlign w:val="center"/>
          </w:tcPr>
          <w:p w14:paraId="2E37B80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6.58</w:t>
            </w:r>
          </w:p>
        </w:tc>
        <w:tc>
          <w:tcPr>
            <w:tcW w:w="558" w:type="pct"/>
            <w:tcBorders>
              <w:top w:val="single" w:color="auto" w:sz="4" w:space="0"/>
              <w:tl2br w:val="nil"/>
              <w:tr2bl w:val="nil"/>
            </w:tcBorders>
            <w:vAlign w:val="center"/>
          </w:tcPr>
          <w:p w14:paraId="6508FEE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11.539</w:t>
            </w:r>
          </w:p>
        </w:tc>
      </w:tr>
      <w:tr w14:paraId="18F72A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4448381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w:t>
            </w:r>
          </w:p>
        </w:tc>
        <w:tc>
          <w:tcPr>
            <w:tcW w:w="2312" w:type="pct"/>
            <w:tcBorders>
              <w:tl2br w:val="nil"/>
              <w:tr2bl w:val="nil"/>
            </w:tcBorders>
            <w:vAlign w:val="center"/>
          </w:tcPr>
          <w:p w14:paraId="6469E3C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Total Carbon Emissions / Regional GDP</w:t>
            </w:r>
          </w:p>
        </w:tc>
        <w:tc>
          <w:tcPr>
            <w:tcW w:w="508" w:type="pct"/>
            <w:tcBorders>
              <w:tl2br w:val="nil"/>
              <w:tr2bl w:val="nil"/>
            </w:tcBorders>
            <w:vAlign w:val="center"/>
          </w:tcPr>
          <w:p w14:paraId="7CDA962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2.285</w:t>
            </w:r>
          </w:p>
        </w:tc>
        <w:tc>
          <w:tcPr>
            <w:tcW w:w="529" w:type="pct"/>
            <w:tcBorders>
              <w:tl2br w:val="nil"/>
              <w:tr2bl w:val="nil"/>
            </w:tcBorders>
            <w:vAlign w:val="center"/>
          </w:tcPr>
          <w:p w14:paraId="0CDC5AF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1.992</w:t>
            </w:r>
          </w:p>
        </w:tc>
        <w:tc>
          <w:tcPr>
            <w:tcW w:w="449" w:type="pct"/>
            <w:tcBorders>
              <w:tl2br w:val="nil"/>
              <w:tr2bl w:val="nil"/>
            </w:tcBorders>
            <w:vAlign w:val="center"/>
          </w:tcPr>
          <w:p w14:paraId="5AB617D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0.142</w:t>
            </w:r>
          </w:p>
        </w:tc>
        <w:tc>
          <w:tcPr>
            <w:tcW w:w="558" w:type="pct"/>
            <w:tcBorders>
              <w:tl2br w:val="nil"/>
              <w:tr2bl w:val="nil"/>
            </w:tcBorders>
            <w:vAlign w:val="center"/>
          </w:tcPr>
          <w:p w14:paraId="5512E59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15.731</w:t>
            </w:r>
          </w:p>
        </w:tc>
      </w:tr>
      <w:tr w14:paraId="353CE2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72B075D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_gdp1</w:t>
            </w:r>
          </w:p>
        </w:tc>
        <w:tc>
          <w:tcPr>
            <w:tcW w:w="2312" w:type="pct"/>
            <w:tcBorders>
              <w:tl2br w:val="nil"/>
              <w:tr2bl w:val="nil"/>
            </w:tcBorders>
            <w:vAlign w:val="center"/>
          </w:tcPr>
          <w:p w14:paraId="6410E94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Scope 1 Carbon Emissions / Regional GDP</w:t>
            </w:r>
          </w:p>
        </w:tc>
        <w:tc>
          <w:tcPr>
            <w:tcW w:w="508" w:type="pct"/>
            <w:tcBorders>
              <w:tl2br w:val="nil"/>
              <w:tr2bl w:val="nil"/>
            </w:tcBorders>
            <w:vAlign w:val="center"/>
          </w:tcPr>
          <w:p w14:paraId="69B8461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1.487</w:t>
            </w:r>
          </w:p>
        </w:tc>
        <w:tc>
          <w:tcPr>
            <w:tcW w:w="529" w:type="pct"/>
            <w:tcBorders>
              <w:tl2br w:val="nil"/>
              <w:tr2bl w:val="nil"/>
            </w:tcBorders>
            <w:vAlign w:val="center"/>
          </w:tcPr>
          <w:p w14:paraId="0AB8E15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1.294</w:t>
            </w:r>
          </w:p>
        </w:tc>
        <w:tc>
          <w:tcPr>
            <w:tcW w:w="449" w:type="pct"/>
            <w:tcBorders>
              <w:tl2br w:val="nil"/>
              <w:tr2bl w:val="nil"/>
            </w:tcBorders>
            <w:vAlign w:val="center"/>
          </w:tcPr>
          <w:p w14:paraId="4107C16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0.086</w:t>
            </w:r>
          </w:p>
        </w:tc>
        <w:tc>
          <w:tcPr>
            <w:tcW w:w="558" w:type="pct"/>
            <w:tcBorders>
              <w:tl2br w:val="nil"/>
              <w:tr2bl w:val="nil"/>
            </w:tcBorders>
            <w:vAlign w:val="center"/>
          </w:tcPr>
          <w:p w14:paraId="2B39C6F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10.024</w:t>
            </w:r>
          </w:p>
        </w:tc>
      </w:tr>
      <w:tr w14:paraId="76672D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4341B6F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_gdp2</w:t>
            </w:r>
          </w:p>
        </w:tc>
        <w:tc>
          <w:tcPr>
            <w:tcW w:w="2312" w:type="pct"/>
            <w:tcBorders>
              <w:tl2br w:val="nil"/>
              <w:tr2bl w:val="nil"/>
            </w:tcBorders>
            <w:vAlign w:val="center"/>
          </w:tcPr>
          <w:p w14:paraId="0A98CA2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Scope 2 Carbon Emissions / Regional GDP</w:t>
            </w:r>
          </w:p>
        </w:tc>
        <w:tc>
          <w:tcPr>
            <w:tcW w:w="508" w:type="pct"/>
            <w:tcBorders>
              <w:tl2br w:val="nil"/>
              <w:tr2bl w:val="nil"/>
            </w:tcBorders>
            <w:vAlign w:val="center"/>
          </w:tcPr>
          <w:p w14:paraId="58FE3B0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0.34</w:t>
            </w:r>
          </w:p>
        </w:tc>
        <w:tc>
          <w:tcPr>
            <w:tcW w:w="529" w:type="pct"/>
            <w:tcBorders>
              <w:tl2br w:val="nil"/>
              <w:tr2bl w:val="nil"/>
            </w:tcBorders>
            <w:vAlign w:val="center"/>
          </w:tcPr>
          <w:p w14:paraId="3FD2023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0.312</w:t>
            </w:r>
          </w:p>
        </w:tc>
        <w:tc>
          <w:tcPr>
            <w:tcW w:w="449" w:type="pct"/>
            <w:tcBorders>
              <w:tl2br w:val="nil"/>
              <w:tr2bl w:val="nil"/>
            </w:tcBorders>
            <w:vAlign w:val="center"/>
          </w:tcPr>
          <w:p w14:paraId="15E6A84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0.022</w:t>
            </w:r>
          </w:p>
        </w:tc>
        <w:tc>
          <w:tcPr>
            <w:tcW w:w="558" w:type="pct"/>
            <w:tcBorders>
              <w:tl2br w:val="nil"/>
              <w:tr2bl w:val="nil"/>
            </w:tcBorders>
            <w:vAlign w:val="center"/>
          </w:tcPr>
          <w:p w14:paraId="4F35D28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2.714</w:t>
            </w:r>
          </w:p>
        </w:tc>
      </w:tr>
      <w:tr w14:paraId="2BBD7D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006248A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_gdp3</w:t>
            </w:r>
          </w:p>
        </w:tc>
        <w:tc>
          <w:tcPr>
            <w:tcW w:w="2312" w:type="pct"/>
            <w:tcBorders>
              <w:tl2br w:val="nil"/>
              <w:tr2bl w:val="nil"/>
            </w:tcBorders>
            <w:vAlign w:val="center"/>
          </w:tcPr>
          <w:p w14:paraId="1E903F7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Scope 3 Carbon Emissions / Regional GDP</w:t>
            </w:r>
          </w:p>
        </w:tc>
        <w:tc>
          <w:tcPr>
            <w:tcW w:w="508" w:type="pct"/>
            <w:tcBorders>
              <w:tl2br w:val="nil"/>
              <w:tr2bl w:val="nil"/>
            </w:tcBorders>
            <w:vAlign w:val="center"/>
          </w:tcPr>
          <w:p w14:paraId="362BEBF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0.457</w:t>
            </w:r>
          </w:p>
        </w:tc>
        <w:tc>
          <w:tcPr>
            <w:tcW w:w="529" w:type="pct"/>
            <w:tcBorders>
              <w:tl2br w:val="nil"/>
              <w:tr2bl w:val="nil"/>
            </w:tcBorders>
            <w:vAlign w:val="center"/>
          </w:tcPr>
          <w:p w14:paraId="4482663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0.419</w:t>
            </w:r>
          </w:p>
        </w:tc>
        <w:tc>
          <w:tcPr>
            <w:tcW w:w="449" w:type="pct"/>
            <w:tcBorders>
              <w:tl2br w:val="nil"/>
              <w:tr2bl w:val="nil"/>
            </w:tcBorders>
            <w:vAlign w:val="center"/>
          </w:tcPr>
          <w:p w14:paraId="497848C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0.025</w:t>
            </w:r>
          </w:p>
        </w:tc>
        <w:tc>
          <w:tcPr>
            <w:tcW w:w="558" w:type="pct"/>
            <w:tcBorders>
              <w:tl2br w:val="nil"/>
              <w:tr2bl w:val="nil"/>
            </w:tcBorders>
            <w:vAlign w:val="center"/>
          </w:tcPr>
          <w:p w14:paraId="685FFE7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3.29</w:t>
            </w:r>
          </w:p>
        </w:tc>
      </w:tr>
      <w:tr w14:paraId="69CF32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348BBBC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EST</w:t>
            </w:r>
          </w:p>
        </w:tc>
        <w:tc>
          <w:tcPr>
            <w:tcW w:w="2312" w:type="pct"/>
            <w:tcBorders>
              <w:tl2br w:val="nil"/>
              <w:tr2bl w:val="nil"/>
            </w:tcBorders>
            <w:vAlign w:val="center"/>
          </w:tcPr>
          <w:p w14:paraId="16202ED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DID Method</w:t>
            </w:r>
          </w:p>
        </w:tc>
        <w:tc>
          <w:tcPr>
            <w:tcW w:w="508" w:type="pct"/>
            <w:tcBorders>
              <w:tl2br w:val="nil"/>
              <w:tr2bl w:val="nil"/>
            </w:tcBorders>
            <w:vAlign w:val="center"/>
          </w:tcPr>
          <w:p w14:paraId="4AF727F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0.24</w:t>
            </w:r>
          </w:p>
        </w:tc>
        <w:tc>
          <w:tcPr>
            <w:tcW w:w="529" w:type="pct"/>
            <w:tcBorders>
              <w:tl2br w:val="nil"/>
              <w:tr2bl w:val="nil"/>
            </w:tcBorders>
            <w:vAlign w:val="center"/>
          </w:tcPr>
          <w:p w14:paraId="6CA6064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0.427</w:t>
            </w:r>
          </w:p>
        </w:tc>
        <w:tc>
          <w:tcPr>
            <w:tcW w:w="449" w:type="pct"/>
            <w:tcBorders>
              <w:tl2br w:val="nil"/>
              <w:tr2bl w:val="nil"/>
            </w:tcBorders>
            <w:vAlign w:val="center"/>
          </w:tcPr>
          <w:p w14:paraId="58264D8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p>
        </w:tc>
        <w:tc>
          <w:tcPr>
            <w:tcW w:w="558" w:type="pct"/>
            <w:tcBorders>
              <w:tl2br w:val="nil"/>
              <w:tr2bl w:val="nil"/>
            </w:tcBorders>
            <w:vAlign w:val="center"/>
          </w:tcPr>
          <w:p w14:paraId="2A25966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w:t>
            </w:r>
          </w:p>
        </w:tc>
      </w:tr>
      <w:tr w14:paraId="70374D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7396A7E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GDP</w:t>
            </w:r>
          </w:p>
        </w:tc>
        <w:tc>
          <w:tcPr>
            <w:tcW w:w="2312" w:type="pct"/>
            <w:tcBorders>
              <w:tl2br w:val="nil"/>
              <w:tr2bl w:val="nil"/>
            </w:tcBorders>
            <w:vAlign w:val="center"/>
          </w:tcPr>
          <w:p w14:paraId="450E017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Regional GDP (Ln)</w:t>
            </w:r>
          </w:p>
        </w:tc>
        <w:tc>
          <w:tcPr>
            <w:tcW w:w="508" w:type="pct"/>
            <w:tcBorders>
              <w:tl2br w:val="nil"/>
              <w:tr2bl w:val="nil"/>
            </w:tcBorders>
            <w:vAlign w:val="center"/>
          </w:tcPr>
          <w:p w14:paraId="5C9F7D5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16.807</w:t>
            </w:r>
          </w:p>
        </w:tc>
        <w:tc>
          <w:tcPr>
            <w:tcW w:w="529" w:type="pct"/>
            <w:tcBorders>
              <w:tl2br w:val="nil"/>
              <w:tr2bl w:val="nil"/>
            </w:tcBorders>
            <w:vAlign w:val="center"/>
          </w:tcPr>
          <w:p w14:paraId="5CA1F7C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0.883</w:t>
            </w:r>
          </w:p>
        </w:tc>
        <w:tc>
          <w:tcPr>
            <w:tcW w:w="449" w:type="pct"/>
            <w:tcBorders>
              <w:tl2br w:val="nil"/>
              <w:tr2bl w:val="nil"/>
            </w:tcBorders>
            <w:vAlign w:val="center"/>
          </w:tcPr>
          <w:p w14:paraId="65BAFC9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14.619</w:t>
            </w:r>
          </w:p>
        </w:tc>
        <w:tc>
          <w:tcPr>
            <w:tcW w:w="558" w:type="pct"/>
            <w:tcBorders>
              <w:tl2br w:val="nil"/>
              <w:tr2bl w:val="nil"/>
            </w:tcBorders>
            <w:vAlign w:val="center"/>
          </w:tcPr>
          <w:p w14:paraId="20459EC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19.774</w:t>
            </w:r>
          </w:p>
        </w:tc>
      </w:tr>
      <w:tr w14:paraId="28C02A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77AF49CF">
            <w:pPr>
              <w:keepNext w:val="0"/>
              <w:keepLines w:val="0"/>
              <w:pageBreakBefore w:val="0"/>
              <w:widowControl/>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kern w:val="0"/>
                <w:sz w:val="20"/>
                <w:szCs w:val="20"/>
                <w:highlight w:val="none"/>
                <w:shd w:val="clear" w:color="auto" w:fill="FFFFFF"/>
                <w:lang w:bidi="ar"/>
                <w14:textFill>
                  <w14:solidFill>
                    <w14:schemeClr w14:val="tx1">
                      <w14:lumMod w14:val="95000"/>
                      <w14:lumOff w14:val="5000"/>
                    </w14:schemeClr>
                  </w14:solidFill>
                </w14:textFill>
                <w14:ligatures w14:val="standardContextual"/>
              </w:rPr>
              <w:t>Structure</w:t>
            </w:r>
          </w:p>
        </w:tc>
        <w:tc>
          <w:tcPr>
            <w:tcW w:w="2312" w:type="pct"/>
            <w:tcBorders>
              <w:tl2br w:val="nil"/>
              <w:tr2bl w:val="nil"/>
            </w:tcBorders>
            <w:vAlign w:val="center"/>
          </w:tcPr>
          <w:p w14:paraId="54B14FB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Share of Secondary Industry Output</w:t>
            </w:r>
          </w:p>
        </w:tc>
        <w:tc>
          <w:tcPr>
            <w:tcW w:w="508" w:type="pct"/>
            <w:tcBorders>
              <w:tl2br w:val="nil"/>
              <w:tr2bl w:val="nil"/>
            </w:tcBorders>
            <w:vAlign w:val="center"/>
          </w:tcPr>
          <w:p w14:paraId="5C747B0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0.47</w:t>
            </w:r>
          </w:p>
        </w:tc>
        <w:tc>
          <w:tcPr>
            <w:tcW w:w="529" w:type="pct"/>
            <w:tcBorders>
              <w:tl2br w:val="nil"/>
              <w:tr2bl w:val="nil"/>
            </w:tcBorders>
            <w:vAlign w:val="center"/>
          </w:tcPr>
          <w:p w14:paraId="375D30A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0.09</w:t>
            </w:r>
          </w:p>
        </w:tc>
        <w:tc>
          <w:tcPr>
            <w:tcW w:w="449" w:type="pct"/>
            <w:tcBorders>
              <w:tl2br w:val="nil"/>
              <w:tr2bl w:val="nil"/>
            </w:tcBorders>
            <w:vAlign w:val="center"/>
          </w:tcPr>
          <w:p w14:paraId="71C49D5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0.156</w:t>
            </w:r>
          </w:p>
        </w:tc>
        <w:tc>
          <w:tcPr>
            <w:tcW w:w="558" w:type="pct"/>
            <w:tcBorders>
              <w:tl2br w:val="nil"/>
              <w:tr2bl w:val="nil"/>
            </w:tcBorders>
            <w:vAlign w:val="center"/>
          </w:tcPr>
          <w:p w14:paraId="0E83C0A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0.759</w:t>
            </w:r>
          </w:p>
        </w:tc>
      </w:tr>
      <w:tr w14:paraId="05C92F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2757239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Industrial</w:t>
            </w:r>
          </w:p>
        </w:tc>
        <w:tc>
          <w:tcPr>
            <w:tcW w:w="2312" w:type="pct"/>
            <w:tcBorders>
              <w:tl2br w:val="nil"/>
              <w:tr2bl w:val="nil"/>
            </w:tcBorders>
            <w:vAlign w:val="center"/>
          </w:tcPr>
          <w:p w14:paraId="79C94AC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Number of Industrial Enterprises Above Designated Size (Ln)</w:t>
            </w:r>
          </w:p>
        </w:tc>
        <w:tc>
          <w:tcPr>
            <w:tcW w:w="508" w:type="pct"/>
            <w:tcBorders>
              <w:tl2br w:val="nil"/>
              <w:tr2bl w:val="nil"/>
            </w:tcBorders>
            <w:vAlign w:val="center"/>
          </w:tcPr>
          <w:p w14:paraId="0B82E3A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6.938</w:t>
            </w:r>
          </w:p>
        </w:tc>
        <w:tc>
          <w:tcPr>
            <w:tcW w:w="529" w:type="pct"/>
            <w:tcBorders>
              <w:tl2br w:val="nil"/>
              <w:tr2bl w:val="nil"/>
            </w:tcBorders>
            <w:vAlign w:val="center"/>
          </w:tcPr>
          <w:p w14:paraId="4D3E3C1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0.989</w:t>
            </w:r>
          </w:p>
        </w:tc>
        <w:tc>
          <w:tcPr>
            <w:tcW w:w="449" w:type="pct"/>
            <w:tcBorders>
              <w:tl2br w:val="nil"/>
              <w:tr2bl w:val="nil"/>
            </w:tcBorders>
            <w:vAlign w:val="center"/>
          </w:tcPr>
          <w:p w14:paraId="3AD6BBD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4.394</w:t>
            </w:r>
          </w:p>
        </w:tc>
        <w:tc>
          <w:tcPr>
            <w:tcW w:w="558" w:type="pct"/>
            <w:tcBorders>
              <w:tl2br w:val="nil"/>
              <w:tr2bl w:val="nil"/>
            </w:tcBorders>
            <w:vAlign w:val="center"/>
          </w:tcPr>
          <w:p w14:paraId="27F08E7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9.384</w:t>
            </w:r>
          </w:p>
        </w:tc>
      </w:tr>
      <w:tr w14:paraId="18ADFE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1282D72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Foreign</w:t>
            </w:r>
          </w:p>
        </w:tc>
        <w:tc>
          <w:tcPr>
            <w:tcW w:w="2312" w:type="pct"/>
            <w:tcBorders>
              <w:tl2br w:val="nil"/>
              <w:tr2bl w:val="nil"/>
            </w:tcBorders>
            <w:vAlign w:val="center"/>
          </w:tcPr>
          <w:p w14:paraId="264FE55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Share of Foreign-Invested Industrial Enterprises Above Designated Size</w:t>
            </w:r>
          </w:p>
        </w:tc>
        <w:tc>
          <w:tcPr>
            <w:tcW w:w="508" w:type="pct"/>
            <w:tcBorders>
              <w:tl2br w:val="nil"/>
              <w:tr2bl w:val="nil"/>
            </w:tcBorders>
            <w:vAlign w:val="center"/>
          </w:tcPr>
          <w:p w14:paraId="24CDEE0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4.668</w:t>
            </w:r>
          </w:p>
        </w:tc>
        <w:tc>
          <w:tcPr>
            <w:tcW w:w="529" w:type="pct"/>
            <w:tcBorders>
              <w:tl2br w:val="nil"/>
              <w:tr2bl w:val="nil"/>
            </w:tcBorders>
            <w:vAlign w:val="center"/>
          </w:tcPr>
          <w:p w14:paraId="42204AAA">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5.412</w:t>
            </w:r>
          </w:p>
        </w:tc>
        <w:tc>
          <w:tcPr>
            <w:tcW w:w="449" w:type="pct"/>
            <w:tcBorders>
              <w:tl2br w:val="nil"/>
              <w:tr2bl w:val="nil"/>
            </w:tcBorders>
            <w:vAlign w:val="center"/>
          </w:tcPr>
          <w:p w14:paraId="6DF5C79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0.242</w:t>
            </w:r>
          </w:p>
        </w:tc>
        <w:tc>
          <w:tcPr>
            <w:tcW w:w="558" w:type="pct"/>
            <w:tcBorders>
              <w:tl2br w:val="nil"/>
              <w:tr2bl w:val="nil"/>
            </w:tcBorders>
            <w:vAlign w:val="center"/>
          </w:tcPr>
          <w:p w14:paraId="6645340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32.307</w:t>
            </w:r>
          </w:p>
        </w:tc>
      </w:tr>
      <w:tr w14:paraId="6DF5CD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0481289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Freight</w:t>
            </w:r>
          </w:p>
        </w:tc>
        <w:tc>
          <w:tcPr>
            <w:tcW w:w="2312" w:type="pct"/>
            <w:tcBorders>
              <w:tl2br w:val="nil"/>
              <w:tr2bl w:val="nil"/>
            </w:tcBorders>
            <w:vAlign w:val="center"/>
          </w:tcPr>
          <w:p w14:paraId="0DF3602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Road Freight Volume</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Regional GDP</w:t>
            </w:r>
          </w:p>
        </w:tc>
        <w:tc>
          <w:tcPr>
            <w:tcW w:w="508" w:type="pct"/>
            <w:tcBorders>
              <w:tl2br w:val="nil"/>
              <w:tr2bl w:val="nil"/>
            </w:tcBorders>
            <w:vAlign w:val="center"/>
          </w:tcPr>
          <w:p w14:paraId="2859267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0.076</w:t>
            </w:r>
          </w:p>
        </w:tc>
        <w:tc>
          <w:tcPr>
            <w:tcW w:w="529" w:type="pct"/>
            <w:tcBorders>
              <w:tl2br w:val="nil"/>
              <w:tr2bl w:val="nil"/>
            </w:tcBorders>
            <w:vAlign w:val="center"/>
          </w:tcPr>
          <w:p w14:paraId="00751D09">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0.429</w:t>
            </w:r>
          </w:p>
        </w:tc>
        <w:tc>
          <w:tcPr>
            <w:tcW w:w="449" w:type="pct"/>
            <w:tcBorders>
              <w:tl2br w:val="nil"/>
              <w:tr2bl w:val="nil"/>
            </w:tcBorders>
            <w:vAlign w:val="center"/>
          </w:tcPr>
          <w:p w14:paraId="0F9D095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0.006</w:t>
            </w:r>
          </w:p>
        </w:tc>
        <w:tc>
          <w:tcPr>
            <w:tcW w:w="558" w:type="pct"/>
            <w:tcBorders>
              <w:tl2br w:val="nil"/>
              <w:tr2bl w:val="nil"/>
            </w:tcBorders>
            <w:vAlign w:val="center"/>
          </w:tcPr>
          <w:p w14:paraId="79B4745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16.226</w:t>
            </w:r>
          </w:p>
        </w:tc>
      </w:tr>
      <w:tr w14:paraId="5E8F4C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2F51D17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Passenger</w:t>
            </w:r>
          </w:p>
        </w:tc>
        <w:tc>
          <w:tcPr>
            <w:tcW w:w="2312" w:type="pct"/>
            <w:tcBorders>
              <w:tl2br w:val="nil"/>
              <w:tr2bl w:val="nil"/>
            </w:tcBorders>
            <w:vAlign w:val="center"/>
          </w:tcPr>
          <w:p w14:paraId="6DD72F3B">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Road Passenger Volume</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Regional GDP</w:t>
            </w:r>
          </w:p>
        </w:tc>
        <w:tc>
          <w:tcPr>
            <w:tcW w:w="508" w:type="pct"/>
            <w:tcBorders>
              <w:tl2br w:val="nil"/>
              <w:tr2bl w:val="nil"/>
            </w:tcBorders>
            <w:vAlign w:val="center"/>
          </w:tcPr>
          <w:p w14:paraId="47EE7ED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0.042</w:t>
            </w:r>
          </w:p>
        </w:tc>
        <w:tc>
          <w:tcPr>
            <w:tcW w:w="529" w:type="pct"/>
            <w:tcBorders>
              <w:tl2br w:val="nil"/>
              <w:tr2bl w:val="nil"/>
            </w:tcBorders>
            <w:vAlign w:val="center"/>
          </w:tcPr>
          <w:p w14:paraId="0691D5F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0.224</w:t>
            </w:r>
          </w:p>
        </w:tc>
        <w:tc>
          <w:tcPr>
            <w:tcW w:w="449" w:type="pct"/>
            <w:tcBorders>
              <w:tl2br w:val="nil"/>
              <w:tr2bl w:val="nil"/>
            </w:tcBorders>
            <w:vAlign w:val="center"/>
          </w:tcPr>
          <w:p w14:paraId="0A572BC0">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p>
        </w:tc>
        <w:tc>
          <w:tcPr>
            <w:tcW w:w="558" w:type="pct"/>
            <w:tcBorders>
              <w:tl2br w:val="nil"/>
              <w:tr2bl w:val="nil"/>
            </w:tcBorders>
            <w:vAlign w:val="center"/>
          </w:tcPr>
          <w:p w14:paraId="2DD51E45">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8.39</w:t>
            </w:r>
          </w:p>
        </w:tc>
      </w:tr>
      <w:tr w14:paraId="2A7149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26A0763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Fiscal</w:t>
            </w:r>
          </w:p>
        </w:tc>
        <w:tc>
          <w:tcPr>
            <w:tcW w:w="2312" w:type="pct"/>
            <w:tcBorders>
              <w:tl2br w:val="nil"/>
              <w:tr2bl w:val="nil"/>
            </w:tcBorders>
            <w:vAlign w:val="center"/>
          </w:tcPr>
          <w:p w14:paraId="0BBDFE0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General Budget Fiscal Expenditure/Regional GDP</w:t>
            </w:r>
          </w:p>
        </w:tc>
        <w:tc>
          <w:tcPr>
            <w:tcW w:w="508" w:type="pct"/>
            <w:tcBorders>
              <w:tl2br w:val="nil"/>
              <w:tr2bl w:val="nil"/>
            </w:tcBorders>
            <w:vAlign w:val="center"/>
          </w:tcPr>
          <w:p w14:paraId="67F76D1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18.088</w:t>
            </w:r>
          </w:p>
        </w:tc>
        <w:tc>
          <w:tcPr>
            <w:tcW w:w="529" w:type="pct"/>
            <w:tcBorders>
              <w:tl2br w:val="nil"/>
              <w:tr2bl w:val="nil"/>
            </w:tcBorders>
            <w:vAlign w:val="center"/>
          </w:tcPr>
          <w:p w14:paraId="1A93604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8.499</w:t>
            </w:r>
          </w:p>
        </w:tc>
        <w:tc>
          <w:tcPr>
            <w:tcW w:w="449" w:type="pct"/>
            <w:tcBorders>
              <w:tl2br w:val="nil"/>
              <w:tr2bl w:val="nil"/>
            </w:tcBorders>
            <w:vAlign w:val="center"/>
          </w:tcPr>
          <w:p w14:paraId="74C0EBF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6.562</w:t>
            </w:r>
          </w:p>
        </w:tc>
        <w:tc>
          <w:tcPr>
            <w:tcW w:w="558" w:type="pct"/>
            <w:tcBorders>
              <w:tl2br w:val="nil"/>
              <w:tr2bl w:val="nil"/>
            </w:tcBorders>
            <w:vAlign w:val="center"/>
          </w:tcPr>
          <w:p w14:paraId="2608B7E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70.437</w:t>
            </w:r>
          </w:p>
        </w:tc>
      </w:tr>
      <w:tr w14:paraId="2E64AC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5783061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Capital</w:t>
            </w:r>
          </w:p>
        </w:tc>
        <w:tc>
          <w:tcPr>
            <w:tcW w:w="2312" w:type="pct"/>
            <w:tcBorders>
              <w:tl2br w:val="nil"/>
              <w:tr2bl w:val="nil"/>
            </w:tcBorders>
            <w:vAlign w:val="center"/>
          </w:tcPr>
          <w:p w14:paraId="52535CDE">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Year-End Deposit and Loan Balances</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Regional GDP</w:t>
            </w:r>
          </w:p>
        </w:tc>
        <w:tc>
          <w:tcPr>
            <w:tcW w:w="508" w:type="pct"/>
            <w:tcBorders>
              <w:tl2br w:val="nil"/>
              <w:tr2bl w:val="nil"/>
            </w:tcBorders>
            <w:vAlign w:val="center"/>
          </w:tcPr>
          <w:p w14:paraId="3EFD7BA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247.701</w:t>
            </w:r>
          </w:p>
        </w:tc>
        <w:tc>
          <w:tcPr>
            <w:tcW w:w="529" w:type="pct"/>
            <w:tcBorders>
              <w:tl2br w:val="nil"/>
              <w:tr2bl w:val="nil"/>
            </w:tcBorders>
            <w:vAlign w:val="center"/>
          </w:tcPr>
          <w:p w14:paraId="2FCC9AF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108.468</w:t>
            </w:r>
          </w:p>
        </w:tc>
        <w:tc>
          <w:tcPr>
            <w:tcW w:w="449" w:type="pct"/>
            <w:tcBorders>
              <w:tl2br w:val="nil"/>
              <w:tr2bl w:val="nil"/>
            </w:tcBorders>
            <w:vAlign w:val="center"/>
          </w:tcPr>
          <w:p w14:paraId="5F55D76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96.464</w:t>
            </w:r>
          </w:p>
        </w:tc>
        <w:tc>
          <w:tcPr>
            <w:tcW w:w="558" w:type="pct"/>
            <w:tcBorders>
              <w:tl2br w:val="nil"/>
              <w:tr2bl w:val="nil"/>
            </w:tcBorders>
            <w:vAlign w:val="center"/>
          </w:tcPr>
          <w:p w14:paraId="659F694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1117.279</w:t>
            </w:r>
          </w:p>
        </w:tc>
      </w:tr>
      <w:tr w14:paraId="554DA3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1" w:type="pct"/>
            <w:tcBorders>
              <w:tl2br w:val="nil"/>
              <w:tr2bl w:val="nil"/>
            </w:tcBorders>
            <w:vAlign w:val="center"/>
          </w:tcPr>
          <w:p w14:paraId="01D10758">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Regulation</w:t>
            </w:r>
          </w:p>
        </w:tc>
        <w:tc>
          <w:tcPr>
            <w:tcW w:w="2312" w:type="pct"/>
            <w:tcBorders>
              <w:tl2br w:val="nil"/>
              <w:tr2bl w:val="nil"/>
            </w:tcBorders>
            <w:vAlign w:val="center"/>
          </w:tcPr>
          <w:p w14:paraId="63020DE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Frequency of Energy Consumption-Related Terms in Government Work Reports</w:t>
            </w:r>
          </w:p>
        </w:tc>
        <w:tc>
          <w:tcPr>
            <w:tcW w:w="508" w:type="pct"/>
            <w:tcBorders>
              <w:tl2br w:val="nil"/>
              <w:tr2bl w:val="nil"/>
            </w:tcBorders>
            <w:vAlign w:val="center"/>
          </w:tcPr>
          <w:p w14:paraId="331F236F">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p>
        </w:tc>
        <w:tc>
          <w:tcPr>
            <w:tcW w:w="529" w:type="pct"/>
            <w:tcBorders>
              <w:tl2br w:val="nil"/>
              <w:tr2bl w:val="nil"/>
            </w:tcBorders>
            <w:vAlign w:val="center"/>
          </w:tcPr>
          <w:p w14:paraId="0BC5FD5C">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p>
        </w:tc>
        <w:tc>
          <w:tcPr>
            <w:tcW w:w="449" w:type="pct"/>
            <w:tcBorders>
              <w:tl2br w:val="nil"/>
              <w:tr2bl w:val="nil"/>
            </w:tcBorders>
            <w:vAlign w:val="center"/>
          </w:tcPr>
          <w:p w14:paraId="4E2BC293">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p>
        </w:tc>
        <w:tc>
          <w:tcPr>
            <w:tcW w:w="558" w:type="pct"/>
            <w:tcBorders>
              <w:tl2br w:val="nil"/>
              <w:tr2bl w:val="nil"/>
            </w:tcBorders>
            <w:vAlign w:val="center"/>
          </w:tcPr>
          <w:p w14:paraId="6F21933D">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w:t>
            </w:r>
          </w:p>
        </w:tc>
      </w:tr>
    </w:tbl>
    <w:p w14:paraId="5B88ACB4">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jc w:val="both"/>
        <w:textAlignment w:val="auto"/>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Note: Scope 1 refers to all direct emissions within the city's jurisdiction, primarily including greenhouse gas emissions from transportation and buildings, industrial production processes, agriculture, forestry, and land-use changes, as well as waste management activities. Scope 2 refers to energy-related indirect emissions occurring outside the city's jurisdiction, primarily including emissions from purchased electricity, heating, and/or cooling procured to meet urban consumption. Scope 3 refers to other indirect emissions caused by internal city activities that occur outside the jurisdiction but are not included in Scope 2. This includes greenhouse gas emissions from the production, transportation, use, and waste disposal of all goods purchased by the city from outside its jurisdiction.</w:t>
      </w:r>
    </w:p>
    <w:p w14:paraId="6D9AA4E7">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jc w:val="both"/>
        <w:textAlignment w:val="auto"/>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p>
    <w:p w14:paraId="030076C2">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Column</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s</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1</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and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2</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of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Table S11</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results indicate that while ESMR did not significantly reduce total carbon emissions, it significantly lowered carbon intensity</w:t>
      </w:r>
      <w:r>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that is, carbon emissions per unit of GDP. This finding suggests that EST may decouple economic growth from carbon emissions by promoting clean energy adoption and enhancing energy efficiency.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As shown in columns (3) - (5), f</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urther analysis indicates that electricity spot market reforms significantly reduced carbon intensity from both direct emissions within urban jurisdictions and indirect emissions from the lifecycle of goods purchased outside the city (excluding externally procured electricity, heating, and cooling). This indicates that EST not only impacts local production emissions but also facilitates broader low-carbon transformation through supply chain transmission effects. This finding resonates with our corporate research and contrasts with concerns raised in greenwashing literature regarding pure disclosure strategies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Li &amp; Zhu, 2024</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EST can generate substantial emission reduction benefits through price signals, particularly by significantly lowering carbon intensity.</w:t>
      </w:r>
    </w:p>
    <w:p w14:paraId="021C0DA2">
      <w:pPr>
        <w:pStyle w:val="11"/>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440" w:firstLineChars="200"/>
        <w:jc w:val="both"/>
        <w:textAlignment w:val="auto"/>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As a complementary test, we also examined the effect of EST on corporate carbon emissions using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firm-level</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data. Specifically, we manually collected carbon emission data from corporate annual reports and ESG reports. For firms that did not disclose carbon emissions directly, we retrieved their disclosed energy consumption data and used it to estimate carbon emissions. We then constructed two measures</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 including</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the natural logarithm of total carbon emissions, and carbon emission intensity defined as total emissions divided by operating revenue. </w:t>
      </w:r>
      <w:r>
        <w:rPr>
          <w:rFonts w:hint="eastAsia"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t>As shown in columns (6) - (7), c</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onsistent with our </w:t>
      </w:r>
      <w:r>
        <w:rPr>
          <w:rFonts w:hint="eastAsia"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city-level</w:t>
      </w:r>
      <w:r>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t xml:space="preserve"> findings, EST does not significantly reduce total carbon emissions at the firm level, but it does lead to a statistically significant reduction in carbon emission intensity. This supplementary analysis reinforces the conclusion that EST helps decouple economic activity from emissions without imposing a binding constraint on firm output, and it directly responds to concerns about greenwashing by showing genuine emission efficiency gains.</w:t>
      </w:r>
    </w:p>
    <w:p w14:paraId="32F0A0F9">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eastAsia" w:ascii="Times New Roman" w:hAnsi="Times New Roman" w:cs="Times New Roman"/>
          <w:b/>
          <w:bCs/>
          <w:color w:val="0D0D0D" w:themeColor="text1" w:themeTint="F2"/>
          <w:sz w:val="20"/>
          <w:szCs w:val="20"/>
          <w:highlight w:val="none"/>
          <w:lang w:eastAsia="zh-CN"/>
          <w14:textFill>
            <w14:solidFill>
              <w14:schemeClr w14:val="tx1">
                <w14:lumMod w14:val="95000"/>
                <w14:lumOff w14:val="5000"/>
              </w14:schemeClr>
            </w14:solidFill>
          </w14:textFill>
        </w:rPr>
        <w:t>Table S11</w:t>
      </w:r>
      <w:r>
        <w:rPr>
          <w:rFonts w:hint="eastAsia" w:ascii="Times New Roman" w:hAnsi="Times New Roman" w:cs="Times New Roman"/>
          <w:b/>
          <w:bCs/>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 Additional Analyses</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Results</w:t>
      </w:r>
    </w:p>
    <w:tbl>
      <w:tblPr>
        <w:tblStyle w:val="12"/>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66"/>
        <w:gridCol w:w="889"/>
        <w:gridCol w:w="1048"/>
        <w:gridCol w:w="1059"/>
        <w:gridCol w:w="1059"/>
        <w:gridCol w:w="1059"/>
        <w:gridCol w:w="849"/>
        <w:gridCol w:w="1393"/>
      </w:tblGrid>
      <w:tr w14:paraId="3FE85C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restart"/>
            <w:vAlign w:val="center"/>
          </w:tcPr>
          <w:p w14:paraId="2802BA4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Variables</w:t>
            </w:r>
          </w:p>
        </w:tc>
        <w:tc>
          <w:tcPr>
            <w:tcW w:w="0" w:type="auto"/>
            <w:gridSpan w:val="2"/>
            <w:tcBorders>
              <w:bottom w:val="single" w:color="auto" w:sz="4" w:space="0"/>
            </w:tcBorders>
            <w:vAlign w:val="center"/>
          </w:tcPr>
          <w:p w14:paraId="62D3EF0A">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Regional</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Carbon Emissions</w:t>
            </w:r>
          </w:p>
        </w:tc>
        <w:tc>
          <w:tcPr>
            <w:tcW w:w="0" w:type="auto"/>
            <w:gridSpan w:val="3"/>
            <w:tcBorders>
              <w:bottom w:val="single" w:color="auto" w:sz="4" w:space="0"/>
            </w:tcBorders>
            <w:vAlign w:val="center"/>
          </w:tcPr>
          <w:p w14:paraId="266FBE2B">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Regional</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Carbon Emission Sources</w:t>
            </w:r>
          </w:p>
        </w:tc>
        <w:tc>
          <w:tcPr>
            <w:tcW w:w="0" w:type="auto"/>
            <w:gridSpan w:val="2"/>
            <w:tcBorders>
              <w:bottom w:val="single" w:color="auto" w:sz="4" w:space="0"/>
            </w:tcBorders>
            <w:vAlign w:val="center"/>
          </w:tcPr>
          <w:p w14:paraId="2399E715">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rPr>
                <w:rFonts w:hint="default" w:ascii="Times New Roman" w:hAnsi="Times New Roman" w:cs="Times New Roman" w:eastAsiaTheme="minorEastAsia"/>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Corporate Carbon Emissions</w:t>
            </w:r>
          </w:p>
        </w:tc>
      </w:tr>
      <w:tr w14:paraId="26ED46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vAlign w:val="center"/>
          </w:tcPr>
          <w:p w14:paraId="7B30200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op w:val="single" w:color="auto" w:sz="4" w:space="0"/>
            </w:tcBorders>
            <w:vAlign w:val="center"/>
          </w:tcPr>
          <w:p w14:paraId="3284F12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w:t>
            </w:r>
          </w:p>
        </w:tc>
        <w:tc>
          <w:tcPr>
            <w:tcW w:w="0" w:type="auto"/>
            <w:tcBorders>
              <w:top w:val="single" w:color="auto" w:sz="4" w:space="0"/>
            </w:tcBorders>
            <w:vAlign w:val="center"/>
          </w:tcPr>
          <w:p w14:paraId="1E57108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w:t>
            </w:r>
          </w:p>
        </w:tc>
        <w:tc>
          <w:tcPr>
            <w:tcW w:w="0" w:type="auto"/>
            <w:tcBorders>
              <w:top w:val="single" w:color="auto" w:sz="4" w:space="0"/>
            </w:tcBorders>
            <w:vAlign w:val="center"/>
          </w:tcPr>
          <w:p w14:paraId="6B1A83B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(3)</w:t>
            </w:r>
          </w:p>
        </w:tc>
        <w:tc>
          <w:tcPr>
            <w:tcW w:w="0" w:type="auto"/>
            <w:tcBorders>
              <w:top w:val="single" w:color="auto" w:sz="4" w:space="0"/>
            </w:tcBorders>
            <w:vAlign w:val="center"/>
          </w:tcPr>
          <w:p w14:paraId="104501B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4</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0" w:type="auto"/>
            <w:tcBorders>
              <w:top w:val="single" w:color="auto" w:sz="4" w:space="0"/>
            </w:tcBorders>
            <w:vAlign w:val="center"/>
          </w:tcPr>
          <w:p w14:paraId="47219F2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5</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0" w:type="auto"/>
            <w:tcBorders>
              <w:top w:val="single" w:color="auto" w:sz="4" w:space="0"/>
            </w:tcBorders>
            <w:shd w:val="clear" w:color="auto" w:fill="auto"/>
            <w:vAlign w:val="center"/>
          </w:tcPr>
          <w:p w14:paraId="0B91E928">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6</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c>
          <w:tcPr>
            <w:tcW w:w="0" w:type="auto"/>
            <w:tcBorders>
              <w:top w:val="single" w:color="auto" w:sz="4" w:space="0"/>
            </w:tcBorders>
            <w:shd w:val="clear" w:color="auto" w:fill="auto"/>
            <w:vAlign w:val="center"/>
          </w:tcPr>
          <w:p w14:paraId="69237ED6">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7</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p>
        </w:tc>
      </w:tr>
      <w:tr w14:paraId="79DC37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bottom w:val="single" w:color="auto" w:sz="4" w:space="0"/>
            </w:tcBorders>
            <w:vAlign w:val="center"/>
          </w:tcPr>
          <w:p w14:paraId="03B6870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bottom w:val="single" w:color="auto" w:sz="4" w:space="0"/>
            </w:tcBorders>
            <w:vAlign w:val="center"/>
          </w:tcPr>
          <w:p w14:paraId="47D6382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_ln</w:t>
            </w:r>
          </w:p>
        </w:tc>
        <w:tc>
          <w:tcPr>
            <w:tcW w:w="0" w:type="auto"/>
            <w:tcBorders>
              <w:bottom w:val="single" w:color="auto" w:sz="4" w:space="0"/>
            </w:tcBorders>
            <w:vAlign w:val="center"/>
          </w:tcPr>
          <w:p w14:paraId="20F9E39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w:t>
            </w:r>
          </w:p>
        </w:tc>
        <w:tc>
          <w:tcPr>
            <w:tcW w:w="0" w:type="auto"/>
            <w:tcBorders>
              <w:bottom w:val="single" w:color="auto" w:sz="4" w:space="0"/>
            </w:tcBorders>
            <w:vAlign w:val="center"/>
          </w:tcPr>
          <w:p w14:paraId="4F9DBFF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_gdp1</w:t>
            </w:r>
          </w:p>
        </w:tc>
        <w:tc>
          <w:tcPr>
            <w:tcW w:w="0" w:type="auto"/>
            <w:tcBorders>
              <w:bottom w:val="single" w:color="auto" w:sz="4" w:space="0"/>
            </w:tcBorders>
            <w:vAlign w:val="center"/>
          </w:tcPr>
          <w:p w14:paraId="1955319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_gdp2</w:t>
            </w:r>
          </w:p>
        </w:tc>
        <w:tc>
          <w:tcPr>
            <w:tcW w:w="0" w:type="auto"/>
            <w:tcBorders>
              <w:bottom w:val="single" w:color="auto" w:sz="4" w:space="0"/>
            </w:tcBorders>
            <w:vAlign w:val="center"/>
          </w:tcPr>
          <w:p w14:paraId="620E1E9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_gdp3</w:t>
            </w:r>
          </w:p>
        </w:tc>
        <w:tc>
          <w:tcPr>
            <w:tcW w:w="0" w:type="auto"/>
            <w:tcBorders>
              <w:bottom w:val="single" w:color="auto" w:sz="4" w:space="0"/>
            </w:tcBorders>
            <w:shd w:val="clear" w:color="auto" w:fill="auto"/>
            <w:vAlign w:val="center"/>
          </w:tcPr>
          <w:p w14:paraId="12363E41">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_ln</w:t>
            </w:r>
          </w:p>
        </w:tc>
        <w:tc>
          <w:tcPr>
            <w:tcW w:w="0" w:type="auto"/>
            <w:tcBorders>
              <w:bottom w:val="single" w:color="auto" w:sz="4" w:space="0"/>
            </w:tcBorders>
            <w:shd w:val="clear" w:color="auto" w:fill="auto"/>
            <w:vAlign w:val="center"/>
          </w:tcPr>
          <w:p w14:paraId="1CE4A485">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w:t>
            </w:r>
            <w:r>
              <w:rPr>
                <w:rFonts w:hint="default" w:ascii="Times New Roman" w:hAnsi="Times New Roman" w:eastAsia="宋体" w:cs="Times New Roman"/>
                <w:i/>
                <w:iCs/>
                <w:color w:val="0D0D0D" w:themeColor="text1" w:themeTint="F2"/>
                <w:sz w:val="20"/>
                <w:szCs w:val="20"/>
                <w:highlight w:val="none"/>
                <w:vertAlign w:val="subscript"/>
                <w14:textFill>
                  <w14:solidFill>
                    <w14:schemeClr w14:val="tx1">
                      <w14:lumMod w14:val="95000"/>
                      <w14:lumOff w14:val="5000"/>
                    </w14:schemeClr>
                  </w14:solidFill>
                </w14:textFill>
              </w:rPr>
              <w:t>2</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_intensity</w:t>
            </w:r>
          </w:p>
        </w:tc>
      </w:tr>
      <w:tr w14:paraId="27A164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auto" w:sz="4" w:space="0"/>
              <w:tl2br w:val="nil"/>
              <w:tr2bl w:val="nil"/>
            </w:tcBorders>
            <w:vAlign w:val="center"/>
          </w:tcPr>
          <w:p w14:paraId="4F6AD4F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EST</w:t>
            </w:r>
          </w:p>
        </w:tc>
        <w:tc>
          <w:tcPr>
            <w:tcW w:w="0" w:type="auto"/>
            <w:tcBorders>
              <w:top w:val="single" w:color="auto" w:sz="4" w:space="0"/>
              <w:tl2br w:val="nil"/>
              <w:tr2bl w:val="nil"/>
            </w:tcBorders>
            <w:vAlign w:val="center"/>
          </w:tcPr>
          <w:p w14:paraId="1725F04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0.009</w:t>
            </w:r>
          </w:p>
        </w:tc>
        <w:tc>
          <w:tcPr>
            <w:tcW w:w="0" w:type="auto"/>
            <w:tcBorders>
              <w:top w:val="single" w:color="auto" w:sz="4" w:space="0"/>
              <w:tl2br w:val="nil"/>
              <w:tr2bl w:val="nil"/>
            </w:tcBorders>
            <w:vAlign w:val="center"/>
          </w:tcPr>
          <w:p w14:paraId="7E60BFB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-0.146</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0" w:type="auto"/>
            <w:tcBorders>
              <w:top w:val="single" w:color="auto" w:sz="4" w:space="0"/>
              <w:tl2br w:val="nil"/>
              <w:tr2bl w:val="nil"/>
            </w:tcBorders>
            <w:vAlign w:val="center"/>
          </w:tcPr>
          <w:p w14:paraId="03CD46B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-0.096</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0" w:type="auto"/>
            <w:tcBorders>
              <w:top w:val="single" w:color="auto" w:sz="4" w:space="0"/>
              <w:tl2br w:val="nil"/>
              <w:tr2bl w:val="nil"/>
            </w:tcBorders>
            <w:vAlign w:val="center"/>
          </w:tcPr>
          <w:p w14:paraId="6FCF5DA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0.002</w:t>
            </w:r>
          </w:p>
        </w:tc>
        <w:tc>
          <w:tcPr>
            <w:tcW w:w="0" w:type="auto"/>
            <w:tcBorders>
              <w:top w:val="single" w:color="auto" w:sz="4" w:space="0"/>
              <w:tl2br w:val="nil"/>
              <w:tr2bl w:val="nil"/>
            </w:tcBorders>
            <w:vAlign w:val="center"/>
          </w:tcPr>
          <w:p w14:paraId="39E6E5D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-0.052</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c>
          <w:tcPr>
            <w:tcW w:w="0" w:type="auto"/>
            <w:tcBorders>
              <w:top w:val="single" w:color="auto" w:sz="4" w:space="0"/>
              <w:tl2br w:val="nil"/>
              <w:tr2bl w:val="nil"/>
            </w:tcBorders>
            <w:shd w:val="clear" w:color="auto" w:fill="auto"/>
            <w:vAlign w:val="top"/>
          </w:tcPr>
          <w:p w14:paraId="698D23FE">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0.060</w:t>
            </w:r>
          </w:p>
        </w:tc>
        <w:tc>
          <w:tcPr>
            <w:tcW w:w="0" w:type="auto"/>
            <w:tcBorders>
              <w:top w:val="single" w:color="auto" w:sz="4" w:space="0"/>
              <w:tl2br w:val="nil"/>
              <w:tr2bl w:val="nil"/>
            </w:tcBorders>
            <w:shd w:val="clear" w:color="auto" w:fill="auto"/>
            <w:vAlign w:val="top"/>
          </w:tcPr>
          <w:p w14:paraId="521878CA">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-0.357</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1BB41D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vAlign w:val="center"/>
          </w:tcPr>
          <w:p w14:paraId="19E6C55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4E0FD7E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(0.008)</w:t>
            </w:r>
          </w:p>
        </w:tc>
        <w:tc>
          <w:tcPr>
            <w:tcW w:w="0" w:type="auto"/>
            <w:tcBorders>
              <w:tl2br w:val="nil"/>
              <w:tr2bl w:val="nil"/>
            </w:tcBorders>
            <w:vAlign w:val="center"/>
          </w:tcPr>
          <w:p w14:paraId="5A3B085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(0.060)</w:t>
            </w:r>
          </w:p>
        </w:tc>
        <w:tc>
          <w:tcPr>
            <w:tcW w:w="0" w:type="auto"/>
            <w:tcBorders>
              <w:tl2br w:val="nil"/>
              <w:tr2bl w:val="nil"/>
            </w:tcBorders>
            <w:vAlign w:val="center"/>
          </w:tcPr>
          <w:p w14:paraId="39C3F57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(0.040)</w:t>
            </w:r>
          </w:p>
        </w:tc>
        <w:tc>
          <w:tcPr>
            <w:tcW w:w="0" w:type="auto"/>
            <w:tcBorders>
              <w:tl2br w:val="nil"/>
              <w:tr2bl w:val="nil"/>
            </w:tcBorders>
            <w:vAlign w:val="center"/>
          </w:tcPr>
          <w:p w14:paraId="1706498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(0.015)</w:t>
            </w:r>
          </w:p>
        </w:tc>
        <w:tc>
          <w:tcPr>
            <w:tcW w:w="0" w:type="auto"/>
            <w:tcBorders>
              <w:tl2br w:val="nil"/>
              <w:tr2bl w:val="nil"/>
            </w:tcBorders>
            <w:vAlign w:val="center"/>
          </w:tcPr>
          <w:p w14:paraId="54414E4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(0.020)</w:t>
            </w:r>
          </w:p>
        </w:tc>
        <w:tc>
          <w:tcPr>
            <w:tcW w:w="0" w:type="auto"/>
            <w:tcBorders>
              <w:tl2br w:val="nil"/>
              <w:tr2bl w:val="nil"/>
            </w:tcBorders>
            <w:shd w:val="clear" w:color="auto" w:fill="auto"/>
            <w:vAlign w:val="top"/>
          </w:tcPr>
          <w:p w14:paraId="5B4F7536">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(0.054)</w:t>
            </w:r>
          </w:p>
        </w:tc>
        <w:tc>
          <w:tcPr>
            <w:tcW w:w="0" w:type="auto"/>
            <w:tcBorders>
              <w:tl2br w:val="nil"/>
              <w:tr2bl w:val="nil"/>
            </w:tcBorders>
            <w:shd w:val="clear" w:color="auto" w:fill="auto"/>
            <w:vAlign w:val="top"/>
          </w:tcPr>
          <w:p w14:paraId="3A2B311E">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(0.135)</w:t>
            </w:r>
          </w:p>
        </w:tc>
      </w:tr>
      <w:tr w14:paraId="679D65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5D0E09E9">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Treat × Period</w:t>
            </w:r>
          </w:p>
        </w:tc>
        <w:tc>
          <w:tcPr>
            <w:tcW w:w="0" w:type="auto"/>
            <w:tcBorders>
              <w:tl2br w:val="nil"/>
              <w:tr2bl w:val="nil"/>
            </w:tcBorders>
            <w:vAlign w:val="center"/>
          </w:tcPr>
          <w:p w14:paraId="39B4ACE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3280C63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6C0747B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35C3311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3D5464D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shd w:val="clear" w:color="auto" w:fill="auto"/>
            <w:vAlign w:val="top"/>
          </w:tcPr>
          <w:p w14:paraId="3AD37F92">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-0.021</w:t>
            </w:r>
          </w:p>
        </w:tc>
        <w:tc>
          <w:tcPr>
            <w:tcW w:w="0" w:type="auto"/>
            <w:tcBorders>
              <w:tl2br w:val="nil"/>
              <w:tr2bl w:val="nil"/>
            </w:tcBorders>
            <w:shd w:val="clear" w:color="auto" w:fill="auto"/>
            <w:vAlign w:val="top"/>
          </w:tcPr>
          <w:p w14:paraId="7C0A17E9">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0.216</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3338DB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35639937">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0" w:type="auto"/>
            <w:tcBorders>
              <w:tl2br w:val="nil"/>
              <w:tr2bl w:val="nil"/>
            </w:tcBorders>
            <w:vAlign w:val="center"/>
          </w:tcPr>
          <w:p w14:paraId="7AE6732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66FAE71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4162AA66">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6CF361A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7F6B6F3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shd w:val="clear" w:color="auto" w:fill="auto"/>
            <w:vAlign w:val="top"/>
          </w:tcPr>
          <w:p w14:paraId="2D2619D3">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(0.020)</w:t>
            </w:r>
          </w:p>
        </w:tc>
        <w:tc>
          <w:tcPr>
            <w:tcW w:w="0" w:type="auto"/>
            <w:tcBorders>
              <w:tl2br w:val="nil"/>
              <w:tr2bl w:val="nil"/>
            </w:tcBorders>
            <w:shd w:val="clear" w:color="auto" w:fill="auto"/>
            <w:vAlign w:val="top"/>
          </w:tcPr>
          <w:p w14:paraId="021002F6">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(0.058)</w:t>
            </w:r>
          </w:p>
        </w:tc>
      </w:tr>
      <w:tr w14:paraId="43DFFF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4D37BE94">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Treat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0" w:type="auto"/>
            <w:tcBorders>
              <w:tl2br w:val="nil"/>
              <w:tr2bl w:val="nil"/>
            </w:tcBorders>
            <w:vAlign w:val="center"/>
          </w:tcPr>
          <w:p w14:paraId="751359F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1652A69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47A00E4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0DC217B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03E06F0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shd w:val="clear" w:color="auto" w:fill="auto"/>
            <w:vAlign w:val="top"/>
          </w:tcPr>
          <w:p w14:paraId="6AB23269">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-0.351</w:t>
            </w:r>
          </w:p>
        </w:tc>
        <w:tc>
          <w:tcPr>
            <w:tcW w:w="0" w:type="auto"/>
            <w:tcBorders>
              <w:tl2br w:val="nil"/>
              <w:tr2bl w:val="nil"/>
            </w:tcBorders>
            <w:shd w:val="clear" w:color="auto" w:fill="auto"/>
            <w:vAlign w:val="top"/>
          </w:tcPr>
          <w:p w14:paraId="3C1B5588">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-1.498</w:t>
            </w:r>
          </w:p>
        </w:tc>
      </w:tr>
      <w:tr w14:paraId="74F077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667CCE65">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0" w:type="auto"/>
            <w:tcBorders>
              <w:tl2br w:val="nil"/>
              <w:tr2bl w:val="nil"/>
            </w:tcBorders>
            <w:vAlign w:val="center"/>
          </w:tcPr>
          <w:p w14:paraId="31CD997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6FC6C62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32E0B52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566364D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636F8EC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shd w:val="clear" w:color="auto" w:fill="auto"/>
            <w:vAlign w:val="top"/>
          </w:tcPr>
          <w:p w14:paraId="0ADE857F">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(0.228)</w:t>
            </w:r>
          </w:p>
        </w:tc>
        <w:tc>
          <w:tcPr>
            <w:tcW w:w="0" w:type="auto"/>
            <w:tcBorders>
              <w:tl2br w:val="nil"/>
              <w:tr2bl w:val="nil"/>
            </w:tcBorders>
            <w:shd w:val="clear" w:color="auto" w:fill="auto"/>
            <w:vAlign w:val="top"/>
          </w:tcPr>
          <w:p w14:paraId="2230BCE3">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(0.856)</w:t>
            </w:r>
          </w:p>
        </w:tc>
      </w:tr>
      <w:tr w14:paraId="52527A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5C824413">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Period × </w:t>
            </w:r>
            <w:r>
              <w:rPr>
                <w:rFonts w:hint="default" w:ascii="Times New Roman" w:hAnsi="Times New Roman" w:eastAsia="宋体" w:cs="Times New Roman"/>
                <w:i/>
                <w:iCs/>
                <w:color w:val="0D0D0D" w:themeColor="text1" w:themeTint="F2"/>
                <w:sz w:val="20"/>
                <w:szCs w:val="20"/>
                <w:highlight w:val="none"/>
                <w:lang w:eastAsia="zh-CN"/>
                <w14:textFill>
                  <w14:solidFill>
                    <w14:schemeClr w14:val="tx1">
                      <w14:lumMod w14:val="95000"/>
                      <w14:lumOff w14:val="5000"/>
                    </w14:schemeClr>
                  </w14:solidFill>
                </w14:textFill>
              </w:rPr>
              <w:t>Energy</w:t>
            </w:r>
          </w:p>
        </w:tc>
        <w:tc>
          <w:tcPr>
            <w:tcW w:w="0" w:type="auto"/>
            <w:tcBorders>
              <w:tl2br w:val="nil"/>
              <w:tr2bl w:val="nil"/>
            </w:tcBorders>
            <w:vAlign w:val="center"/>
          </w:tcPr>
          <w:p w14:paraId="2C1CB43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7643CE64">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25C0D35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366D15A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vAlign w:val="center"/>
          </w:tcPr>
          <w:p w14:paraId="3DD6CD1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tl2br w:val="nil"/>
              <w:tr2bl w:val="nil"/>
            </w:tcBorders>
            <w:shd w:val="clear" w:color="auto" w:fill="auto"/>
            <w:vAlign w:val="top"/>
          </w:tcPr>
          <w:p w14:paraId="27002BA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-0.024</w:t>
            </w:r>
          </w:p>
        </w:tc>
        <w:tc>
          <w:tcPr>
            <w:tcW w:w="0" w:type="auto"/>
            <w:tcBorders>
              <w:tl2br w:val="nil"/>
              <w:tr2bl w:val="nil"/>
            </w:tcBorders>
            <w:shd w:val="clear" w:color="auto" w:fill="auto"/>
            <w:vAlign w:val="top"/>
          </w:tcPr>
          <w:p w14:paraId="719F423E">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0.249</w:t>
            </w:r>
            <w:r>
              <w:rPr>
                <w:rFonts w:hint="default" w:ascii="Times New Roman" w:hAnsi="Times New Roman" w:cs="Times New Roman"/>
                <w:color w:val="0D0D0D" w:themeColor="text1" w:themeTint="F2"/>
                <w:sz w:val="20"/>
                <w:szCs w:val="20"/>
                <w:highlight w:val="none"/>
                <w:vertAlign w:val="superscript"/>
                <w14:textFill>
                  <w14:solidFill>
                    <w14:schemeClr w14:val="tx1">
                      <w14:lumMod w14:val="95000"/>
                      <w14:lumOff w14:val="5000"/>
                    </w14:schemeClr>
                  </w14:solidFill>
                </w14:textFill>
              </w:rPr>
              <w:t>*</w:t>
            </w:r>
          </w:p>
        </w:tc>
      </w:tr>
      <w:tr w14:paraId="4BE71E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bottom w:val="single" w:color="auto" w:sz="4" w:space="0"/>
              <w:tl2br w:val="nil"/>
              <w:tr2bl w:val="nil"/>
            </w:tcBorders>
            <w:shd w:val="clear" w:color="auto" w:fill="auto"/>
            <w:vAlign w:val="center"/>
          </w:tcPr>
          <w:p w14:paraId="2EB754AE">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i/>
                <w:iCs/>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p>
        </w:tc>
        <w:tc>
          <w:tcPr>
            <w:tcW w:w="0" w:type="auto"/>
            <w:tcBorders>
              <w:bottom w:val="single" w:color="auto" w:sz="4" w:space="0"/>
              <w:tl2br w:val="nil"/>
              <w:tr2bl w:val="nil"/>
            </w:tcBorders>
            <w:vAlign w:val="center"/>
          </w:tcPr>
          <w:p w14:paraId="6AD69BB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bottom w:val="single" w:color="auto" w:sz="4" w:space="0"/>
              <w:tl2br w:val="nil"/>
              <w:tr2bl w:val="nil"/>
            </w:tcBorders>
            <w:vAlign w:val="center"/>
          </w:tcPr>
          <w:p w14:paraId="772D042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bottom w:val="single" w:color="auto" w:sz="4" w:space="0"/>
              <w:tl2br w:val="nil"/>
              <w:tr2bl w:val="nil"/>
            </w:tcBorders>
            <w:vAlign w:val="center"/>
          </w:tcPr>
          <w:p w14:paraId="40FD9A5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bottom w:val="single" w:color="auto" w:sz="4" w:space="0"/>
              <w:tl2br w:val="nil"/>
              <w:tr2bl w:val="nil"/>
            </w:tcBorders>
            <w:vAlign w:val="center"/>
          </w:tcPr>
          <w:p w14:paraId="3994305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bottom w:val="single" w:color="auto" w:sz="4" w:space="0"/>
              <w:tl2br w:val="nil"/>
              <w:tr2bl w:val="nil"/>
            </w:tcBorders>
            <w:vAlign w:val="center"/>
          </w:tcPr>
          <w:p w14:paraId="3F846F8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p>
        </w:tc>
        <w:tc>
          <w:tcPr>
            <w:tcW w:w="0" w:type="auto"/>
            <w:tcBorders>
              <w:bottom w:val="single" w:color="auto" w:sz="4" w:space="0"/>
              <w:tl2br w:val="nil"/>
              <w:tr2bl w:val="nil"/>
            </w:tcBorders>
            <w:shd w:val="clear" w:color="auto" w:fill="auto"/>
            <w:vAlign w:val="top"/>
          </w:tcPr>
          <w:p w14:paraId="2735A648">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(0.036)</w:t>
            </w:r>
          </w:p>
        </w:tc>
        <w:tc>
          <w:tcPr>
            <w:tcW w:w="0" w:type="auto"/>
            <w:tcBorders>
              <w:bottom w:val="single" w:color="auto" w:sz="4" w:space="0"/>
              <w:tl2br w:val="nil"/>
              <w:tr2bl w:val="nil"/>
            </w:tcBorders>
            <w:shd w:val="clear" w:color="auto" w:fill="auto"/>
            <w:vAlign w:val="top"/>
          </w:tcPr>
          <w:p w14:paraId="4E8B0147">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(0.117)</w:t>
            </w:r>
          </w:p>
        </w:tc>
      </w:tr>
      <w:tr w14:paraId="0A5E72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auto" w:sz="4" w:space="0"/>
            </w:tcBorders>
            <w:vAlign w:val="center"/>
          </w:tcPr>
          <w:p w14:paraId="6987811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Controls</w:t>
            </w:r>
          </w:p>
        </w:tc>
        <w:tc>
          <w:tcPr>
            <w:tcW w:w="0" w:type="auto"/>
            <w:tcBorders>
              <w:top w:val="single" w:color="auto" w:sz="4" w:space="0"/>
            </w:tcBorders>
            <w:vAlign w:val="center"/>
          </w:tcPr>
          <w:p w14:paraId="1F09CC02">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op w:val="single" w:color="auto" w:sz="4" w:space="0"/>
            </w:tcBorders>
            <w:vAlign w:val="center"/>
          </w:tcPr>
          <w:p w14:paraId="2F9DE979">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op w:val="single" w:color="auto" w:sz="4" w:space="0"/>
            </w:tcBorders>
            <w:vAlign w:val="center"/>
          </w:tcPr>
          <w:p w14:paraId="46B84BD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op w:val="single" w:color="auto" w:sz="4" w:space="0"/>
            </w:tcBorders>
            <w:vAlign w:val="center"/>
          </w:tcPr>
          <w:p w14:paraId="033F9EF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op w:val="single" w:color="auto" w:sz="4" w:space="0"/>
            </w:tcBorders>
            <w:vAlign w:val="center"/>
          </w:tcPr>
          <w:p w14:paraId="6110787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op w:val="single" w:color="auto" w:sz="4" w:space="0"/>
            </w:tcBorders>
            <w:shd w:val="clear" w:color="auto" w:fill="auto"/>
            <w:vAlign w:val="center"/>
          </w:tcPr>
          <w:p w14:paraId="221B3082">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op w:val="single" w:color="auto" w:sz="4" w:space="0"/>
            </w:tcBorders>
            <w:shd w:val="clear" w:color="auto" w:fill="auto"/>
            <w:vAlign w:val="center"/>
          </w:tcPr>
          <w:p w14:paraId="307C57E7">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348314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vAlign w:val="center"/>
          </w:tcPr>
          <w:p w14:paraId="4A038E7B">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City FE</w:t>
            </w:r>
          </w:p>
        </w:tc>
        <w:tc>
          <w:tcPr>
            <w:tcW w:w="0" w:type="auto"/>
            <w:tcBorders>
              <w:tl2br w:val="nil"/>
              <w:tr2bl w:val="nil"/>
            </w:tcBorders>
            <w:vAlign w:val="center"/>
          </w:tcPr>
          <w:p w14:paraId="42A2BC7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23EA347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4D3B72AF">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5378A79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5A7755A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7B881A47">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0668FA4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r>
      <w:tr w14:paraId="67639F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vAlign w:val="center"/>
          </w:tcPr>
          <w:p w14:paraId="0398047E">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Year FE</w:t>
            </w:r>
          </w:p>
        </w:tc>
        <w:tc>
          <w:tcPr>
            <w:tcW w:w="0" w:type="auto"/>
            <w:tcBorders>
              <w:tl2br w:val="nil"/>
              <w:tr2bl w:val="nil"/>
            </w:tcBorders>
            <w:vAlign w:val="center"/>
          </w:tcPr>
          <w:p w14:paraId="3CC0DAF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4A9672C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13E0003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208D353C">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42AF6A9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shd w:val="clear" w:color="auto" w:fill="auto"/>
            <w:vAlign w:val="center"/>
          </w:tcPr>
          <w:p w14:paraId="21CB74F5">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shd w:val="clear" w:color="auto" w:fill="auto"/>
            <w:vAlign w:val="center"/>
          </w:tcPr>
          <w:p w14:paraId="67C234B7">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5234FE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0B3C3EED">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Individual FE</w:t>
            </w:r>
          </w:p>
        </w:tc>
        <w:tc>
          <w:tcPr>
            <w:tcW w:w="0" w:type="auto"/>
            <w:tcBorders>
              <w:tl2br w:val="nil"/>
              <w:tr2bl w:val="nil"/>
            </w:tcBorders>
            <w:vAlign w:val="center"/>
          </w:tcPr>
          <w:p w14:paraId="29DE5358">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0BD7E37D">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0A421E6F">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32EF755E">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1746B5ED">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1C57A0B6">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0B87D455">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336D45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5849236B">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Industry FE</w:t>
            </w:r>
          </w:p>
        </w:tc>
        <w:tc>
          <w:tcPr>
            <w:tcW w:w="0" w:type="auto"/>
            <w:tcBorders>
              <w:tl2br w:val="nil"/>
              <w:tr2bl w:val="nil"/>
            </w:tcBorders>
            <w:vAlign w:val="center"/>
          </w:tcPr>
          <w:p w14:paraId="109378A6">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0F5CE9F4">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4B3F81A1">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540D519C">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0E6A8147">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5311C1B4">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1B00348E">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36E289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vAlign w:val="center"/>
          </w:tcPr>
          <w:p w14:paraId="5508B0FB">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Province FE</w:t>
            </w:r>
          </w:p>
        </w:tc>
        <w:tc>
          <w:tcPr>
            <w:tcW w:w="0" w:type="auto"/>
            <w:tcBorders>
              <w:tl2br w:val="nil"/>
              <w:tr2bl w:val="nil"/>
            </w:tcBorders>
            <w:vAlign w:val="center"/>
          </w:tcPr>
          <w:p w14:paraId="484F1251">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4B3E9142">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1838E5CC">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0976396D">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23FD8333">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No</w:t>
            </w:r>
          </w:p>
        </w:tc>
        <w:tc>
          <w:tcPr>
            <w:tcW w:w="0" w:type="auto"/>
            <w:tcBorders>
              <w:tl2br w:val="nil"/>
              <w:tr2bl w:val="nil"/>
            </w:tcBorders>
            <w:vAlign w:val="center"/>
          </w:tcPr>
          <w:p w14:paraId="137B7F86">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c>
          <w:tcPr>
            <w:tcW w:w="0" w:type="auto"/>
            <w:tcBorders>
              <w:tl2br w:val="nil"/>
              <w:tr2bl w:val="nil"/>
            </w:tcBorders>
            <w:vAlign w:val="center"/>
          </w:tcPr>
          <w:p w14:paraId="2543575C">
            <w:pPr>
              <w:keepNext w:val="0"/>
              <w:keepLines w:val="0"/>
              <w:pageBreakBefore w:val="0"/>
              <w:kinsoku/>
              <w:wordWrap/>
              <w:overflowPunct/>
              <w:topLinePunct w:val="0"/>
              <w:autoSpaceDE/>
              <w:autoSpaceDN/>
              <w:bidi w:val="0"/>
              <w:adjustRightInd/>
              <w:snapToGrid/>
              <w:spacing w:line="240" w:lineRule="auto"/>
              <w:ind w:left="0" w:leftChars="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Yes</w:t>
            </w:r>
          </w:p>
        </w:tc>
      </w:tr>
      <w:tr w14:paraId="0F4F1E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vAlign w:val="center"/>
          </w:tcPr>
          <w:p w14:paraId="137E6CD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Obs</w:t>
            </w:r>
          </w:p>
        </w:tc>
        <w:tc>
          <w:tcPr>
            <w:tcW w:w="0" w:type="auto"/>
            <w:tcBorders>
              <w:tl2br w:val="nil"/>
              <w:tr2bl w:val="nil"/>
            </w:tcBorders>
            <w:vAlign w:val="center"/>
          </w:tcPr>
          <w:p w14:paraId="0A348CA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1,523</w:t>
            </w:r>
          </w:p>
        </w:tc>
        <w:tc>
          <w:tcPr>
            <w:tcW w:w="0" w:type="auto"/>
            <w:tcBorders>
              <w:tl2br w:val="nil"/>
              <w:tr2bl w:val="nil"/>
            </w:tcBorders>
            <w:vAlign w:val="center"/>
          </w:tcPr>
          <w:p w14:paraId="488833F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1,523</w:t>
            </w:r>
          </w:p>
        </w:tc>
        <w:tc>
          <w:tcPr>
            <w:tcW w:w="0" w:type="auto"/>
            <w:tcBorders>
              <w:tl2br w:val="nil"/>
              <w:tr2bl w:val="nil"/>
            </w:tcBorders>
            <w:vAlign w:val="center"/>
          </w:tcPr>
          <w:p w14:paraId="33DDFCF0">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1,523</w:t>
            </w:r>
          </w:p>
        </w:tc>
        <w:tc>
          <w:tcPr>
            <w:tcW w:w="0" w:type="auto"/>
            <w:tcBorders>
              <w:tl2br w:val="nil"/>
              <w:tr2bl w:val="nil"/>
            </w:tcBorders>
            <w:vAlign w:val="center"/>
          </w:tcPr>
          <w:p w14:paraId="77E2AF98">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1,523</w:t>
            </w:r>
          </w:p>
        </w:tc>
        <w:tc>
          <w:tcPr>
            <w:tcW w:w="0" w:type="auto"/>
            <w:tcBorders>
              <w:tl2br w:val="nil"/>
              <w:tr2bl w:val="nil"/>
            </w:tcBorders>
            <w:vAlign w:val="center"/>
          </w:tcPr>
          <w:p w14:paraId="18059805">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1,523</w:t>
            </w:r>
          </w:p>
        </w:tc>
        <w:tc>
          <w:tcPr>
            <w:tcW w:w="0" w:type="auto"/>
            <w:tcBorders>
              <w:tl2br w:val="nil"/>
              <w:tr2bl w:val="nil"/>
            </w:tcBorders>
            <w:shd w:val="clear" w:color="auto" w:fill="auto"/>
            <w:vAlign w:val="top"/>
          </w:tcPr>
          <w:p w14:paraId="6BA3EED0">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8</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082</w:t>
            </w:r>
          </w:p>
        </w:tc>
        <w:tc>
          <w:tcPr>
            <w:tcW w:w="0" w:type="auto"/>
            <w:tcBorders>
              <w:tl2br w:val="nil"/>
              <w:tr2bl w:val="nil"/>
            </w:tcBorders>
            <w:shd w:val="clear" w:color="auto" w:fill="auto"/>
            <w:vAlign w:val="top"/>
          </w:tcPr>
          <w:p w14:paraId="5F17F62C">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8</w:t>
            </w:r>
            <w:r>
              <w:rPr>
                <w:rFonts w:hint="default"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082</w:t>
            </w:r>
          </w:p>
        </w:tc>
      </w:tr>
      <w:tr w14:paraId="3CD050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vAlign w:val="center"/>
          </w:tcPr>
          <w:p w14:paraId="716BC92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R</w:t>
            </w:r>
            <w:r>
              <w:rPr>
                <w:rFonts w:hint="default" w:ascii="Times New Roman" w:hAnsi="Times New Roman" w:eastAsia="宋体" w:cs="Times New Roman"/>
                <w:color w:val="0D0D0D" w:themeColor="text1" w:themeTint="F2"/>
                <w:sz w:val="20"/>
                <w:szCs w:val="20"/>
                <w:highlight w:val="none"/>
                <w:vertAlign w:val="superscript"/>
                <w14:textFill>
                  <w14:solidFill>
                    <w14:schemeClr w14:val="tx1">
                      <w14:lumMod w14:val="95000"/>
                      <w14:lumOff w14:val="5000"/>
                    </w14:schemeClr>
                  </w14:solidFill>
                </w14:textFill>
              </w:rPr>
              <w:t>2</w:t>
            </w:r>
          </w:p>
        </w:tc>
        <w:tc>
          <w:tcPr>
            <w:tcW w:w="0" w:type="auto"/>
            <w:tcBorders>
              <w:tl2br w:val="nil"/>
              <w:tr2bl w:val="nil"/>
            </w:tcBorders>
            <w:vAlign w:val="center"/>
          </w:tcPr>
          <w:p w14:paraId="5AEFFC1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0.974</w:t>
            </w:r>
          </w:p>
        </w:tc>
        <w:tc>
          <w:tcPr>
            <w:tcW w:w="0" w:type="auto"/>
            <w:tcBorders>
              <w:tl2br w:val="nil"/>
              <w:tr2bl w:val="nil"/>
            </w:tcBorders>
            <w:vAlign w:val="center"/>
          </w:tcPr>
          <w:p w14:paraId="1623EC0D">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0.982</w:t>
            </w:r>
          </w:p>
        </w:tc>
        <w:tc>
          <w:tcPr>
            <w:tcW w:w="0" w:type="auto"/>
            <w:tcBorders>
              <w:tl2br w:val="nil"/>
              <w:tr2bl w:val="nil"/>
            </w:tcBorders>
            <w:vAlign w:val="center"/>
          </w:tcPr>
          <w:p w14:paraId="1A77A32A">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0.979</w:t>
            </w:r>
          </w:p>
        </w:tc>
        <w:tc>
          <w:tcPr>
            <w:tcW w:w="0" w:type="auto"/>
            <w:tcBorders>
              <w:tl2br w:val="nil"/>
              <w:tr2bl w:val="nil"/>
            </w:tcBorders>
            <w:vAlign w:val="center"/>
          </w:tcPr>
          <w:p w14:paraId="46093DA3">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0.922</w:t>
            </w:r>
          </w:p>
        </w:tc>
        <w:tc>
          <w:tcPr>
            <w:tcW w:w="0" w:type="auto"/>
            <w:tcBorders>
              <w:tl2br w:val="nil"/>
              <w:tr2bl w:val="nil"/>
            </w:tcBorders>
            <w:vAlign w:val="center"/>
          </w:tcPr>
          <w:p w14:paraId="2029AF01">
            <w:pPr>
              <w:keepNext w:val="0"/>
              <w:keepLines w:val="0"/>
              <w:pageBreakBefore w:val="0"/>
              <w:kinsoku/>
              <w:wordWrap/>
              <w:overflowPunct/>
              <w:topLinePunct w:val="0"/>
              <w:autoSpaceDE/>
              <w:autoSpaceDN/>
              <w:bidi w:val="0"/>
              <w:adjustRightInd/>
              <w:snapToGrid/>
              <w:spacing w:line="240" w:lineRule="auto"/>
              <w:ind w:left="0"/>
              <w:jc w:val="left"/>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14:ligatures w14:val="standardContextua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0.903</w:t>
            </w:r>
          </w:p>
        </w:tc>
        <w:tc>
          <w:tcPr>
            <w:tcW w:w="0" w:type="auto"/>
            <w:tcBorders>
              <w:tl2br w:val="nil"/>
              <w:tr2bl w:val="nil"/>
            </w:tcBorders>
            <w:shd w:val="clear" w:color="auto" w:fill="auto"/>
            <w:vAlign w:val="top"/>
          </w:tcPr>
          <w:p w14:paraId="44A493F8">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0.956</w:t>
            </w:r>
          </w:p>
        </w:tc>
        <w:tc>
          <w:tcPr>
            <w:tcW w:w="0" w:type="auto"/>
            <w:tcBorders>
              <w:tl2br w:val="nil"/>
              <w:tr2bl w:val="nil"/>
            </w:tcBorders>
            <w:shd w:val="clear" w:color="auto" w:fill="auto"/>
            <w:vAlign w:val="top"/>
          </w:tcPr>
          <w:p w14:paraId="29E9F6F5">
            <w:pPr>
              <w:spacing w:beforeLines="0" w:afterLines="0"/>
              <w:jc w:val="left"/>
              <w:rPr>
                <w:rFonts w:hint="default" w:ascii="Times New Roman" w:hAnsi="Times New Roman" w:cs="Times New Roman" w:eastAsiaTheme="minorEastAsia"/>
                <w:color w:val="0D0D0D" w:themeColor="text1" w:themeTint="F2"/>
                <w:kern w:val="2"/>
                <w:sz w:val="20"/>
                <w:szCs w:val="20"/>
                <w:highlight w:val="none"/>
                <w:lang w:val="en-US" w:eastAsia="zh-CN" w:bidi="ar-SA"/>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0.177</w:t>
            </w:r>
          </w:p>
        </w:tc>
      </w:tr>
    </w:tbl>
    <w:p w14:paraId="141CB8E8">
      <w:pPr>
        <w:pStyle w:val="11"/>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both"/>
        <w:rPr>
          <w:rFonts w:hint="default" w:ascii="Times New Roman" w:hAnsi="Times New Roman" w:cs="Times New Roman"/>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Note: Robust standard errors in parentheses, ***, **, and * indicate significance at the 0.01, 0.05, and 0.1 levels, respectively.</w:t>
      </w:r>
    </w:p>
    <w:p w14:paraId="7CC64882">
      <w:pPr>
        <w:keepNext w:val="0"/>
        <w:keepLines w:val="0"/>
        <w:pageBreakBefore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C3D878B">
      <w:pPr>
        <w:keepNext w:val="0"/>
        <w:keepLines w:val="0"/>
        <w:pageBreakBefore w:val="0"/>
        <w:kinsoku/>
        <w:wordWrap/>
        <w:overflowPunct/>
        <w:topLinePunct w:val="0"/>
        <w:autoSpaceDE/>
        <w:autoSpaceDN/>
        <w:bidi w:val="0"/>
        <w:adjustRightInd/>
        <w:snapToGrid/>
        <w:spacing w:line="400" w:lineRule="exact"/>
        <w:ind w:left="0"/>
        <w:jc w:val="both"/>
        <w:outlineLvl w:val="0"/>
        <w:rPr>
          <w:rFonts w:hint="default" w:ascii="Times New Roman" w:hAnsi="Times New Roman" w:eastAsia="宋体" w:cs="Times New Roman"/>
          <w:b/>
          <w:bCs/>
          <w:color w:val="0D0D0D" w:themeColor="text1" w:themeTint="F2"/>
          <w:sz w:val="22"/>
          <w:szCs w:val="22"/>
          <w:highlight w:val="none"/>
          <w14:textFill>
            <w14:solidFill>
              <w14:schemeClr w14:val="tx1">
                <w14:lumMod w14:val="95000"/>
                <w14:lumOff w14:val="5000"/>
              </w14:schemeClr>
            </w14:solidFill>
          </w14:textFill>
        </w:rPr>
      </w:pPr>
      <w:r>
        <w:rPr>
          <w:rFonts w:hint="default" w:ascii="Times New Roman" w:hAnsi="Times New Roman" w:eastAsia="宋体" w:cs="Times New Roman"/>
          <w:b/>
          <w:bCs/>
          <w:color w:val="0D0D0D" w:themeColor="text1" w:themeTint="F2"/>
          <w:sz w:val="22"/>
          <w:szCs w:val="22"/>
          <w:highlight w:val="none"/>
          <w14:textFill>
            <w14:solidFill>
              <w14:schemeClr w14:val="tx1">
                <w14:lumMod w14:val="95000"/>
                <w14:lumOff w14:val="5000"/>
              </w14:schemeClr>
            </w14:solidFill>
          </w14:textFill>
        </w:rPr>
        <w:t>References</w:t>
      </w:r>
    </w:p>
    <w:p w14:paraId="50BAF02A">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Alder, S. D. (2016). In the wrong hands: complementarities, resource allocation, and TFP.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American Economic Journal: Macroeconomics</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8(1), 199-241.</w:t>
      </w:r>
    </w:p>
    <w:p w14:paraId="3DB64773">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Athey, S., &amp; Imbens, G. W. (2022). Design-based analysis in difference-in-differences settings with staggered adoption.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Journal of Econometrics</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226(1), 62-79.</w:t>
      </w:r>
    </w:p>
    <w:p w14:paraId="1D7BC1F4">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Baker, A. C., Larcker, D. F., &amp; Wang, C. C. (2022). How much should we trust staggered difference-in-differences estimates?.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Journal of Financial Economics</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144(2), 370-395.</w:t>
      </w:r>
    </w:p>
    <w:p w14:paraId="7187154F">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Bolton, P., &amp; Kacperczyk, M. (2021). Do investors care about carbon risk?.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Journal of </w:t>
      </w: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F</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inancial </w:t>
      </w: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E</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conomics</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142(2), 517-549.</w:t>
      </w:r>
    </w:p>
    <w:p w14:paraId="72743BEC">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Bretschger, L., &amp; Jo, A. (2024). Complementarity between labor and energy: A firm-level analysis.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Journal of Environmental Economics and Management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124, 102934.</w:t>
      </w:r>
    </w:p>
    <w:p w14:paraId="7A12DF4A">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Bushnell, J. B., Mansur, E. T., &amp; Saravia, C. (2008). Vertical arrangements, market structure, and competition: An analysis of restructured US electricity markets.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American Economic Review</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98(1), 237-266.</w:t>
      </w:r>
    </w:p>
    <w:p w14:paraId="43941DE5">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i w:val="0"/>
          <w:iCs w:val="0"/>
          <w:caps w:val="0"/>
          <w:color w:val="0D0D0D" w:themeColor="text1" w:themeTint="F2"/>
          <w:spacing w:val="0"/>
          <w:sz w:val="20"/>
          <w:szCs w:val="20"/>
          <w:highlight w:val="none"/>
          <w:shd w:val="clear" w:fill="FFFFFF"/>
          <w14:textFill>
            <w14:solidFill>
              <w14:schemeClr w14:val="tx1">
                <w14:lumMod w14:val="95000"/>
                <w14:lumOff w14:val="5000"/>
              </w14:schemeClr>
            </w14:solidFill>
          </w14:textFill>
        </w:rPr>
        <w:t>Chen, H., Zhu, C., Cheng, Z., Feng, J., &amp; Zhao, B. (2025). Can industry-education integration enhance enterprise employee safety and health levels?.</w:t>
      </w:r>
      <w:r>
        <w:rPr>
          <w:rFonts w:hint="eastAsia" w:ascii="Times New Roman" w:hAnsi="Times New Roman" w:eastAsia="宋体" w:cs="Times New Roman"/>
          <w:i w:val="0"/>
          <w:iCs w:val="0"/>
          <w:caps w:val="0"/>
          <w:color w:val="0D0D0D" w:themeColor="text1" w:themeTint="F2"/>
          <w:spacing w:val="0"/>
          <w:sz w:val="20"/>
          <w:szCs w:val="20"/>
          <w:highlight w:val="none"/>
          <w:shd w:val="clear" w:fill="FFFFFF"/>
          <w:lang w:val="en-US"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i/>
          <w:iCs/>
          <w:caps w:val="0"/>
          <w:color w:val="0D0D0D" w:themeColor="text1" w:themeTint="F2"/>
          <w:spacing w:val="0"/>
          <w:sz w:val="20"/>
          <w:szCs w:val="20"/>
          <w:highlight w:val="none"/>
          <w:shd w:val="clear" w:fill="FFFFFF"/>
          <w14:textFill>
            <w14:solidFill>
              <w14:schemeClr w14:val="tx1">
                <w14:lumMod w14:val="95000"/>
                <w14:lumOff w14:val="5000"/>
              </w14:schemeClr>
            </w14:solidFill>
          </w14:textFill>
        </w:rPr>
        <w:t>Frontiers in Public Health</w:t>
      </w:r>
      <w:r>
        <w:rPr>
          <w:rFonts w:hint="default" w:ascii="Times New Roman" w:hAnsi="Times New Roman" w:eastAsia="宋体" w:cs="Times New Roman"/>
          <w:i w:val="0"/>
          <w:iCs w:val="0"/>
          <w:caps w:val="0"/>
          <w:color w:val="0D0D0D" w:themeColor="text1" w:themeTint="F2"/>
          <w:spacing w:val="0"/>
          <w:sz w:val="20"/>
          <w:szCs w:val="20"/>
          <w:highlight w:val="none"/>
          <w:shd w:val="clear" w:fill="FFFFFF"/>
          <w14:textFill>
            <w14:solidFill>
              <w14:schemeClr w14:val="tx1">
                <w14:lumMod w14:val="95000"/>
                <w14:lumOff w14:val="5000"/>
              </w14:schemeClr>
            </w14:solidFill>
          </w14:textFill>
        </w:rPr>
        <w:t>,</w:t>
      </w:r>
      <w:r>
        <w:rPr>
          <w:rFonts w:hint="eastAsia" w:ascii="Times New Roman" w:hAnsi="Times New Roman" w:eastAsia="宋体" w:cs="Times New Roman"/>
          <w:i w:val="0"/>
          <w:iCs w:val="0"/>
          <w:caps w:val="0"/>
          <w:color w:val="0D0D0D" w:themeColor="text1" w:themeTint="F2"/>
          <w:spacing w:val="0"/>
          <w:sz w:val="20"/>
          <w:szCs w:val="20"/>
          <w:highlight w:val="none"/>
          <w:shd w:val="clear" w:fill="FFFFFF"/>
          <w:lang w:val="en-US"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i/>
          <w:iCs/>
          <w:caps w:val="0"/>
          <w:color w:val="0D0D0D" w:themeColor="text1" w:themeTint="F2"/>
          <w:spacing w:val="0"/>
          <w:sz w:val="20"/>
          <w:szCs w:val="20"/>
          <w:highlight w:val="none"/>
          <w:shd w:val="clear" w:fill="FFFFFF"/>
          <w14:textFill>
            <w14:solidFill>
              <w14:schemeClr w14:val="tx1">
                <w14:lumMod w14:val="95000"/>
                <w14:lumOff w14:val="5000"/>
              </w14:schemeClr>
            </w14:solidFill>
          </w14:textFill>
        </w:rPr>
        <w:t>13</w:t>
      </w:r>
      <w:r>
        <w:rPr>
          <w:rFonts w:hint="default" w:ascii="Times New Roman" w:hAnsi="Times New Roman" w:eastAsia="宋体" w:cs="Times New Roman"/>
          <w:i w:val="0"/>
          <w:iCs w:val="0"/>
          <w:caps w:val="0"/>
          <w:color w:val="0D0D0D" w:themeColor="text1" w:themeTint="F2"/>
          <w:spacing w:val="0"/>
          <w:sz w:val="20"/>
          <w:szCs w:val="20"/>
          <w:highlight w:val="none"/>
          <w:shd w:val="clear" w:fill="FFFFFF"/>
          <w14:textFill>
            <w14:solidFill>
              <w14:schemeClr w14:val="tx1">
                <w14:lumMod w14:val="95000"/>
                <w14:lumOff w14:val="5000"/>
              </w14:schemeClr>
            </w14:solidFill>
          </w14:textFill>
        </w:rPr>
        <w:t>, 1607953.</w:t>
      </w:r>
    </w:p>
    <w:p w14:paraId="60CC15A8">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Cheng, X. J., Li, X. W., Wang, H., &amp; Guo, M. (2025). Towards sustainable development: The role of the carbon emission trading scheme in improving energy enterprises</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carbon performance.</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Journal of Environmental Management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380, 125001.</w:t>
      </w:r>
    </w:p>
    <w:p w14:paraId="49540A99">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Cheng, X., Liu, P., &amp; Zhu, L. (2024). The impact of electricity market reform on renewable energy production.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Energy Policy</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194, 114306.</w:t>
      </w:r>
    </w:p>
    <w:p w14:paraId="10F24D03">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Cheng, Z., &amp; Zhu, C. (2024). Positive impacts of green finance on environmental protection investment: Evidence from green finance reform and innovations pilot zone.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Heliyon</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10(13).</w:t>
      </w:r>
    </w:p>
    <w:p w14:paraId="32C0C01C">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Fang, C., Wang, Z., &amp; Zhao, L. (2025). Environmental regulations and the greenwashing of corporate ESG reports.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Economic Analysis and Policy</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w:t>
      </w:r>
    </w:p>
    <w:p w14:paraId="28615A58">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Fejzic, E., &amp; Usher, W. (2025). Stakeholder engagement for co-designing European climate and energy research priorities.</w:t>
      </w:r>
      <w:r>
        <w:rPr>
          <w:rFonts w:hint="eastAsia" w:ascii="Times New Roman" w:hAnsi="Times New Roman" w:eastAsia="宋体" w:cs="Times New Roman"/>
          <w:color w:val="0D0D0D" w:themeColor="text1" w:themeTint="F2"/>
          <w:sz w:val="20"/>
          <w:szCs w:val="20"/>
          <w:highlight w:val="none"/>
          <w:lang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Renewable and Sustainable Energy Reviews</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215, 115574.</w:t>
      </w:r>
    </w:p>
    <w:p w14:paraId="03AD0279">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Finn, P., &amp; Fitzpatrick, C. (2014). Demand side management of industrial electricity consumption: Promoting the use of renewable energy through real-time pricing.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Applied Energy</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113, 11-21.</w:t>
      </w:r>
    </w:p>
    <w:p w14:paraId="7C8458B9">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Gao, Z., &amp; Zhao, L. (2025). Health impacts of cross-regional transmission infrastructure: Evidence from China</w:t>
      </w:r>
      <w:r>
        <w:rPr>
          <w:rFonts w:hint="eastAsia" w:ascii="Times New Roman" w:hAnsi="Times New Roman" w:cs="Times New Roman"/>
          <w:color w:val="0D0D0D" w:themeColor="text1" w:themeTint="F2"/>
          <w:sz w:val="20"/>
          <w:szCs w:val="20"/>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s ultra-high voltage projects.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Energy Economics</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108669.</w:t>
      </w:r>
    </w:p>
    <w:p w14:paraId="7DAFF14E">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Goodman</w:t>
      </w:r>
      <w:r>
        <w:rPr>
          <w:rFonts w:hint="eastAsia" w:ascii="Times New Roman" w:hAnsi="Times New Roman" w:cs="Times New Roman"/>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Bacon, A. (2021). Difference-in-differences with variation in treatment timing.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 xml:space="preserve">Journal of </w:t>
      </w:r>
      <w:r>
        <w:rPr>
          <w:rFonts w:hint="default" w:ascii="Times New Roman" w:hAnsi="Times New Roman"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E</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conometrics</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225(2), 254-277.</w:t>
      </w:r>
    </w:p>
    <w:p w14:paraId="29EF57ED">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i w:val="0"/>
          <w:iCs w:val="0"/>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val="0"/>
          <w:iCs w:val="0"/>
          <w:color w:val="0D0D0D" w:themeColor="text1" w:themeTint="F2"/>
          <w:sz w:val="20"/>
          <w:szCs w:val="20"/>
          <w:highlight w:val="none"/>
          <w:lang w:val="en-US" w:eastAsia="zh-CN"/>
          <w14:textFill>
            <w14:solidFill>
              <w14:schemeClr w14:val="tx1">
                <w14:lumMod w14:val="95000"/>
                <w14:lumOff w14:val="5000"/>
              </w14:schemeClr>
            </w14:solidFill>
          </w14:textFill>
        </w:rPr>
        <w:t xml:space="preserve">Hirth, L., Khanna, T. M., &amp; Ruhnau, O. (2024). How aggregate electricity demand responds to hourly wholesale price fluctuations. </w:t>
      </w: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Energy Economics</w:t>
      </w:r>
      <w:r>
        <w:rPr>
          <w:rFonts w:hint="default" w:ascii="Times New Roman" w:hAnsi="Times New Roman" w:eastAsia="宋体" w:cs="Times New Roman"/>
          <w:i w:val="0"/>
          <w:iCs w:val="0"/>
          <w:color w:val="0D0D0D" w:themeColor="text1" w:themeTint="F2"/>
          <w:sz w:val="20"/>
          <w:szCs w:val="20"/>
          <w:highlight w:val="none"/>
          <w:lang w:val="en-US" w:eastAsia="zh-CN"/>
          <w14:textFill>
            <w14:solidFill>
              <w14:schemeClr w14:val="tx1">
                <w14:lumMod w14:val="95000"/>
                <w14:lumOff w14:val="5000"/>
              </w14:schemeClr>
            </w14:solidFill>
          </w14:textFill>
        </w:rPr>
        <w:t>, 135, 107652.</w:t>
      </w:r>
    </w:p>
    <w:p w14:paraId="104257EA">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Huang, S., &amp; Ge, J. (2024). Is there heterogeneity in ESG disclosure by mining companies? A comparison of developed and developing countries.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Environmental Impact Assessment Review</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104, 107348.</w:t>
      </w:r>
    </w:p>
    <w:p w14:paraId="5918EBDA">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Jo, H., &amp; Harjoto, M. A. (2012). The causal effect of corporate governance on corporate social responsibility.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Journal of </w:t>
      </w: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B</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usiness </w:t>
      </w: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E</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thics</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106(1), 53-72.</w:t>
      </w:r>
    </w:p>
    <w:p w14:paraId="2E80C216">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Lan, Q., Ma, P., Feng, S., Tan, Y., Liu, S., &amp; Zhai, Y. (2024). Air pollution and corporate financial assets allocation: evidence from China.</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Journal of Cleaner Production</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469, 143195.</w:t>
      </w:r>
    </w:p>
    <w:p w14:paraId="05825EBF">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Li, C., Liu, Q., Wang, W., Zeng, C., &amp; Zhou, P. (2025). Customer concentration and suppliers</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blockchain technology adoption: Evidence from China.</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Production and Operations Management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34(10), 3082-3100.</w:t>
      </w:r>
    </w:p>
    <w:p w14:paraId="7885FD8A">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Liang, L., &amp; Li, Y. (2025). CEO Ability and ESG Responsibility Fulfillment.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Business Ethics, the Environment &amp; Responsibility</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34(4), 2243-2258.</w:t>
      </w:r>
    </w:p>
    <w:p w14:paraId="7C2D700A">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Liu, G., Qian, H., Wu, Q., &amp; Han, F. (2024). Research on the masking effect of vertical interlock on ESG greenwashing in the context of sustainable Enterprise development.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Corporate Social Responsibility and Environmental Management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31(1), 196-209.</w:t>
      </w:r>
    </w:p>
    <w:p w14:paraId="5FDA7046">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Liu, G., Yang, Z., Zhang, F., &amp; Zhang, N. (2022). Environmental tax reform and environmental investment: A quasi-natural experiment based on China</w:t>
      </w:r>
      <w:r>
        <w:rPr>
          <w:rFonts w:hint="eastAsia" w:ascii="Times New Roman" w:hAnsi="Times New Roman" w:cs="Times New Roman"/>
          <w:color w:val="0D0D0D" w:themeColor="text1" w:themeTint="F2"/>
          <w:sz w:val="20"/>
          <w:szCs w:val="20"/>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s Environmental Protection Tax Law.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Energy Economics</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109, 106000.</w:t>
      </w:r>
    </w:p>
    <w:p w14:paraId="2ADC4062">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Ortiz</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de</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Mandojana, N., &amp; Bansal, P. (2016). The long‐term benefits of organizational resilience through sustainable business practices.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Strategic </w:t>
      </w: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M</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anagement </w:t>
      </w: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J</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ournal</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37(8), 1615-1631.</w:t>
      </w:r>
    </w:p>
    <w:p w14:paraId="31CB4E2B">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Pimentel Da Silva, G. D. (2021). Powering corporate citizenship: assessing corporate social responsibility of hydroelectric companies in Canada.</w:t>
      </w:r>
      <w:r>
        <w:rPr>
          <w:rFonts w:hint="eastAsia" w:ascii="Times New Roman" w:hAnsi="Times New Roman" w:eastAsia="宋体" w:cs="Times New Roman"/>
          <w:color w:val="0D0D0D" w:themeColor="text1" w:themeTint="F2"/>
          <w:sz w:val="20"/>
          <w:szCs w:val="20"/>
          <w:highlight w:val="none"/>
          <w:lang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Impact </w:t>
      </w:r>
      <w:r>
        <w:rPr>
          <w:rFonts w:hint="eastAsia"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A</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ssessment and </w:t>
      </w:r>
      <w:r>
        <w:rPr>
          <w:rFonts w:hint="eastAsia"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P</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 xml:space="preserve">roject </w:t>
      </w:r>
      <w:r>
        <w:rPr>
          <w:rFonts w:hint="eastAsia"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A</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ppraisal</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39(2), 127-137.</w:t>
      </w:r>
    </w:p>
    <w:p w14:paraId="7BD1624E">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Pinson, P., &amp; Madsen, H. (2014). Benefits and challenges of electrical demand response: A critical review.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Renewable and Sustainable Energy Reviews</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39, 686-699.</w:t>
      </w:r>
    </w:p>
    <w:p w14:paraId="5D170AE2">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Su, W., &amp; Zhao, X. (2025). The impact of common institutional ownership on green innovation of China</w:t>
      </w:r>
      <w:r>
        <w:rPr>
          <w:rFonts w:hint="eastAsia" w:ascii="Times New Roman" w:hAnsi="Times New Roman" w:eastAsia="宋体" w:cs="Times New Roman"/>
          <w:color w:val="0D0D0D" w:themeColor="text1" w:themeTint="F2"/>
          <w:sz w:val="20"/>
          <w:szCs w:val="20"/>
          <w:highlight w:val="none"/>
          <w:lang w:eastAsia="zh-CN"/>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s energy firms.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Humanities and Social Sciences Communications</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12(1), 1-21.</w:t>
      </w:r>
    </w:p>
    <w:p w14:paraId="721371F3">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Sun, J., Zu, N., &amp; Zhang, C. (2025). Big data and firm greenwashing: evidence from China</w:t>
      </w:r>
      <w:r>
        <w:rPr>
          <w:rFonts w:hint="eastAsia" w:ascii="Times New Roman" w:hAnsi="Times New Roman" w:eastAsia="宋体" w:cs="Times New Roman"/>
          <w:color w:val="0D0D0D" w:themeColor="text1" w:themeTint="F2"/>
          <w:sz w:val="20"/>
          <w:szCs w:val="20"/>
          <w:highlight w:val="none"/>
          <w:lang w:eastAsia="zh-CN"/>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s national big data comprehensive pilot zone.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Humanities and Social Sciences Communications</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12(1), 1-10.</w:t>
      </w:r>
    </w:p>
    <w:p w14:paraId="67B50CCE">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Tan, R., &amp; Lin, B. (2022). The long term effects of carbon trading markets in China: Evidence from energy intensive industries.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Science of The Total Environment</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806, 150311.</w:t>
      </w:r>
    </w:p>
    <w:p w14:paraId="7887E538">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Tang, C., Liu, X., &amp; Zhang, C. (2023). Does China</w:t>
      </w:r>
      <w:r>
        <w:rPr>
          <w:rFonts w:hint="eastAsia" w:ascii="Times New Roman" w:hAnsi="Times New Roman" w:cs="Times New Roman"/>
          <w:color w:val="0D0D0D" w:themeColor="text1" w:themeTint="F2"/>
          <w:sz w:val="20"/>
          <w:szCs w:val="20"/>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s green power trading policy play a role?-Evidence from renewable energy generation enterprises.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Journal of Environmental Management,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 345, 118775.</w:t>
      </w:r>
    </w:p>
    <w:p w14:paraId="4BA4BA50">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i w:val="0"/>
          <w:iCs w:val="0"/>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Torma, G., &amp; Aschemann-Witzel, J. (2024). Sparking stakeholder support: Creating personas for renewable energy innovation adoption based on qualitative data analysis.</w:t>
      </w:r>
      <w:r>
        <w:rPr>
          <w:rFonts w:hint="eastAsia" w:ascii="Times New Roman" w:hAnsi="Times New Roman" w:eastAsia="宋体" w:cs="Times New Roman"/>
          <w:color w:val="0D0D0D" w:themeColor="text1" w:themeTint="F2"/>
          <w:sz w:val="20"/>
          <w:szCs w:val="20"/>
          <w:highlight w:val="none"/>
          <w:lang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Energy Research &amp; Social Science</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109, 103407.</w:t>
      </w:r>
    </w:p>
    <w:p w14:paraId="2B0B358C">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Vaissalo, J., Dutta, A., Bouri, E., &amp; Azoury, N. (2024). Carbon emission allowances and Nordic electricity markets: Linkages and hedging analysis.</w:t>
      </w:r>
      <w:r>
        <w:rPr>
          <w:rFonts w:hint="eastAsia" w:ascii="Times New Roman" w:hAnsi="Times New Roman" w:eastAsia="宋体" w:cs="Times New Roman"/>
          <w:color w:val="0D0D0D" w:themeColor="text1" w:themeTint="F2"/>
          <w:sz w:val="20"/>
          <w:szCs w:val="20"/>
          <w:highlight w:val="none"/>
          <w:lang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Energy Reports</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12, 2845-2854.</w:t>
      </w:r>
    </w:p>
    <w:p w14:paraId="69F0BCA0">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Wang, J., &amp; Wang, S. (2023). The effect of electricity market reform on energy efficiency in China.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Energy Policy</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181, 113722.</w:t>
      </w:r>
    </w:p>
    <w:p w14:paraId="6A96B923">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Wang, Y., Li, G., Zhou, B., Ma, H., &amp; Li, Z. (2023). Optimal dispatch strategy for virtual power plants with adjustable capacity assessment of high-energy-consuming industrial loads participating in ancillary service markets.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Sustainability</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15(13), 10479.</w:t>
      </w:r>
    </w:p>
    <w:p w14:paraId="3806FDE7">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Wang, Y., Wu, Y., Feng, Y., &amp; Guo, B. (2025). Is the energy quota trading policy a solution to carbon inequality in China? Evidence from double machine learning.</w:t>
      </w:r>
      <w:r>
        <w:rPr>
          <w:rFonts w:hint="eastAsia" w:ascii="Times New Roman" w:hAnsi="Times New Roman" w:eastAsia="宋体" w:cs="Times New Roman"/>
          <w:color w:val="0D0D0D" w:themeColor="text1" w:themeTint="F2"/>
          <w:sz w:val="20"/>
          <w:szCs w:val="20"/>
          <w:highlight w:val="none"/>
          <w:lang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Journal of Environmental Management</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382, 125326.</w:t>
      </w:r>
    </w:p>
    <w:p w14:paraId="28BD83C5">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Wooldridge, J. M. (2009). On estimating firm-level production functions using proxy variables to control for unobservables.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 xml:space="preserve">Economics </w:t>
      </w:r>
      <w:r>
        <w:rPr>
          <w:rFonts w:hint="default" w:ascii="Times New Roman" w:hAnsi="Times New Roman"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L</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etters</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104(3), 112-114.</w:t>
      </w:r>
    </w:p>
    <w:p w14:paraId="2939E2E4">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Wu, Z., Zhou, M., Zhang, Z., Zhao, H., Wang, J., Xu, J., &amp; Li, G. (2022). An incentive profit-sharing mechanism for welfare transfer in balancing market integration.</w:t>
      </w:r>
      <w:r>
        <w:rPr>
          <w:rFonts w:hint="eastAsia" w:ascii="Times New Roman" w:hAnsi="Times New Roman" w:eastAsia="宋体" w:cs="Times New Roman"/>
          <w:color w:val="0D0D0D" w:themeColor="text1" w:themeTint="F2"/>
          <w:sz w:val="20"/>
          <w:szCs w:val="20"/>
          <w:highlight w:val="none"/>
          <w:lang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Renewable and Sustainable Energy Reviews</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sz w:val="20"/>
          <w:szCs w:val="20"/>
          <w:highlight w:val="none"/>
          <w:lang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168, 112762.</w:t>
      </w:r>
    </w:p>
    <w:p w14:paraId="31B883D4">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Yang, J., Dong, Z. Y., Wen, F., Chen, Q., &amp; Liang, B. (2021). Spot electricity market design for a power system characterized by high penetration of renewable energy generation.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Energy Conversion and Economics</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2(2), 67-78.</w:t>
      </w:r>
    </w:p>
    <w:p w14:paraId="678792DE">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Yang, X., Long, J., Lin, H., Cai, Z., &amp; Jiang, P. (2024). Enhancing efficiency or optimizing industrial structure? A comprehensive assessment of China</w:t>
      </w:r>
      <w:r>
        <w:rPr>
          <w:rFonts w:hint="eastAsia" w:ascii="Times New Roman" w:hAnsi="Times New Roman" w:cs="Times New Roman"/>
          <w:color w:val="0D0D0D" w:themeColor="text1" w:themeTint="F2"/>
          <w:sz w:val="20"/>
          <w:szCs w:val="20"/>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s energy consumption rights trading system.</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 xml:space="preserve"> Energy for Sustainable Development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78, 101380.</w:t>
      </w:r>
    </w:p>
    <w:p w14:paraId="3DC19F8E">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Yi, Y., Zhang, L., Du, L., &amp; Sun, H. (2024). Cross-regional integration of renewable energy and corporate carbon emissions: Evidence from China</w:t>
      </w:r>
      <w:r>
        <w:rPr>
          <w:rFonts w:hint="eastAsia" w:ascii="Times New Roman" w:hAnsi="Times New Roman" w:cs="Times New Roman"/>
          <w:color w:val="0D0D0D" w:themeColor="text1" w:themeTint="F2"/>
          <w:sz w:val="20"/>
          <w:szCs w:val="20"/>
          <w:highlight w:val="none"/>
          <w:lang w:eastAsia="zh-CN"/>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xml:space="preserve">s cross-regional surplus renewable energy spot trading pilot. </w:t>
      </w:r>
      <w:r>
        <w:rPr>
          <w:rFonts w:hint="default" w:ascii="Times New Roman" w:hAnsi="Times New Roman" w:cs="Times New Roman"/>
          <w:i/>
          <w:iCs/>
          <w:color w:val="0D0D0D" w:themeColor="text1" w:themeTint="F2"/>
          <w:sz w:val="20"/>
          <w:szCs w:val="20"/>
          <w:highlight w:val="none"/>
          <w14:textFill>
            <w14:solidFill>
              <w14:schemeClr w14:val="tx1">
                <w14:lumMod w14:val="95000"/>
                <w14:lumOff w14:val="5000"/>
              </w14:schemeClr>
            </w14:solidFill>
          </w14:textFill>
        </w:rPr>
        <w:t>Energy Economics</w:t>
      </w:r>
      <w:r>
        <w:rPr>
          <w:rFonts w:hint="default" w:ascii="Times New Roman" w:hAnsi="Times New Roman" w:cs="Times New Roman"/>
          <w:color w:val="0D0D0D" w:themeColor="text1" w:themeTint="F2"/>
          <w:sz w:val="20"/>
          <w:szCs w:val="20"/>
          <w:highlight w:val="none"/>
          <w14:textFill>
            <w14:solidFill>
              <w14:schemeClr w14:val="tx1">
                <w14:lumMod w14:val="95000"/>
                <w14:lumOff w14:val="5000"/>
              </w14:schemeClr>
            </w14:solidFill>
          </w14:textFill>
        </w:rPr>
        <w:t>, 135, 107649.</w:t>
      </w:r>
    </w:p>
    <w:p w14:paraId="3258D006">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Zhang, T. (2019). Which policy is more effective, carbon reduction in all industries or in high energy-consuming Industries?——from dual perspectives of welfare effects and economic effects.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Journal of Cleaner Production</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216, 184-196.</w:t>
      </w:r>
    </w:p>
    <w:p w14:paraId="26A3DCC1">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Zhang, X., Huang, Q., &amp; Shi, P. (2025). The comprehensive welfare effects of energy transition: Evidence from corporate ESG performance.</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xml:space="preserve"> </w:t>
      </w:r>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Ene</w:t>
      </w:r>
      <w:bookmarkStart w:id="0" w:name="_GoBack"/>
      <w:bookmarkEnd w:id="0"/>
      <w:r>
        <w:rPr>
          <w:rFonts w:hint="default" w:ascii="Times New Roman" w:hAnsi="Times New Roman" w:eastAsia="宋体" w:cs="Times New Roman"/>
          <w:i/>
          <w:iCs/>
          <w:color w:val="0D0D0D" w:themeColor="text1" w:themeTint="F2"/>
          <w:sz w:val="20"/>
          <w:szCs w:val="20"/>
          <w:highlight w:val="none"/>
          <w:lang w:val="en-US" w:eastAsia="zh-CN"/>
          <w14:textFill>
            <w14:solidFill>
              <w14:schemeClr w14:val="tx1">
                <w14:lumMod w14:val="95000"/>
                <w14:lumOff w14:val="5000"/>
              </w14:schemeClr>
            </w14:solidFill>
          </w14:textFill>
        </w:rPr>
        <w:t>rgy</w:t>
      </w:r>
      <w:r>
        <w:rPr>
          <w:rFonts w:hint="default"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 138982.</w:t>
      </w:r>
    </w:p>
    <w:p w14:paraId="54B5293A">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Zhao, X., Shang, Y., Ma, X., Xia, P., &amp; Shahzad, U. (2022)</w:t>
      </w:r>
      <w:r>
        <w:rPr>
          <w:rFonts w:hint="eastAsia" w:ascii="Times New Roman" w:hAnsi="Times New Roman" w:eastAsia="宋体" w:cs="Times New Roman"/>
          <w:color w:val="0D0D0D" w:themeColor="text1" w:themeTint="F2"/>
          <w:sz w:val="20"/>
          <w:szCs w:val="20"/>
          <w:highlight w:val="none"/>
          <w:lang w:val="en-US" w:eastAsia="zh-CN"/>
          <w14:textFill>
            <w14:solidFill>
              <w14:schemeClr w14:val="tx1">
                <w14:lumMod w14:val="95000"/>
                <w14:lumOff w14:val="5000"/>
              </w14:schemeClr>
            </w14:solidFill>
          </w14:textFill>
        </w:rPr>
        <w:t>a</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 Does carbon trading lead to green technology innovation: recent evidence from Chinese companies in resource-based industries.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IEEE Transactions on Engineering Management</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71, 2506-2523.</w:t>
      </w:r>
    </w:p>
    <w:p w14:paraId="4DE323CE">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Zheng, X., Wu, C., &amp; He, S. (2021). Impacts of China</w:t>
      </w:r>
      <w:r>
        <w:rPr>
          <w:rFonts w:hint="eastAsia" w:ascii="Times New Roman" w:hAnsi="Times New Roman" w:eastAsia="宋体" w:cs="Times New Roman"/>
          <w:color w:val="0D0D0D" w:themeColor="text1" w:themeTint="F2"/>
          <w:sz w:val="20"/>
          <w:szCs w:val="20"/>
          <w:highlight w:val="none"/>
          <w:lang w:eastAsia="zh-CN"/>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xml:space="preserve">s differential electricity pricing on the productivity of energy-intensive industries. </w:t>
      </w:r>
      <w:r>
        <w:rPr>
          <w:rFonts w:hint="default" w:ascii="Times New Roman" w:hAnsi="Times New Roman" w:eastAsia="宋体" w:cs="Times New Roman"/>
          <w:i/>
          <w:iCs/>
          <w:color w:val="0D0D0D" w:themeColor="text1" w:themeTint="F2"/>
          <w:sz w:val="20"/>
          <w:szCs w:val="20"/>
          <w:highlight w:val="none"/>
          <w14:textFill>
            <w14:solidFill>
              <w14:schemeClr w14:val="tx1">
                <w14:lumMod w14:val="95000"/>
                <w14:lumOff w14:val="5000"/>
              </w14:schemeClr>
            </w14:solidFill>
          </w14:textFill>
        </w:rPr>
        <w:t>Energy Economics</w:t>
      </w:r>
      <w:r>
        <w:rPr>
          <w:rFonts w:hint="default" w:ascii="Times New Roman" w:hAnsi="Times New Roman" w:eastAsia="宋体" w:cs="Times New Roman"/>
          <w:color w:val="0D0D0D" w:themeColor="text1" w:themeTint="F2"/>
          <w:sz w:val="20"/>
          <w:szCs w:val="20"/>
          <w:highlight w:val="none"/>
          <w14:textFill>
            <w14:solidFill>
              <w14:schemeClr w14:val="tx1">
                <w14:lumMod w14:val="95000"/>
                <w14:lumOff w14:val="5000"/>
              </w14:schemeClr>
            </w14:solidFill>
          </w14:textFill>
        </w:rPr>
        <w:t>, 94, 105050.</w:t>
      </w:r>
    </w:p>
    <w:p w14:paraId="705583C5">
      <w:pPr>
        <w:keepNext w:val="0"/>
        <w:keepLines w:val="0"/>
        <w:pageBreakBefore w:val="0"/>
        <w:kinsoku/>
        <w:wordWrap/>
        <w:overflowPunct/>
        <w:topLinePunct w:val="0"/>
        <w:autoSpaceDE/>
        <w:autoSpaceDN/>
        <w:bidi w:val="0"/>
        <w:adjustRightInd/>
        <w:snapToGrid/>
        <w:spacing w:line="400" w:lineRule="exact"/>
        <w:ind w:left="0" w:hanging="400" w:hangingChars="200"/>
        <w:jc w:val="both"/>
        <w:rPr>
          <w:rFonts w:hint="default" w:ascii="Times New Roman" w:hAnsi="Times New Roman" w:eastAsia="宋体" w:cs="Times New Roman"/>
          <w:i w:val="0"/>
          <w:iCs w:val="0"/>
          <w:color w:val="0D0D0D" w:themeColor="text1" w:themeTint="F2"/>
          <w:sz w:val="20"/>
          <w:szCs w:val="20"/>
          <w:highlight w:val="none"/>
          <w:lang w:val="en-US" w:eastAsia="zh-CN"/>
          <w14:textFill>
            <w14:solidFill>
              <w14:schemeClr w14:val="tx1">
                <w14:lumMod w14:val="95000"/>
                <w14:lumOff w14:val="5000"/>
              </w14:schemeClr>
            </w14:solidFill>
          </w14:textFill>
        </w:rPr>
      </w:pPr>
      <w:r>
        <w:rPr>
          <w:rFonts w:hint="default" w:ascii="Times New Roman" w:hAnsi="Times New Roman" w:eastAsia="宋体" w:cs="Times New Roman"/>
          <w:i w:val="0"/>
          <w:iCs w:val="0"/>
          <w:strike w:val="0"/>
          <w:dstrike w:val="0"/>
          <w:color w:val="0D0D0D" w:themeColor="text1" w:themeTint="F2"/>
          <w:sz w:val="20"/>
          <w:szCs w:val="20"/>
          <w:highlight w:val="none"/>
          <w:lang w:val="en-US" w:eastAsia="zh-CN"/>
          <w14:textFill>
            <w14:solidFill>
              <w14:schemeClr w14:val="tx1">
                <w14:lumMod w14:val="95000"/>
                <w14:lumOff w14:val="5000"/>
              </w14:schemeClr>
            </w14:solidFill>
          </w14:textFill>
        </w:rPr>
        <w:t xml:space="preserve">Zhou, Z., Zhou, X., Zhang, X., &amp; Chen, W. (2025). Judicial waves, ethical shifts: Bankruptcy courts and corporate ESG performance. </w:t>
      </w:r>
      <w:r>
        <w:rPr>
          <w:rFonts w:hint="default" w:ascii="Times New Roman" w:hAnsi="Times New Roman" w:eastAsia="宋体" w:cs="Times New Roman"/>
          <w:i/>
          <w:iCs/>
          <w:strike w:val="0"/>
          <w:dstrike w:val="0"/>
          <w:color w:val="0D0D0D" w:themeColor="text1" w:themeTint="F2"/>
          <w:sz w:val="20"/>
          <w:szCs w:val="20"/>
          <w:highlight w:val="none"/>
          <w:lang w:val="en-US" w:eastAsia="zh-CN"/>
          <w14:textFill>
            <w14:solidFill>
              <w14:schemeClr w14:val="tx1">
                <w14:lumMod w14:val="95000"/>
                <w14:lumOff w14:val="5000"/>
              </w14:schemeClr>
            </w14:solidFill>
          </w14:textFill>
        </w:rPr>
        <w:t>Journal of Business Ethics</w:t>
      </w:r>
      <w:r>
        <w:rPr>
          <w:rFonts w:hint="default" w:ascii="Times New Roman" w:hAnsi="Times New Roman" w:eastAsia="宋体" w:cs="Times New Roman"/>
          <w:i w:val="0"/>
          <w:iCs w:val="0"/>
          <w:strike w:val="0"/>
          <w:dstrike w:val="0"/>
          <w:color w:val="0D0D0D" w:themeColor="text1" w:themeTint="F2"/>
          <w:sz w:val="20"/>
          <w:szCs w:val="20"/>
          <w:highlight w:val="none"/>
          <w:lang w:val="en-US" w:eastAsia="zh-CN"/>
          <w14:textFill>
            <w14:solidFill>
              <w14:schemeClr w14:val="tx1">
                <w14:lumMod w14:val="95000"/>
                <w14:lumOff w14:val="5000"/>
              </w14:schemeClr>
            </w14:solidFill>
          </w14:textFill>
        </w:rPr>
        <w:t>, 198(3), 537-557.</w:t>
      </w:r>
    </w:p>
    <w:p w14:paraId="16DFF13D">
      <w:pPr>
        <w:keepNext w:val="0"/>
        <w:keepLines w:val="0"/>
        <w:pageBreakBefore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color w:val="0D0D0D" w:themeColor="text1" w:themeTint="F2"/>
          <w:sz w:val="22"/>
          <w:szCs w:val="22"/>
          <w:highlight w:val="none"/>
          <w:lang w:val="en-US" w:eastAsia="zh-CN"/>
          <w14:textFill>
            <w14:solidFill>
              <w14:schemeClr w14:val="tx1">
                <w14:lumMod w14:val="95000"/>
                <w14:lumOff w14:val="5000"/>
              </w14:schemeClr>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4999B">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67DA10">
                          <w:pPr>
                            <w:pStyle w:val="8"/>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967DA10">
                    <w:pPr>
                      <w:pStyle w:val="8"/>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40DABDEF">
      <w:pPr>
        <w:pStyle w:val="10"/>
        <w:snapToGrid w:val="0"/>
        <w:rPr>
          <w:rFonts w:hint="default" w:ascii="Times New Roman" w:hAnsi="Times New Roman" w:cs="Times New Roman" w:eastAsiaTheme="minorEastAsia"/>
          <w:color w:val="0D0D0D" w:themeColor="text1" w:themeTint="F2"/>
          <w:lang w:val="en-US" w:eastAsia="zh-CN"/>
          <w14:textFill>
            <w14:solidFill>
              <w14:schemeClr w14:val="tx1">
                <w14:lumMod w14:val="95000"/>
                <w14:lumOff w14:val="5000"/>
              </w14:schemeClr>
            </w14:solidFill>
          </w14:textFill>
        </w:rPr>
      </w:pPr>
      <w:r>
        <w:rPr>
          <w:rStyle w:val="16"/>
          <w:rFonts w:hint="default" w:ascii="Times New Roman" w:hAnsi="Times New Roman" w:cs="Times New Roman"/>
          <w:color w:val="0D0D0D" w:themeColor="text1" w:themeTint="F2"/>
          <w14:textFill>
            <w14:solidFill>
              <w14:schemeClr w14:val="tx1">
                <w14:lumMod w14:val="95000"/>
                <w14:lumOff w14:val="5000"/>
              </w14:schemeClr>
            </w14:solidFill>
          </w14:textFill>
        </w:rPr>
        <w:footnoteRef/>
      </w:r>
      <w:r>
        <w:rPr>
          <w:rFonts w:hint="default" w:ascii="Times New Roman" w:hAnsi="Times New Roman" w:cs="Times New Roman"/>
          <w:color w:val="0D0D0D" w:themeColor="text1" w:themeTint="F2"/>
          <w14:textFill>
            <w14:solidFill>
              <w14:schemeClr w14:val="tx1">
                <w14:lumMod w14:val="95000"/>
                <w14:lumOff w14:val="5000"/>
              </w14:schemeClr>
            </w14:solidFill>
          </w14:textFill>
        </w:rPr>
        <w:t xml:space="preserve"> </w:t>
      </w:r>
      <w:r>
        <w:rPr>
          <w:rFonts w:hint="default" w:ascii="Times New Roman" w:hAnsi="Times New Roman" w:cs="Times New Roman"/>
          <w:color w:val="0D0D0D" w:themeColor="text1" w:themeTint="F2"/>
          <w:lang w:val="en-US" w:eastAsia="zh-CN"/>
          <w14:textFill>
            <w14:solidFill>
              <w14:schemeClr w14:val="tx1">
                <w14:lumMod w14:val="95000"/>
                <w14:lumOff w14:val="5000"/>
              </w14:schemeClr>
            </w14:solidFill>
          </w14:textFill>
        </w:rPr>
        <w:t>See: https://www.gcl-et.com/esg.html</w:t>
      </w:r>
    </w:p>
  </w:footnote>
  <w:footnote w:id="1">
    <w:p w14:paraId="5E88E9C2">
      <w:pPr>
        <w:pStyle w:val="10"/>
        <w:snapToGrid w:val="0"/>
        <w:rPr>
          <w:rFonts w:hint="default" w:ascii="Times New Roman" w:hAnsi="Times New Roman" w:cs="Times New Roman"/>
          <w:color w:val="0D0D0D" w:themeColor="text1" w:themeTint="F2"/>
          <w14:textFill>
            <w14:solidFill>
              <w14:schemeClr w14:val="tx1">
                <w14:lumMod w14:val="95000"/>
                <w14:lumOff w14:val="5000"/>
              </w14:schemeClr>
            </w14:solidFill>
          </w14:textFill>
        </w:rPr>
      </w:pPr>
      <w:r>
        <w:rPr>
          <w:rStyle w:val="16"/>
          <w:rFonts w:hint="default" w:ascii="Times New Roman" w:hAnsi="Times New Roman" w:cs="Times New Roman"/>
          <w:color w:val="0D0D0D" w:themeColor="text1" w:themeTint="F2"/>
          <w14:textFill>
            <w14:solidFill>
              <w14:schemeClr w14:val="tx1">
                <w14:lumMod w14:val="95000"/>
                <w14:lumOff w14:val="5000"/>
              </w14:schemeClr>
            </w14:solidFill>
          </w14:textFill>
        </w:rPr>
        <w:footnoteRef/>
      </w:r>
      <w:r>
        <w:rPr>
          <w:rFonts w:hint="default" w:ascii="Times New Roman" w:hAnsi="Times New Roman" w:cs="Times New Roman"/>
          <w:color w:val="0D0D0D" w:themeColor="text1" w:themeTint="F2"/>
          <w14:textFill>
            <w14:solidFill>
              <w14:schemeClr w14:val="tx1">
                <w14:lumMod w14:val="95000"/>
                <w14:lumOff w14:val="5000"/>
              </w14:schemeClr>
            </w14:solidFill>
          </w14:textFill>
        </w:rPr>
        <w:t xml:space="preserve"> https://www.chindices.com/esg-ratings.html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1E01AC"/>
    <w:rsid w:val="04B1068B"/>
    <w:rsid w:val="066466EB"/>
    <w:rsid w:val="09AC7259"/>
    <w:rsid w:val="0C290057"/>
    <w:rsid w:val="0D06536D"/>
    <w:rsid w:val="0FFF32EC"/>
    <w:rsid w:val="10D60B3D"/>
    <w:rsid w:val="13275128"/>
    <w:rsid w:val="15D0570C"/>
    <w:rsid w:val="18BA7150"/>
    <w:rsid w:val="1D2610CF"/>
    <w:rsid w:val="1D9C6312"/>
    <w:rsid w:val="204B6589"/>
    <w:rsid w:val="23B7306D"/>
    <w:rsid w:val="26E079BC"/>
    <w:rsid w:val="303A66FD"/>
    <w:rsid w:val="328A51AB"/>
    <w:rsid w:val="32F04CDF"/>
    <w:rsid w:val="3AE02CFE"/>
    <w:rsid w:val="3C146221"/>
    <w:rsid w:val="42611F16"/>
    <w:rsid w:val="444B1796"/>
    <w:rsid w:val="4492555F"/>
    <w:rsid w:val="46C3465D"/>
    <w:rsid w:val="48927C32"/>
    <w:rsid w:val="4DC40DEA"/>
    <w:rsid w:val="4FF31631"/>
    <w:rsid w:val="51E647EE"/>
    <w:rsid w:val="520856D2"/>
    <w:rsid w:val="54DF0B0E"/>
    <w:rsid w:val="57144B90"/>
    <w:rsid w:val="58117BF1"/>
    <w:rsid w:val="5CC91F79"/>
    <w:rsid w:val="5DBA1BF8"/>
    <w:rsid w:val="635C7942"/>
    <w:rsid w:val="64803865"/>
    <w:rsid w:val="670B1FE4"/>
    <w:rsid w:val="67D619EE"/>
    <w:rsid w:val="6C201436"/>
    <w:rsid w:val="6ECB4B09"/>
    <w:rsid w:val="6F8E0E92"/>
    <w:rsid w:val="70CC0E40"/>
    <w:rsid w:val="73BD7A3A"/>
    <w:rsid w:val="744D1740"/>
    <w:rsid w:val="751E01AC"/>
    <w:rsid w:val="75286337"/>
    <w:rsid w:val="774C5FA7"/>
    <w:rsid w:val="78E56F0F"/>
    <w:rsid w:val="7924080B"/>
    <w:rsid w:val="7A636C19"/>
    <w:rsid w:val="7DD640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0"/>
    <w:qFormat/>
    <w:uiPriority w:val="0"/>
    <w:pPr>
      <w:spacing w:before="50" w:beforeLines="50" w:after="50" w:afterLines="50"/>
      <w:jc w:val="left"/>
      <w:outlineLvl w:val="0"/>
    </w:pPr>
    <w:rPr>
      <w:rFonts w:ascii="黑体" w:hAnsi="黑体" w:eastAsia="黑体" w:cs="宋体"/>
      <w:b/>
      <w:sz w:val="36"/>
      <w:szCs w:val="36"/>
    </w:rPr>
  </w:style>
  <w:style w:type="paragraph" w:styleId="3">
    <w:name w:val="heading 2"/>
    <w:basedOn w:val="1"/>
    <w:next w:val="1"/>
    <w:link w:val="19"/>
    <w:semiHidden/>
    <w:unhideWhenUsed/>
    <w:qFormat/>
    <w:uiPriority w:val="0"/>
    <w:pPr>
      <w:ind w:firstLine="600" w:firstLineChars="200"/>
      <w:outlineLvl w:val="1"/>
    </w:pPr>
    <w:rPr>
      <w:rFonts w:ascii="Times New Roman" w:hAnsi="Times New Roman" w:eastAsia="黑体" w:cs="Times New Roman"/>
      <w:b/>
      <w:sz w:val="28"/>
      <w:szCs w:val="24"/>
    </w:rPr>
  </w:style>
  <w:style w:type="paragraph" w:styleId="4">
    <w:name w:val="heading 3"/>
    <w:basedOn w:val="1"/>
    <w:next w:val="1"/>
    <w:link w:val="17"/>
    <w:semiHidden/>
    <w:unhideWhenUsed/>
    <w:qFormat/>
    <w:uiPriority w:val="0"/>
    <w:pPr>
      <w:keepNext/>
      <w:keepLines/>
      <w:spacing w:beforeLines="0" w:beforeAutospacing="0" w:afterLines="0" w:afterAutospacing="0" w:line="240" w:lineRule="auto"/>
      <w:ind w:firstLine="600" w:firstLineChars="200"/>
      <w:outlineLvl w:val="2"/>
    </w:pPr>
    <w:rPr>
      <w:rFonts w:ascii="Times New Roman" w:hAnsi="Times New Roman" w:eastAsia="黑体" w:cs="宋体"/>
      <w:b/>
      <w:sz w:val="24"/>
      <w:szCs w:val="22"/>
    </w:rPr>
  </w:style>
  <w:style w:type="paragraph" w:styleId="5">
    <w:name w:val="heading 4"/>
    <w:basedOn w:val="1"/>
    <w:next w:val="1"/>
    <w:semiHidden/>
    <w:unhideWhenUsed/>
    <w:qFormat/>
    <w:uiPriority w:val="0"/>
    <w:pPr>
      <w:keepNext/>
      <w:keepLines/>
      <w:spacing w:before="280" w:beforeLines="0" w:beforeAutospacing="0" w:after="290" w:afterLines="0" w:afterAutospacing="0" w:line="372" w:lineRule="auto"/>
      <w:ind w:firstLine="0"/>
      <w:outlineLvl w:val="3"/>
    </w:pPr>
    <w:rPr>
      <w:rFonts w:ascii="Times New Roman" w:hAnsi="Times New Roman" w:eastAsia="黑体"/>
      <w:b/>
      <w:sz w:val="24"/>
    </w:rPr>
  </w:style>
  <w:style w:type="paragraph" w:styleId="6">
    <w:name w:val="heading 5"/>
    <w:basedOn w:val="1"/>
    <w:next w:val="1"/>
    <w:link w:val="18"/>
    <w:semiHidden/>
    <w:unhideWhenUsed/>
    <w:qFormat/>
    <w:uiPriority w:val="0"/>
    <w:pPr>
      <w:keepNext/>
      <w:keepLines/>
      <w:spacing w:line="360" w:lineRule="auto"/>
      <w:outlineLvl w:val="4"/>
    </w:pPr>
    <w:rPr>
      <w:rFonts w:ascii="Times New Roman" w:hAnsi="Times New Roman" w:eastAsia="宋体"/>
      <w:b/>
      <w:sz w:val="24"/>
    </w:rPr>
  </w:style>
  <w:style w:type="character" w:default="1" w:styleId="14">
    <w:name w:val="Default Paragraph Font"/>
    <w:semiHidden/>
    <w:unhideWhenUsed/>
    <w:qFormat/>
    <w:uiPriority w:val="1"/>
  </w:style>
  <w:style w:type="table" w:default="1" w:styleId="12">
    <w:name w:val="Normal Table"/>
    <w:semiHidden/>
    <w:qFormat/>
    <w:uiPriority w:val="0"/>
    <w:tblPr>
      <w:tblCellMar>
        <w:top w:w="0" w:type="dxa"/>
        <w:left w:w="108" w:type="dxa"/>
        <w:bottom w:w="0" w:type="dxa"/>
        <w:right w:w="108" w:type="dxa"/>
      </w:tblCellMar>
    </w:tbl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footnote text"/>
    <w:basedOn w:val="1"/>
    <w:qFormat/>
    <w:uiPriority w:val="0"/>
    <w:pPr>
      <w:snapToGrid w:val="0"/>
      <w:jc w:val="left"/>
    </w:pPr>
    <w:rPr>
      <w:sz w:val="18"/>
    </w:rPr>
  </w:style>
  <w:style w:type="paragraph" w:styleId="11">
    <w:name w:val="Normal (Web)"/>
    <w:basedOn w:val="1"/>
    <w:qFormat/>
    <w:uiPriority w:val="0"/>
    <w:pPr>
      <w:spacing w:beforeAutospacing="1" w:afterAutospacing="1"/>
      <w:jc w:val="left"/>
    </w:pPr>
    <w:rPr>
      <w:rFonts w:cs="Times New Roman"/>
      <w:kern w:val="0"/>
      <w:sz w:val="24"/>
    </w:rPr>
  </w:style>
  <w:style w:type="table" w:styleId="13">
    <w:name w:val="Table Grid"/>
    <w:basedOn w:val="1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unhideWhenUsed/>
    <w:qFormat/>
    <w:uiPriority w:val="99"/>
    <w:rPr>
      <w:color w:val="0026E5" w:themeColor="hyperlink"/>
      <w:u w:val="single"/>
      <w14:textFill>
        <w14:solidFill>
          <w14:schemeClr w14:val="hlink"/>
        </w14:solidFill>
      </w14:textFill>
    </w:rPr>
  </w:style>
  <w:style w:type="character" w:styleId="16">
    <w:name w:val="footnote reference"/>
    <w:basedOn w:val="14"/>
    <w:qFormat/>
    <w:uiPriority w:val="0"/>
    <w:rPr>
      <w:vertAlign w:val="superscript"/>
    </w:rPr>
  </w:style>
  <w:style w:type="character" w:customStyle="1" w:styleId="17">
    <w:name w:val="标题 3 字符"/>
    <w:basedOn w:val="14"/>
    <w:link w:val="4"/>
    <w:semiHidden/>
    <w:qFormat/>
    <w:uiPriority w:val="0"/>
    <w:rPr>
      <w:rFonts w:ascii="Times New Roman" w:hAnsi="Times New Roman" w:eastAsia="宋体" w:cs="宋体"/>
      <w:b/>
      <w:sz w:val="28"/>
      <w:szCs w:val="22"/>
    </w:rPr>
  </w:style>
  <w:style w:type="character" w:customStyle="1" w:styleId="18">
    <w:name w:val="标题 5 字符"/>
    <w:basedOn w:val="14"/>
    <w:link w:val="6"/>
    <w:semiHidden/>
    <w:qFormat/>
    <w:uiPriority w:val="0"/>
    <w:rPr>
      <w:rFonts w:ascii="Times New Roman" w:hAnsi="Times New Roman" w:eastAsia="宋体"/>
      <w:b/>
      <w:sz w:val="24"/>
    </w:rPr>
  </w:style>
  <w:style w:type="character" w:customStyle="1" w:styleId="19">
    <w:name w:val="标题 2 字符"/>
    <w:basedOn w:val="14"/>
    <w:link w:val="3"/>
    <w:qFormat/>
    <w:uiPriority w:val="0"/>
    <w:rPr>
      <w:rFonts w:ascii="Times New Roman" w:hAnsi="Times New Roman" w:eastAsia="黑体" w:cs="Times New Roman"/>
      <w:b/>
      <w:sz w:val="28"/>
      <w:szCs w:val="24"/>
    </w:rPr>
  </w:style>
  <w:style w:type="character" w:customStyle="1" w:styleId="20">
    <w:name w:val="标题 1 字符"/>
    <w:basedOn w:val="14"/>
    <w:link w:val="2"/>
    <w:qFormat/>
    <w:uiPriority w:val="0"/>
    <w:rPr>
      <w:rFonts w:ascii="黑体" w:hAnsi="黑体" w:eastAsia="黑体" w:cs="宋体"/>
      <w:b/>
      <w:sz w:val="36"/>
      <w:szCs w:val="36"/>
    </w:rPr>
  </w:style>
  <w:style w:type="paragraph" w:customStyle="1" w:styleId="21">
    <w:name w:val="1级标题"/>
    <w:basedOn w:val="2"/>
    <w:next w:val="22"/>
    <w:qFormat/>
    <w:uiPriority w:val="0"/>
  </w:style>
  <w:style w:type="paragraph" w:customStyle="1" w:styleId="22">
    <w:name w:val="5正文"/>
    <w:basedOn w:val="1"/>
    <w:qFormat/>
    <w:uiPriority w:val="0"/>
    <w:pPr>
      <w:ind w:firstLine="200" w:firstLineChars="200"/>
    </w:pPr>
  </w:style>
  <w:style w:type="paragraph" w:customStyle="1" w:styleId="23">
    <w:name w:val="EndNote Bibliography"/>
    <w:basedOn w:val="1"/>
    <w:qFormat/>
    <w:uiPriority w:val="0"/>
    <w:pPr>
      <w:ind w:firstLine="400" w:firstLineChars="200"/>
    </w:pPr>
    <w:rPr>
      <w:rFonts w:ascii="Times New Roman" w:hAnsi="Times New Roman" w:eastAsia="Times New Roman" w:cs="Times New Roman"/>
      <w:sz w:val="20"/>
    </w:rPr>
  </w:style>
  <w:style w:type="paragraph" w:customStyle="1" w:styleId="24">
    <w:name w:val="2级标题"/>
    <w:basedOn w:val="3"/>
    <w:next w:val="22"/>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51</Pages>
  <Words>1335</Words>
  <Characters>7770</Characters>
  <Lines>0</Lines>
  <Paragraphs>0</Paragraphs>
  <TotalTime>2</TotalTime>
  <ScaleCrop>false</ScaleCrop>
  <LinksUpToDate>false</LinksUpToDate>
  <CharactersWithSpaces>8503</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2026-03-17T11:38:00Z</dcterms:created>
  <dc:creator>zcc19</dc:creator>
  <cp:lastModifiedBy>ZCC</cp:lastModifiedBy>
  <dcterms:modified xsi:type="dcterms:W3CDTF">2026-08-25T10:04:23Z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D6B944DB27A247F2AA2CCB1FB0051001_11</vt:lpwstr>
  </property>
  <property fmtid="{D5CDD505-2E9C-101B-9397-08002B2CF9AE}" pid="4" name="KSOTemplateDocerSaveRecord">
    <vt:lpwstr>eyJoZGlkIjoiMDYzYTExYjk3ZjRhNjZjOGEwNzViZmE0MjUzZDIzNTMiLCJ1c2VySWQiOiIyODAxOTc5MDcifQ==</vt:lpwstr>
  </property>
</Properties>
</file>