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E1790" w14:textId="5795AD28" w:rsidR="00C61671" w:rsidRDefault="00C61671" w:rsidP="00C61671">
      <w:pPr>
        <w:spacing w:line="360" w:lineRule="auto"/>
        <w:jc w:val="center"/>
        <w:rPr>
          <w:b/>
          <w:szCs w:val="24"/>
        </w:rPr>
      </w:pPr>
      <w:r>
        <w:rPr>
          <w:b/>
          <w:szCs w:val="24"/>
        </w:rPr>
        <w:t>SUPPLEMENT TO</w:t>
      </w:r>
      <w:r>
        <w:rPr>
          <w:szCs w:val="24"/>
        </w:rPr>
        <w:t xml:space="preserve"> </w:t>
      </w:r>
      <w:r w:rsidR="00E70244">
        <w:rPr>
          <w:szCs w:val="24"/>
        </w:rPr>
        <w:t>“</w:t>
      </w:r>
      <w:r>
        <w:rPr>
          <w:b/>
          <w:szCs w:val="24"/>
        </w:rPr>
        <w:t>NOBLE GASES, CARBON AND NITROGEN ISOTOPES IN DIFFERENT LITHOLOGIES OF PESYANOE: IRRADIATION HISTORY AND IMPACT PROCESSES ON THE AUBRITE PARENT BODY”</w:t>
      </w:r>
      <w:r>
        <w:rPr>
          <w:b/>
          <w:szCs w:val="24"/>
        </w:rPr>
        <w:br/>
      </w:r>
    </w:p>
    <w:p w14:paraId="38B76995" w14:textId="64EB3D90" w:rsidR="00C61671" w:rsidRDefault="00C61671" w:rsidP="00C61671">
      <w:pPr>
        <w:spacing w:line="360" w:lineRule="auto"/>
        <w:jc w:val="center"/>
        <w:rPr>
          <w:bCs/>
          <w:szCs w:val="24"/>
        </w:rPr>
      </w:pPr>
      <w:r>
        <w:rPr>
          <w:bCs/>
          <w:szCs w:val="24"/>
        </w:rPr>
        <w:t xml:space="preserve">A.I. Buikin, A.B. Verchovsky, J. Hopp, C.A. Lorenz, E.V. Korochantseva, </w:t>
      </w:r>
      <w:r>
        <w:rPr>
          <w:bCs/>
          <w:szCs w:val="24"/>
        </w:rPr>
        <w:br/>
        <w:t>M. Trieloff and U. Ott</w:t>
      </w:r>
    </w:p>
    <w:p w14:paraId="2FA598BA" w14:textId="7EE0E21F" w:rsidR="00C61671" w:rsidRDefault="00C61671" w:rsidP="00C61671">
      <w:pPr>
        <w:spacing w:line="360" w:lineRule="auto"/>
        <w:jc w:val="center"/>
        <w:rPr>
          <w:bCs/>
          <w:szCs w:val="24"/>
        </w:rPr>
      </w:pPr>
    </w:p>
    <w:p w14:paraId="144FB534" w14:textId="34CCB6D4" w:rsidR="00C61671" w:rsidRPr="00726472" w:rsidRDefault="0078639F" w:rsidP="00271C8C">
      <w:pPr>
        <w:spacing w:line="360" w:lineRule="auto"/>
        <w:ind w:firstLine="567"/>
        <w:rPr>
          <w:bCs/>
          <w:szCs w:val="24"/>
        </w:rPr>
      </w:pPr>
      <w:r>
        <w:rPr>
          <w:bCs/>
          <w:szCs w:val="24"/>
        </w:rPr>
        <w:t xml:space="preserve">As noted in the main text (section </w:t>
      </w:r>
      <w:r w:rsidR="00301F5E">
        <w:rPr>
          <w:bCs/>
          <w:szCs w:val="24"/>
        </w:rPr>
        <w:t>5.1</w:t>
      </w:r>
      <w:r>
        <w:rPr>
          <w:bCs/>
          <w:szCs w:val="24"/>
        </w:rPr>
        <w:t xml:space="preserve">), the step combustion results deliver Ne data that </w:t>
      </w:r>
      <w:r w:rsidR="001200FD">
        <w:rPr>
          <w:bCs/>
          <w:szCs w:val="24"/>
        </w:rPr>
        <w:t>appear</w:t>
      </w:r>
      <w:r>
        <w:rPr>
          <w:bCs/>
          <w:szCs w:val="24"/>
        </w:rPr>
        <w:t xml:space="preserve">, at first </w:t>
      </w:r>
      <w:r w:rsidR="00FE2E99">
        <w:rPr>
          <w:bCs/>
          <w:szCs w:val="24"/>
        </w:rPr>
        <w:t>glance</w:t>
      </w:r>
      <w:r>
        <w:rPr>
          <w:bCs/>
          <w:szCs w:val="24"/>
        </w:rPr>
        <w:t>, puzzling. In particular, several data in Fig. 3 plot significantly below a mixing line between GCR-produced Ne and fractionated solar wind Ne (FSW-Ne) as seen / inferred from lunar data (Benkert et al., 1993; Wieler</w:t>
      </w:r>
      <w:r w:rsidR="00FF62E3">
        <w:rPr>
          <w:bCs/>
          <w:szCs w:val="24"/>
        </w:rPr>
        <w:t>,</w:t>
      </w:r>
      <w:r>
        <w:rPr>
          <w:bCs/>
          <w:szCs w:val="24"/>
        </w:rPr>
        <w:t xml:space="preserve"> </w:t>
      </w:r>
      <w:r w:rsidR="00ED5BD5">
        <w:rPr>
          <w:bCs/>
          <w:szCs w:val="24"/>
        </w:rPr>
        <w:t>2002</w:t>
      </w:r>
      <w:r>
        <w:rPr>
          <w:bCs/>
          <w:szCs w:val="24"/>
        </w:rPr>
        <w:t>) or other meteorites, including such of lunar origin (Korochantseva</w:t>
      </w:r>
      <w:r w:rsidR="00E70244">
        <w:rPr>
          <w:bCs/>
          <w:szCs w:val="24"/>
        </w:rPr>
        <w:t xml:space="preserve"> et al.</w:t>
      </w:r>
      <w:r w:rsidR="0096366C">
        <w:rPr>
          <w:bCs/>
          <w:szCs w:val="24"/>
        </w:rPr>
        <w:t xml:space="preserve"> 2018, 2021, 2022)</w:t>
      </w:r>
      <w:r w:rsidR="00726472">
        <w:rPr>
          <w:bCs/>
          <w:szCs w:val="24"/>
        </w:rPr>
        <w:t xml:space="preserve">. Inferring the </w:t>
      </w:r>
      <w:r w:rsidR="00726472">
        <w:rPr>
          <w:bCs/>
          <w:szCs w:val="24"/>
          <w:vertAlign w:val="superscript"/>
        </w:rPr>
        <w:t>20</w:t>
      </w:r>
      <w:r w:rsidR="00726472">
        <w:rPr>
          <w:bCs/>
          <w:szCs w:val="24"/>
        </w:rPr>
        <w:t>Ne/</w:t>
      </w:r>
      <w:r w:rsidR="00726472">
        <w:rPr>
          <w:bCs/>
          <w:szCs w:val="24"/>
          <w:vertAlign w:val="superscript"/>
        </w:rPr>
        <w:t>22</w:t>
      </w:r>
      <w:r w:rsidR="00726472">
        <w:rPr>
          <w:bCs/>
          <w:szCs w:val="24"/>
        </w:rPr>
        <w:t>Ne of an “apparent” FSW-Ne by extending, in Fig. 3 of the manuscript, a mixing line between cosmogenic Ne and a low</w:t>
      </w:r>
      <w:r w:rsidR="0065646F">
        <w:rPr>
          <w:bCs/>
          <w:szCs w:val="24"/>
        </w:rPr>
        <w:t xml:space="preserve"> </w:t>
      </w:r>
      <w:r w:rsidR="00726472">
        <w:rPr>
          <w:bCs/>
          <w:szCs w:val="24"/>
          <w:vertAlign w:val="superscript"/>
        </w:rPr>
        <w:t>21</w:t>
      </w:r>
      <w:r w:rsidR="00726472">
        <w:rPr>
          <w:bCs/>
          <w:szCs w:val="24"/>
        </w:rPr>
        <w:t>Ne/</w:t>
      </w:r>
      <w:r w:rsidR="00726472">
        <w:rPr>
          <w:bCs/>
          <w:szCs w:val="24"/>
          <w:vertAlign w:val="superscript"/>
        </w:rPr>
        <w:t>22</w:t>
      </w:r>
      <w:r w:rsidR="00726472">
        <w:rPr>
          <w:bCs/>
          <w:szCs w:val="24"/>
        </w:rPr>
        <w:t xml:space="preserve">Ne </w:t>
      </w:r>
      <w:r w:rsidR="00950672">
        <w:rPr>
          <w:bCs/>
          <w:szCs w:val="24"/>
        </w:rPr>
        <w:t xml:space="preserve">ratio </w:t>
      </w:r>
      <w:r w:rsidR="00726472">
        <w:rPr>
          <w:bCs/>
          <w:szCs w:val="24"/>
        </w:rPr>
        <w:t xml:space="preserve">befitting FSW, leads to surprisingly low values, down to &lt;6 (as compared to </w:t>
      </w:r>
      <w:r w:rsidR="00FE2E99">
        <w:rPr>
          <w:bCs/>
          <w:szCs w:val="24"/>
        </w:rPr>
        <w:t xml:space="preserve">a </w:t>
      </w:r>
      <w:r w:rsidR="00726472">
        <w:rPr>
          <w:bCs/>
          <w:szCs w:val="24"/>
        </w:rPr>
        <w:t>value of 11.</w:t>
      </w:r>
      <w:r w:rsidR="00ED5BD5">
        <w:rPr>
          <w:bCs/>
          <w:szCs w:val="24"/>
        </w:rPr>
        <w:t>2</w:t>
      </w:r>
      <w:r w:rsidR="00726472">
        <w:rPr>
          <w:bCs/>
          <w:szCs w:val="24"/>
        </w:rPr>
        <w:t xml:space="preserve"> in the “classical” FSW; Wieler, 2002).</w:t>
      </w:r>
    </w:p>
    <w:p w14:paraId="6CCB3D70" w14:textId="4E2AB44D" w:rsidR="00E70244" w:rsidRDefault="00E66DFA" w:rsidP="00271C8C">
      <w:pPr>
        <w:spacing w:line="360" w:lineRule="auto"/>
        <w:ind w:firstLine="567"/>
        <w:rPr>
          <w:bCs/>
          <w:szCs w:val="24"/>
        </w:rPr>
      </w:pPr>
      <w:r>
        <w:rPr>
          <w:bCs/>
          <w:szCs w:val="24"/>
        </w:rPr>
        <w:t>E</w:t>
      </w:r>
      <w:r w:rsidR="00E70244">
        <w:rPr>
          <w:bCs/>
          <w:szCs w:val="24"/>
        </w:rPr>
        <w:t xml:space="preserve">xact modelling is beyond the scope of our manuscript, </w:t>
      </w:r>
      <w:r>
        <w:rPr>
          <w:bCs/>
          <w:szCs w:val="24"/>
        </w:rPr>
        <w:t xml:space="preserve">but </w:t>
      </w:r>
      <w:r w:rsidR="00E70244">
        <w:rPr>
          <w:bCs/>
          <w:szCs w:val="24"/>
        </w:rPr>
        <w:t xml:space="preserve">we have, nevertheless, attempted some crude qualitative / semi-quantitative </w:t>
      </w:r>
      <w:r w:rsidR="00950672">
        <w:rPr>
          <w:bCs/>
          <w:szCs w:val="24"/>
        </w:rPr>
        <w:t>estimates</w:t>
      </w:r>
      <w:r w:rsidR="00E70244">
        <w:rPr>
          <w:bCs/>
          <w:szCs w:val="24"/>
        </w:rPr>
        <w:t xml:space="preserve"> in order to obtain an idea how variable erosion and cosmogenic contributions (either “early” on the parent body, or “late” during the common cosmic ray exposure experienced during transit to Earth)</w:t>
      </w:r>
      <w:r w:rsidR="00950672">
        <w:rPr>
          <w:bCs/>
          <w:szCs w:val="24"/>
        </w:rPr>
        <w:t xml:space="preserve"> affect the outcome</w:t>
      </w:r>
      <w:r>
        <w:rPr>
          <w:bCs/>
          <w:szCs w:val="24"/>
        </w:rPr>
        <w:t xml:space="preserve">. </w:t>
      </w:r>
      <w:r w:rsidR="00950672">
        <w:rPr>
          <w:bCs/>
          <w:szCs w:val="24"/>
        </w:rPr>
        <w:t>The calculations are based on the range-energy relations of the SRIM Code (Ziegler</w:t>
      </w:r>
      <w:r w:rsidR="00FF62E3">
        <w:rPr>
          <w:bCs/>
          <w:szCs w:val="24"/>
        </w:rPr>
        <w:t>,</w:t>
      </w:r>
      <w:r w:rsidR="00950672">
        <w:rPr>
          <w:bCs/>
          <w:szCs w:val="24"/>
        </w:rPr>
        <w:t xml:space="preserve"> 2010), for </w:t>
      </w:r>
      <w:r w:rsidR="0065646F">
        <w:rPr>
          <w:bCs/>
          <w:szCs w:val="24"/>
        </w:rPr>
        <w:t>energy</w:t>
      </w:r>
      <w:r w:rsidR="00950672">
        <w:rPr>
          <w:bCs/>
          <w:szCs w:val="24"/>
        </w:rPr>
        <w:t xml:space="preserve"> of 1 keV/nucleon, typical of SW ions. </w:t>
      </w:r>
      <w:r w:rsidR="00271C8C">
        <w:rPr>
          <w:bCs/>
          <w:szCs w:val="24"/>
        </w:rPr>
        <w:t>Pure enstatite (</w:t>
      </w:r>
      <w:r w:rsidR="00271C8C" w:rsidRPr="00271C8C">
        <w:rPr>
          <w:bCs/>
          <w:szCs w:val="24"/>
        </w:rPr>
        <w:t>MgSiO</w:t>
      </w:r>
      <w:r w:rsidR="00271C8C" w:rsidRPr="00271C8C">
        <w:rPr>
          <w:bCs/>
          <w:szCs w:val="24"/>
          <w:vertAlign w:val="subscript"/>
        </w:rPr>
        <w:t>3</w:t>
      </w:r>
      <w:r w:rsidR="00271C8C">
        <w:rPr>
          <w:bCs/>
          <w:szCs w:val="24"/>
        </w:rPr>
        <w:t xml:space="preserve">) with a density of 3.2 g/cm³ was assumed for the target composition. </w:t>
      </w:r>
      <w:r w:rsidR="00950672" w:rsidRPr="00271C8C">
        <w:rPr>
          <w:bCs/>
          <w:szCs w:val="24"/>
        </w:rPr>
        <w:t>We</w:t>
      </w:r>
      <w:r w:rsidR="00950672">
        <w:rPr>
          <w:bCs/>
          <w:szCs w:val="24"/>
        </w:rPr>
        <w:t xml:space="preserve"> take into account the effect of longitudinal straggling (assumed to conform to a Gaussian distribution around the mean value), but not those of lateral straggling or backscattering</w:t>
      </w:r>
      <w:r w:rsidR="00924711">
        <w:rPr>
          <w:bCs/>
          <w:szCs w:val="24"/>
        </w:rPr>
        <w:t xml:space="preserve"> </w:t>
      </w:r>
      <w:r w:rsidR="004010CB">
        <w:rPr>
          <w:bCs/>
          <w:szCs w:val="24"/>
        </w:rPr>
        <w:t xml:space="preserve">(for additional </w:t>
      </w:r>
      <w:r w:rsidR="00924711">
        <w:rPr>
          <w:bCs/>
          <w:szCs w:val="24"/>
        </w:rPr>
        <w:t xml:space="preserve">information </w:t>
      </w:r>
      <w:r w:rsidR="004010CB">
        <w:rPr>
          <w:bCs/>
          <w:szCs w:val="24"/>
        </w:rPr>
        <w:t>see</w:t>
      </w:r>
      <w:r w:rsidR="00924711">
        <w:rPr>
          <w:bCs/>
          <w:szCs w:val="24"/>
        </w:rPr>
        <w:t xml:space="preserve"> Fig S1</w:t>
      </w:r>
      <w:r w:rsidR="004010CB">
        <w:rPr>
          <w:bCs/>
          <w:szCs w:val="24"/>
        </w:rPr>
        <w:t>)</w:t>
      </w:r>
      <w:r w:rsidR="00924711">
        <w:rPr>
          <w:bCs/>
          <w:szCs w:val="24"/>
        </w:rPr>
        <w:t>.</w:t>
      </w:r>
      <w:r>
        <w:rPr>
          <w:bCs/>
          <w:szCs w:val="24"/>
        </w:rPr>
        <w:t xml:space="preserve"> As will become obvious below, our crude modelling can provide some insights and some results are intriguing in comparison with our stepwise combustion</w:t>
      </w:r>
      <w:r w:rsidR="0065646F">
        <w:rPr>
          <w:bCs/>
          <w:szCs w:val="24"/>
        </w:rPr>
        <w:t>.</w:t>
      </w:r>
      <w:r>
        <w:rPr>
          <w:bCs/>
          <w:szCs w:val="24"/>
        </w:rPr>
        <w:t xml:space="preserve"> Nevertheless, it is clear that a more sophisticated approach is required in order for proper explanation of all available data.</w:t>
      </w:r>
    </w:p>
    <w:p w14:paraId="5843F727" w14:textId="57C32E4E" w:rsidR="00271C8C" w:rsidRDefault="00E70244" w:rsidP="00271C8C">
      <w:pPr>
        <w:spacing w:line="360" w:lineRule="auto"/>
        <w:ind w:firstLine="567"/>
        <w:rPr>
          <w:bCs/>
          <w:szCs w:val="24"/>
        </w:rPr>
      </w:pPr>
      <w:r>
        <w:rPr>
          <w:bCs/>
          <w:szCs w:val="24"/>
        </w:rPr>
        <w:t xml:space="preserve">Note </w:t>
      </w:r>
      <w:r w:rsidR="00E66DFA">
        <w:rPr>
          <w:bCs/>
          <w:szCs w:val="24"/>
        </w:rPr>
        <w:t xml:space="preserve">further </w:t>
      </w:r>
      <w:r>
        <w:rPr>
          <w:bCs/>
          <w:szCs w:val="24"/>
        </w:rPr>
        <w:t xml:space="preserve">that </w:t>
      </w:r>
      <w:r w:rsidR="006B3B03" w:rsidRPr="00601FAB">
        <w:rPr>
          <w:lang w:val="en-US"/>
        </w:rPr>
        <w:t xml:space="preserve">in order to obtain the observed </w:t>
      </w:r>
      <w:r w:rsidR="00FE2E99">
        <w:rPr>
          <w:lang w:val="en-US"/>
        </w:rPr>
        <w:t xml:space="preserve">(modelled) </w:t>
      </w:r>
      <w:r w:rsidR="006B3B03" w:rsidRPr="00601FAB">
        <w:rPr>
          <w:lang w:val="en-US"/>
        </w:rPr>
        <w:t xml:space="preserve">effect on neon, the pyroxene grains had to be in conditions for a certain time </w:t>
      </w:r>
      <w:r w:rsidR="006B3B03">
        <w:rPr>
          <w:lang w:val="en-US"/>
        </w:rPr>
        <w:t xml:space="preserve">(before </w:t>
      </w:r>
      <w:r w:rsidR="00FE2E99">
        <w:rPr>
          <w:lang w:val="en-US"/>
        </w:rPr>
        <w:t xml:space="preserve">the </w:t>
      </w:r>
      <w:r w:rsidR="006B3B03">
        <w:rPr>
          <w:lang w:val="en-US"/>
        </w:rPr>
        <w:t xml:space="preserve">ejection event) </w:t>
      </w:r>
      <w:r w:rsidR="00FE2E99">
        <w:rPr>
          <w:lang w:val="en-US"/>
        </w:rPr>
        <w:t>in which</w:t>
      </w:r>
      <w:r w:rsidR="00FE2E99" w:rsidRPr="00601FAB">
        <w:rPr>
          <w:lang w:val="en-US"/>
        </w:rPr>
        <w:t xml:space="preserve"> </w:t>
      </w:r>
      <w:r w:rsidR="006B3B03" w:rsidRPr="00601FAB">
        <w:rPr>
          <w:lang w:val="en-US"/>
        </w:rPr>
        <w:t xml:space="preserve">any possible redistribution of components occurred </w:t>
      </w:r>
      <w:r w:rsidR="00FE2E99">
        <w:rPr>
          <w:lang w:val="en-US"/>
        </w:rPr>
        <w:t>within</w:t>
      </w:r>
      <w:r w:rsidR="00FE2E99" w:rsidRPr="00601FAB">
        <w:rPr>
          <w:lang w:val="en-US"/>
        </w:rPr>
        <w:t xml:space="preserve"> </w:t>
      </w:r>
      <w:r w:rsidR="006B3B03" w:rsidRPr="00601FAB">
        <w:rPr>
          <w:lang w:val="en-US"/>
        </w:rPr>
        <w:t xml:space="preserve">the </w:t>
      </w:r>
      <w:r w:rsidR="00FE2E99">
        <w:rPr>
          <w:lang w:val="en-US"/>
        </w:rPr>
        <w:t xml:space="preserve">individual </w:t>
      </w:r>
      <w:r w:rsidR="006B3B03" w:rsidRPr="00601FAB">
        <w:rPr>
          <w:lang w:val="en-US"/>
        </w:rPr>
        <w:t>grains</w:t>
      </w:r>
      <w:r w:rsidR="006B3B03">
        <w:rPr>
          <w:lang w:val="en-US"/>
        </w:rPr>
        <w:t xml:space="preserve"> – and not between </w:t>
      </w:r>
      <w:r w:rsidR="00FE2E99">
        <w:rPr>
          <w:lang w:val="en-US"/>
        </w:rPr>
        <w:t>different grains</w:t>
      </w:r>
      <w:r w:rsidR="006B3B03" w:rsidRPr="00601FAB">
        <w:rPr>
          <w:lang w:val="en-US"/>
        </w:rPr>
        <w:t>.</w:t>
      </w:r>
      <w:r w:rsidR="006B3B03">
        <w:rPr>
          <w:lang w:val="en-US"/>
        </w:rPr>
        <w:t xml:space="preserve"> </w:t>
      </w:r>
    </w:p>
    <w:p w14:paraId="15C5CE4B" w14:textId="3AF10EDA" w:rsidR="00271C8C" w:rsidRDefault="00271C8C" w:rsidP="00271C8C">
      <w:pPr>
        <w:spacing w:line="360" w:lineRule="auto"/>
        <w:ind w:firstLine="567"/>
        <w:rPr>
          <w:bCs/>
          <w:szCs w:val="24"/>
        </w:rPr>
      </w:pPr>
      <w:r>
        <w:rPr>
          <w:bCs/>
          <w:szCs w:val="24"/>
        </w:rPr>
        <w:t xml:space="preserve">Figure </w:t>
      </w:r>
      <w:r w:rsidR="0065646F">
        <w:rPr>
          <w:bCs/>
          <w:szCs w:val="24"/>
        </w:rPr>
        <w:t>S</w:t>
      </w:r>
      <w:r>
        <w:rPr>
          <w:bCs/>
          <w:szCs w:val="24"/>
        </w:rPr>
        <w:t>1 shows the “simple case</w:t>
      </w:r>
      <w:r w:rsidR="001200FD">
        <w:rPr>
          <w:bCs/>
          <w:szCs w:val="24"/>
        </w:rPr>
        <w:t>”</w:t>
      </w:r>
      <w:r>
        <w:rPr>
          <w:bCs/>
          <w:szCs w:val="24"/>
        </w:rPr>
        <w:t xml:space="preserve"> alluded to in the main text: irradiation with solar wind Ne followed by</w:t>
      </w:r>
      <w:r w:rsidR="007A45E5">
        <w:rPr>
          <w:bCs/>
          <w:szCs w:val="24"/>
        </w:rPr>
        <w:t xml:space="preserve"> </w:t>
      </w:r>
      <w:r>
        <w:rPr>
          <w:bCs/>
          <w:szCs w:val="24"/>
        </w:rPr>
        <w:t xml:space="preserve">(later) loss of outer material, where </w:t>
      </w:r>
      <w:r w:rsidR="001200FD">
        <w:rPr>
          <w:bCs/>
          <w:szCs w:val="24"/>
        </w:rPr>
        <w:t xml:space="preserve">we show </w:t>
      </w:r>
      <w:r>
        <w:rPr>
          <w:bCs/>
          <w:szCs w:val="24"/>
        </w:rPr>
        <w:t>the range from 0 to 147 nm</w:t>
      </w:r>
      <w:r w:rsidR="001200FD">
        <w:rPr>
          <w:bCs/>
          <w:szCs w:val="24"/>
        </w:rPr>
        <w:t xml:space="preserve"> </w:t>
      </w:r>
      <w:r w:rsidR="001200FD">
        <w:rPr>
          <w:bCs/>
          <w:szCs w:val="24"/>
        </w:rPr>
        <w:lastRenderedPageBreak/>
        <w:t>loss</w:t>
      </w:r>
      <w:r>
        <w:rPr>
          <w:bCs/>
          <w:szCs w:val="24"/>
        </w:rPr>
        <w:t xml:space="preserve">. </w:t>
      </w:r>
      <w:r w:rsidR="007A45E5">
        <w:rPr>
          <w:bCs/>
          <w:szCs w:val="24"/>
        </w:rPr>
        <w:t>Two quantities are p</w:t>
      </w:r>
      <w:r>
        <w:rPr>
          <w:bCs/>
          <w:szCs w:val="24"/>
        </w:rPr>
        <w:t xml:space="preserve">lotted vs. the </w:t>
      </w:r>
      <w:r>
        <w:rPr>
          <w:bCs/>
          <w:szCs w:val="24"/>
          <w:vertAlign w:val="superscript"/>
        </w:rPr>
        <w:t>21</w:t>
      </w:r>
      <w:r>
        <w:rPr>
          <w:bCs/>
          <w:szCs w:val="24"/>
        </w:rPr>
        <w:t>Ne/</w:t>
      </w:r>
      <w:r>
        <w:rPr>
          <w:bCs/>
          <w:szCs w:val="24"/>
          <w:vertAlign w:val="superscript"/>
        </w:rPr>
        <w:t>22</w:t>
      </w:r>
      <w:r>
        <w:rPr>
          <w:bCs/>
          <w:szCs w:val="24"/>
        </w:rPr>
        <w:t xml:space="preserve">Ne ratio in the </w:t>
      </w:r>
      <w:r w:rsidR="007A45E5">
        <w:rPr>
          <w:bCs/>
          <w:szCs w:val="24"/>
        </w:rPr>
        <w:t xml:space="preserve">remaining material: </w:t>
      </w:r>
      <w:r w:rsidR="007A45E5">
        <w:rPr>
          <w:bCs/>
          <w:szCs w:val="24"/>
          <w:vertAlign w:val="superscript"/>
        </w:rPr>
        <w:t>20</w:t>
      </w:r>
      <w:r w:rsidR="007A45E5">
        <w:rPr>
          <w:bCs/>
          <w:szCs w:val="24"/>
        </w:rPr>
        <w:t>Ne/</w:t>
      </w:r>
      <w:r w:rsidR="007A45E5">
        <w:rPr>
          <w:bCs/>
          <w:szCs w:val="24"/>
          <w:vertAlign w:val="superscript"/>
        </w:rPr>
        <w:t>22</w:t>
      </w:r>
      <w:r w:rsidR="007A45E5">
        <w:rPr>
          <w:bCs/>
          <w:szCs w:val="24"/>
        </w:rPr>
        <w:t xml:space="preserve">Ne in the remaining material (linear scale on the left) and </w:t>
      </w:r>
      <w:r w:rsidR="004010CB">
        <w:rPr>
          <w:bCs/>
          <w:szCs w:val="24"/>
        </w:rPr>
        <w:t xml:space="preserve">the </w:t>
      </w:r>
      <w:r w:rsidR="007A45E5">
        <w:rPr>
          <w:bCs/>
          <w:szCs w:val="24"/>
        </w:rPr>
        <w:t xml:space="preserve">remaining fraction of </w:t>
      </w:r>
      <w:r w:rsidR="007A45E5">
        <w:rPr>
          <w:bCs/>
          <w:szCs w:val="24"/>
          <w:vertAlign w:val="superscript"/>
        </w:rPr>
        <w:t>20</w:t>
      </w:r>
      <w:r w:rsidR="007A45E5">
        <w:rPr>
          <w:bCs/>
          <w:szCs w:val="24"/>
        </w:rPr>
        <w:t>Ne (logarithmic scale on the right).</w:t>
      </w:r>
    </w:p>
    <w:p w14:paraId="3CABC65C" w14:textId="788EC77C" w:rsidR="002B5070" w:rsidRDefault="00557184" w:rsidP="002011DA">
      <w:pPr>
        <w:rPr>
          <w:bCs/>
          <w:szCs w:val="24"/>
        </w:rPr>
      </w:pPr>
      <w:r>
        <w:rPr>
          <w:noProof/>
          <w:lang w:val="ru-RU" w:eastAsia="ru-RU"/>
        </w:rPr>
        <w:drawing>
          <wp:inline distT="0" distB="0" distL="0" distR="0" wp14:anchorId="1887E473" wp14:editId="37B8336C">
            <wp:extent cx="5760720" cy="44799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479925"/>
                    </a:xfrm>
                    <a:prstGeom prst="rect">
                      <a:avLst/>
                    </a:prstGeom>
                  </pic:spPr>
                </pic:pic>
              </a:graphicData>
            </a:graphic>
          </wp:inline>
        </w:drawing>
      </w:r>
    </w:p>
    <w:p w14:paraId="7C0604DE" w14:textId="17FE5188" w:rsidR="00924711" w:rsidRPr="001200FD" w:rsidRDefault="00924711" w:rsidP="002011DA">
      <w:pPr>
        <w:rPr>
          <w:bCs/>
          <w:szCs w:val="24"/>
        </w:rPr>
      </w:pPr>
      <w:r>
        <w:rPr>
          <w:bCs/>
          <w:szCs w:val="24"/>
        </w:rPr>
        <w:t xml:space="preserve">Fig. S1. The ratio </w:t>
      </w:r>
      <w:r>
        <w:rPr>
          <w:bCs/>
          <w:szCs w:val="24"/>
          <w:vertAlign w:val="superscript"/>
        </w:rPr>
        <w:t>20</w:t>
      </w:r>
      <w:r>
        <w:rPr>
          <w:bCs/>
          <w:szCs w:val="24"/>
        </w:rPr>
        <w:t>Ne//</w:t>
      </w:r>
      <w:r>
        <w:rPr>
          <w:bCs/>
          <w:szCs w:val="24"/>
          <w:vertAlign w:val="superscript"/>
        </w:rPr>
        <w:t>22</w:t>
      </w:r>
      <w:r>
        <w:rPr>
          <w:bCs/>
          <w:szCs w:val="24"/>
        </w:rPr>
        <w:t xml:space="preserve">Ne and the remaining fraction of </w:t>
      </w:r>
      <w:r>
        <w:rPr>
          <w:bCs/>
          <w:szCs w:val="24"/>
          <w:vertAlign w:val="superscript"/>
        </w:rPr>
        <w:t>20</w:t>
      </w:r>
      <w:r>
        <w:rPr>
          <w:bCs/>
          <w:szCs w:val="24"/>
        </w:rPr>
        <w:t xml:space="preserve">Ne are plotted vs </w:t>
      </w:r>
      <w:r>
        <w:rPr>
          <w:bCs/>
          <w:szCs w:val="24"/>
          <w:vertAlign w:val="superscript"/>
        </w:rPr>
        <w:t>21</w:t>
      </w:r>
      <w:r>
        <w:rPr>
          <w:bCs/>
          <w:szCs w:val="24"/>
        </w:rPr>
        <w:t>Ne/</w:t>
      </w:r>
      <w:r>
        <w:rPr>
          <w:bCs/>
          <w:szCs w:val="24"/>
          <w:vertAlign w:val="superscript"/>
        </w:rPr>
        <w:t>22</w:t>
      </w:r>
      <w:r>
        <w:rPr>
          <w:bCs/>
          <w:szCs w:val="24"/>
        </w:rPr>
        <w:t>Ne for the case of SW irradiation followed by loss of outer material</w:t>
      </w:r>
      <w:r w:rsidR="00582D5A">
        <w:rPr>
          <w:bCs/>
          <w:szCs w:val="24"/>
        </w:rPr>
        <w:t xml:space="preserve">. The symbols mark the data in steps of 10 </w:t>
      </w:r>
      <w:r w:rsidR="00716A98">
        <w:rPr>
          <w:bCs/>
          <w:szCs w:val="24"/>
        </w:rPr>
        <w:t>nm</w:t>
      </w:r>
      <w:r w:rsidR="00582D5A">
        <w:rPr>
          <w:bCs/>
          <w:szCs w:val="24"/>
        </w:rPr>
        <w:t xml:space="preserve"> removed (10, 20, ….140 </w:t>
      </w:r>
      <w:r w:rsidR="00716A98">
        <w:rPr>
          <w:bCs/>
          <w:szCs w:val="24"/>
        </w:rPr>
        <w:t>nm</w:t>
      </w:r>
      <w:r w:rsidR="00582D5A">
        <w:rPr>
          <w:bCs/>
          <w:szCs w:val="24"/>
        </w:rPr>
        <w:t>).</w:t>
      </w:r>
      <w:r w:rsidR="001200FD">
        <w:rPr>
          <w:bCs/>
          <w:szCs w:val="24"/>
        </w:rPr>
        <w:t xml:space="preserve"> The starting composition is the SW isotopic composition given by Heber et al. (2009): </w:t>
      </w:r>
      <w:r w:rsidR="001200FD">
        <w:rPr>
          <w:bCs/>
          <w:szCs w:val="24"/>
          <w:vertAlign w:val="superscript"/>
        </w:rPr>
        <w:t>20</w:t>
      </w:r>
      <w:r w:rsidR="001200FD">
        <w:rPr>
          <w:bCs/>
          <w:szCs w:val="24"/>
        </w:rPr>
        <w:t>Ne/</w:t>
      </w:r>
      <w:r w:rsidR="001200FD">
        <w:rPr>
          <w:bCs/>
          <w:szCs w:val="24"/>
          <w:vertAlign w:val="superscript"/>
        </w:rPr>
        <w:t>22</w:t>
      </w:r>
      <w:r w:rsidR="001200FD">
        <w:rPr>
          <w:bCs/>
          <w:szCs w:val="24"/>
        </w:rPr>
        <w:t xml:space="preserve">Ne = 13.78, </w:t>
      </w:r>
      <w:r w:rsidR="001200FD">
        <w:rPr>
          <w:bCs/>
          <w:szCs w:val="24"/>
          <w:vertAlign w:val="superscript"/>
        </w:rPr>
        <w:t>21</w:t>
      </w:r>
      <w:r w:rsidR="001200FD">
        <w:rPr>
          <w:bCs/>
          <w:szCs w:val="24"/>
        </w:rPr>
        <w:t>Ne/</w:t>
      </w:r>
      <w:r w:rsidR="001200FD">
        <w:rPr>
          <w:bCs/>
          <w:szCs w:val="24"/>
          <w:vertAlign w:val="superscript"/>
        </w:rPr>
        <w:t>22</w:t>
      </w:r>
      <w:r w:rsidR="001200FD">
        <w:rPr>
          <w:bCs/>
          <w:szCs w:val="24"/>
        </w:rPr>
        <w:t>Ne = 0.03289.</w:t>
      </w:r>
    </w:p>
    <w:p w14:paraId="409C7A36" w14:textId="77777777" w:rsidR="002B5070" w:rsidRDefault="002B5070" w:rsidP="00C61671">
      <w:pPr>
        <w:spacing w:line="360" w:lineRule="auto"/>
        <w:rPr>
          <w:bCs/>
          <w:szCs w:val="24"/>
        </w:rPr>
      </w:pPr>
    </w:p>
    <w:p w14:paraId="4B1D94FE" w14:textId="521F2949" w:rsidR="00924711" w:rsidRDefault="00582D5A" w:rsidP="00CE3529">
      <w:pPr>
        <w:spacing w:line="360" w:lineRule="auto"/>
        <w:ind w:firstLine="567"/>
        <w:rPr>
          <w:bCs/>
          <w:szCs w:val="24"/>
        </w:rPr>
      </w:pPr>
      <w:r>
        <w:rPr>
          <w:bCs/>
          <w:szCs w:val="24"/>
        </w:rPr>
        <w:t xml:space="preserve">Fig. S2 </w:t>
      </w:r>
      <w:r w:rsidR="00756984">
        <w:rPr>
          <w:bCs/>
          <w:szCs w:val="24"/>
        </w:rPr>
        <w:t>explores</w:t>
      </w:r>
      <w:r>
        <w:rPr>
          <w:bCs/>
          <w:szCs w:val="24"/>
        </w:rPr>
        <w:t xml:space="preserve"> the effect of adding a cosmogenic component, with typical isotope ratios </w:t>
      </w:r>
      <w:r>
        <w:rPr>
          <w:bCs/>
          <w:szCs w:val="24"/>
          <w:vertAlign w:val="superscript"/>
        </w:rPr>
        <w:t>20</w:t>
      </w:r>
      <w:r>
        <w:rPr>
          <w:bCs/>
          <w:szCs w:val="24"/>
        </w:rPr>
        <w:t>Ne/</w:t>
      </w:r>
      <w:r>
        <w:rPr>
          <w:bCs/>
          <w:szCs w:val="24"/>
          <w:vertAlign w:val="superscript"/>
        </w:rPr>
        <w:t>22</w:t>
      </w:r>
      <w:r>
        <w:rPr>
          <w:bCs/>
          <w:szCs w:val="24"/>
        </w:rPr>
        <w:t xml:space="preserve">Ne = 0.8, </w:t>
      </w:r>
      <w:r>
        <w:rPr>
          <w:bCs/>
          <w:szCs w:val="24"/>
          <w:vertAlign w:val="superscript"/>
        </w:rPr>
        <w:t>21</w:t>
      </w:r>
      <w:r>
        <w:rPr>
          <w:bCs/>
          <w:szCs w:val="24"/>
        </w:rPr>
        <w:t>Ne/</w:t>
      </w:r>
      <w:r>
        <w:rPr>
          <w:bCs/>
          <w:szCs w:val="24"/>
          <w:vertAlign w:val="superscript"/>
        </w:rPr>
        <w:t>22</w:t>
      </w:r>
      <w:r>
        <w:rPr>
          <w:bCs/>
          <w:szCs w:val="24"/>
        </w:rPr>
        <w:t>Ne = 0.9.</w:t>
      </w:r>
      <w:r w:rsidR="00756984">
        <w:rPr>
          <w:bCs/>
          <w:szCs w:val="24"/>
        </w:rPr>
        <w:t xml:space="preserve"> Our simple approach assumes a fixed </w:t>
      </w:r>
      <w:r w:rsidR="004010CB">
        <w:rPr>
          <w:bCs/>
          <w:szCs w:val="24"/>
        </w:rPr>
        <w:t>abundance of cosmogenic gas</w:t>
      </w:r>
      <w:r w:rsidR="00756984">
        <w:rPr>
          <w:bCs/>
          <w:szCs w:val="24"/>
        </w:rPr>
        <w:t xml:space="preserve">, and we show the results for three exemplary cases. These differ in the relative </w:t>
      </w:r>
      <w:r w:rsidR="004010CB">
        <w:rPr>
          <w:bCs/>
          <w:szCs w:val="24"/>
        </w:rPr>
        <w:t>size</w:t>
      </w:r>
      <w:r w:rsidR="00756984">
        <w:rPr>
          <w:bCs/>
          <w:szCs w:val="24"/>
        </w:rPr>
        <w:t xml:space="preserve"> (“r”) with respect to the SW component, where r (ranging between 10</w:t>
      </w:r>
      <w:r w:rsidR="00756984">
        <w:rPr>
          <w:bCs/>
          <w:szCs w:val="24"/>
          <w:vertAlign w:val="superscript"/>
        </w:rPr>
        <w:t>-5</w:t>
      </w:r>
      <w:r w:rsidR="00756984">
        <w:rPr>
          <w:bCs/>
          <w:szCs w:val="24"/>
        </w:rPr>
        <w:t xml:space="preserve"> and 10</w:t>
      </w:r>
      <w:r w:rsidR="00756984">
        <w:rPr>
          <w:bCs/>
          <w:szCs w:val="24"/>
          <w:vertAlign w:val="superscript"/>
        </w:rPr>
        <w:t>-7</w:t>
      </w:r>
      <w:r w:rsidR="00756984">
        <w:rPr>
          <w:bCs/>
          <w:szCs w:val="24"/>
        </w:rPr>
        <w:t xml:space="preserve">) is defined as the ratio of the cosmogenic </w:t>
      </w:r>
      <w:r w:rsidR="001200FD">
        <w:rPr>
          <w:bCs/>
          <w:szCs w:val="24"/>
          <w:vertAlign w:val="superscript"/>
        </w:rPr>
        <w:t>22</w:t>
      </w:r>
      <w:r w:rsidR="001200FD">
        <w:rPr>
          <w:bCs/>
          <w:szCs w:val="24"/>
        </w:rPr>
        <w:t xml:space="preserve">Ne </w:t>
      </w:r>
      <w:r w:rsidR="00756984">
        <w:rPr>
          <w:bCs/>
          <w:szCs w:val="24"/>
        </w:rPr>
        <w:t xml:space="preserve">abundance (assumed to be the constant over the whole range) to total SW </w:t>
      </w:r>
      <w:r w:rsidR="00756984">
        <w:rPr>
          <w:bCs/>
          <w:szCs w:val="24"/>
          <w:vertAlign w:val="superscript"/>
        </w:rPr>
        <w:t>22</w:t>
      </w:r>
      <w:r w:rsidR="00756984">
        <w:rPr>
          <w:bCs/>
          <w:szCs w:val="24"/>
        </w:rPr>
        <w:t xml:space="preserve">Ne. The </w:t>
      </w:r>
      <w:r w:rsidR="001200FD">
        <w:rPr>
          <w:bCs/>
          <w:szCs w:val="24"/>
        </w:rPr>
        <w:t>abundance of the latter</w:t>
      </w:r>
      <w:r w:rsidR="00756984">
        <w:rPr>
          <w:bCs/>
          <w:szCs w:val="24"/>
        </w:rPr>
        <w:t xml:space="preserve"> peaks at a depth of 32.65 nm, where </w:t>
      </w:r>
      <w:r w:rsidR="00756984">
        <w:rPr>
          <w:bCs/>
          <w:szCs w:val="24"/>
          <w:vertAlign w:val="superscript"/>
        </w:rPr>
        <w:t>22</w:t>
      </w:r>
      <w:r w:rsidR="00756984">
        <w:rPr>
          <w:bCs/>
          <w:szCs w:val="24"/>
        </w:rPr>
        <w:t>Ne</w:t>
      </w:r>
      <w:r w:rsidR="00756984">
        <w:rPr>
          <w:bCs/>
          <w:szCs w:val="24"/>
          <w:vertAlign w:val="subscript"/>
        </w:rPr>
        <w:t>cos</w:t>
      </w:r>
      <w:r w:rsidR="00756984">
        <w:rPr>
          <w:bCs/>
          <w:szCs w:val="24"/>
        </w:rPr>
        <w:t>/</w:t>
      </w:r>
      <w:r w:rsidR="00756984">
        <w:rPr>
          <w:bCs/>
          <w:szCs w:val="24"/>
          <w:vertAlign w:val="superscript"/>
        </w:rPr>
        <w:t>22</w:t>
      </w:r>
      <w:r w:rsidR="00756984">
        <w:rPr>
          <w:bCs/>
          <w:szCs w:val="24"/>
        </w:rPr>
        <w:t>Ne</w:t>
      </w:r>
      <w:r w:rsidR="00756984">
        <w:rPr>
          <w:bCs/>
          <w:szCs w:val="24"/>
          <w:vertAlign w:val="subscript"/>
        </w:rPr>
        <w:t>SW</w:t>
      </w:r>
      <w:r w:rsidR="00756984">
        <w:rPr>
          <w:bCs/>
          <w:szCs w:val="24"/>
        </w:rPr>
        <w:t xml:space="preserve"> is </w:t>
      </w:r>
      <w:r w:rsidR="001200FD">
        <w:rPr>
          <w:bCs/>
          <w:szCs w:val="24"/>
        </w:rPr>
        <w:t xml:space="preserve">then </w:t>
      </w:r>
      <w:r w:rsidR="0026145A">
        <w:rPr>
          <w:bCs/>
          <w:szCs w:val="24"/>
        </w:rPr>
        <w:t>~8.6</w:t>
      </w:r>
      <w:r w:rsidR="0065646F">
        <w:rPr>
          <w:bCs/>
          <w:szCs w:val="24"/>
        </w:rPr>
        <w:t>×</w:t>
      </w:r>
      <w:r w:rsidR="0026145A">
        <w:rPr>
          <w:bCs/>
          <w:szCs w:val="24"/>
        </w:rPr>
        <w:t>10</w:t>
      </w:r>
      <w:r w:rsidR="0026145A">
        <w:rPr>
          <w:bCs/>
          <w:szCs w:val="24"/>
          <w:vertAlign w:val="superscript"/>
        </w:rPr>
        <w:t>-3</w:t>
      </w:r>
      <w:r w:rsidR="0026145A">
        <w:rPr>
          <w:bCs/>
          <w:szCs w:val="24"/>
        </w:rPr>
        <w:t>, 8.6</w:t>
      </w:r>
      <w:r w:rsidR="0065646F">
        <w:rPr>
          <w:bCs/>
          <w:szCs w:val="24"/>
        </w:rPr>
        <w:t>×</w:t>
      </w:r>
      <w:r w:rsidR="0026145A">
        <w:rPr>
          <w:bCs/>
          <w:szCs w:val="24"/>
        </w:rPr>
        <w:t>10</w:t>
      </w:r>
      <w:r w:rsidR="0026145A">
        <w:rPr>
          <w:bCs/>
          <w:szCs w:val="24"/>
          <w:vertAlign w:val="superscript"/>
        </w:rPr>
        <w:t>-4</w:t>
      </w:r>
      <w:r w:rsidR="0026145A">
        <w:rPr>
          <w:bCs/>
          <w:szCs w:val="24"/>
        </w:rPr>
        <w:t xml:space="preserve"> and 8.6</w:t>
      </w:r>
      <w:r w:rsidR="0065646F">
        <w:rPr>
          <w:bCs/>
          <w:szCs w:val="24"/>
        </w:rPr>
        <w:t>×</w:t>
      </w:r>
      <w:r w:rsidR="0026145A">
        <w:rPr>
          <w:bCs/>
          <w:szCs w:val="24"/>
        </w:rPr>
        <w:t>10</w:t>
      </w:r>
      <w:r w:rsidR="0026145A">
        <w:rPr>
          <w:bCs/>
          <w:szCs w:val="24"/>
          <w:vertAlign w:val="superscript"/>
        </w:rPr>
        <w:t>-5</w:t>
      </w:r>
      <w:r w:rsidR="0026145A">
        <w:rPr>
          <w:bCs/>
          <w:szCs w:val="24"/>
        </w:rPr>
        <w:t xml:space="preserve"> for the three cases. Also shown is (again) the case of zero cosmogenic contribution. Clearly, if, during stepwise gas release</w:t>
      </w:r>
      <w:r w:rsidR="00FE2E99">
        <w:rPr>
          <w:bCs/>
          <w:szCs w:val="24"/>
        </w:rPr>
        <w:t>,</w:t>
      </w:r>
      <w:r w:rsidR="0026145A">
        <w:rPr>
          <w:bCs/>
          <w:szCs w:val="24"/>
        </w:rPr>
        <w:t xml:space="preserve"> data points that plot in the approximately linear range above </w:t>
      </w:r>
      <w:r w:rsidR="0026145A">
        <w:rPr>
          <w:bCs/>
          <w:szCs w:val="24"/>
          <w:vertAlign w:val="superscript"/>
        </w:rPr>
        <w:t>21</w:t>
      </w:r>
      <w:r w:rsidR="0026145A">
        <w:rPr>
          <w:bCs/>
          <w:szCs w:val="24"/>
        </w:rPr>
        <w:t>Ne/</w:t>
      </w:r>
      <w:r w:rsidR="0026145A">
        <w:rPr>
          <w:bCs/>
          <w:szCs w:val="24"/>
          <w:vertAlign w:val="superscript"/>
        </w:rPr>
        <w:t>22</w:t>
      </w:r>
      <w:r w:rsidR="0026145A">
        <w:rPr>
          <w:bCs/>
          <w:szCs w:val="24"/>
        </w:rPr>
        <w:t xml:space="preserve">Ne = 0.2 (as </w:t>
      </w:r>
      <w:r w:rsidR="009A7868">
        <w:rPr>
          <w:bCs/>
          <w:szCs w:val="24"/>
        </w:rPr>
        <w:t>most</w:t>
      </w:r>
      <w:r w:rsidR="0026145A">
        <w:rPr>
          <w:bCs/>
          <w:szCs w:val="24"/>
        </w:rPr>
        <w:t xml:space="preserve"> combustion data in Fig. 3</w:t>
      </w:r>
      <w:r w:rsidR="009A7868">
        <w:rPr>
          <w:bCs/>
          <w:szCs w:val="24"/>
        </w:rPr>
        <w:t xml:space="preserve"> do</w:t>
      </w:r>
      <w:r w:rsidR="0026145A">
        <w:rPr>
          <w:bCs/>
          <w:szCs w:val="24"/>
        </w:rPr>
        <w:t>) are used to infer, by extrapolation</w:t>
      </w:r>
      <w:r w:rsidR="009A7868">
        <w:rPr>
          <w:bCs/>
          <w:szCs w:val="24"/>
        </w:rPr>
        <w:t>,</w:t>
      </w:r>
      <w:r w:rsidR="0026145A">
        <w:rPr>
          <w:bCs/>
          <w:szCs w:val="24"/>
        </w:rPr>
        <w:t xml:space="preserve"> an “apparent” </w:t>
      </w:r>
      <w:r w:rsidR="001200FD">
        <w:rPr>
          <w:bCs/>
          <w:szCs w:val="24"/>
        </w:rPr>
        <w:t>(</w:t>
      </w:r>
      <w:r w:rsidR="0026145A">
        <w:rPr>
          <w:bCs/>
          <w:szCs w:val="24"/>
          <w:vertAlign w:val="superscript"/>
        </w:rPr>
        <w:t>20</w:t>
      </w:r>
      <w:r w:rsidR="0026145A">
        <w:rPr>
          <w:bCs/>
          <w:szCs w:val="24"/>
        </w:rPr>
        <w:t>Ne/</w:t>
      </w:r>
      <w:r w:rsidR="0026145A">
        <w:rPr>
          <w:bCs/>
          <w:szCs w:val="24"/>
          <w:vertAlign w:val="superscript"/>
        </w:rPr>
        <w:t>22</w:t>
      </w:r>
      <w:r w:rsidR="0026145A">
        <w:rPr>
          <w:bCs/>
          <w:szCs w:val="24"/>
        </w:rPr>
        <w:t>Ne</w:t>
      </w:r>
      <w:r w:rsidR="001200FD">
        <w:rPr>
          <w:bCs/>
          <w:szCs w:val="24"/>
        </w:rPr>
        <w:t>)</w:t>
      </w:r>
      <w:r w:rsidR="001200FD">
        <w:rPr>
          <w:bCs/>
          <w:szCs w:val="24"/>
          <w:vertAlign w:val="subscript"/>
        </w:rPr>
        <w:t>FSW</w:t>
      </w:r>
      <w:r w:rsidR="0026145A">
        <w:rPr>
          <w:bCs/>
          <w:szCs w:val="24"/>
        </w:rPr>
        <w:t xml:space="preserve"> </w:t>
      </w:r>
      <w:r w:rsidR="0026145A">
        <w:rPr>
          <w:bCs/>
          <w:szCs w:val="24"/>
        </w:rPr>
        <w:lastRenderedPageBreak/>
        <w:t>ratio, this will be very low (e.g., less than ~6 for the r</w:t>
      </w:r>
      <w:r w:rsidR="009A7868">
        <w:rPr>
          <w:bCs/>
          <w:szCs w:val="24"/>
        </w:rPr>
        <w:t xml:space="preserve"> </w:t>
      </w:r>
      <w:r w:rsidR="0026145A">
        <w:rPr>
          <w:bCs/>
          <w:szCs w:val="24"/>
        </w:rPr>
        <w:t>=</w:t>
      </w:r>
      <w:r w:rsidR="009A7868">
        <w:rPr>
          <w:bCs/>
          <w:szCs w:val="24"/>
        </w:rPr>
        <w:t xml:space="preserve"> </w:t>
      </w:r>
      <w:r w:rsidR="0026145A">
        <w:rPr>
          <w:bCs/>
          <w:szCs w:val="24"/>
        </w:rPr>
        <w:t>10</w:t>
      </w:r>
      <w:r w:rsidR="0026145A">
        <w:rPr>
          <w:bCs/>
          <w:szCs w:val="24"/>
          <w:vertAlign w:val="superscript"/>
        </w:rPr>
        <w:t>-7</w:t>
      </w:r>
      <w:r w:rsidR="0026145A">
        <w:rPr>
          <w:bCs/>
          <w:szCs w:val="24"/>
        </w:rPr>
        <w:t xml:space="preserve"> case).</w:t>
      </w:r>
      <w:r w:rsidR="00E56713">
        <w:rPr>
          <w:bCs/>
          <w:szCs w:val="24"/>
        </w:rPr>
        <w:t xml:space="preserve"> </w:t>
      </w:r>
      <w:r w:rsidR="00947D92">
        <w:rPr>
          <w:bCs/>
          <w:szCs w:val="24"/>
        </w:rPr>
        <w:t xml:space="preserve">When the apparent </w:t>
      </w:r>
      <w:r w:rsidR="009A7868">
        <w:rPr>
          <w:bCs/>
          <w:szCs w:val="24"/>
        </w:rPr>
        <w:t>“</w:t>
      </w:r>
      <w:r w:rsidR="00947D92">
        <w:rPr>
          <w:bCs/>
          <w:szCs w:val="24"/>
        </w:rPr>
        <w:t>turn</w:t>
      </w:r>
      <w:r w:rsidR="009A7868">
        <w:rPr>
          <w:bCs/>
          <w:szCs w:val="24"/>
        </w:rPr>
        <w:t>”</w:t>
      </w:r>
      <w:r w:rsidR="00947D92">
        <w:rPr>
          <w:bCs/>
          <w:szCs w:val="24"/>
        </w:rPr>
        <w:t xml:space="preserve"> of the curve to the right occurs, does not depend on the rate of erosion nor the rate of implantation.</w:t>
      </w:r>
      <w:r w:rsidR="00947D92">
        <w:rPr>
          <w:bCs/>
          <w:i/>
          <w:iCs/>
          <w:szCs w:val="24"/>
        </w:rPr>
        <w:t xml:space="preserve"> </w:t>
      </w:r>
      <w:r w:rsidR="00947D92">
        <w:rPr>
          <w:bCs/>
          <w:szCs w:val="24"/>
        </w:rPr>
        <w:t>Also,</w:t>
      </w:r>
      <w:r w:rsidR="00E56713">
        <w:rPr>
          <w:bCs/>
          <w:szCs w:val="24"/>
        </w:rPr>
        <w:t xml:space="preserve"> in this simple case it does not matter when the cosmogenic component was added, either “early” (on the parent body) or “late” (during transfer to Earth).</w:t>
      </w:r>
    </w:p>
    <w:p w14:paraId="466ACD95" w14:textId="0F803643" w:rsidR="002C1B25" w:rsidRPr="0026145A" w:rsidRDefault="002C1B25" w:rsidP="00C61671">
      <w:pPr>
        <w:spacing w:line="360" w:lineRule="auto"/>
        <w:rPr>
          <w:bCs/>
          <w:szCs w:val="24"/>
        </w:rPr>
      </w:pPr>
      <w:r>
        <w:rPr>
          <w:noProof/>
          <w:lang w:val="ru-RU" w:eastAsia="ru-RU"/>
        </w:rPr>
        <w:drawing>
          <wp:inline distT="0" distB="0" distL="0" distR="0" wp14:anchorId="44AE669B" wp14:editId="0EBA6056">
            <wp:extent cx="5760720" cy="51644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5164455"/>
                    </a:xfrm>
                    <a:prstGeom prst="rect">
                      <a:avLst/>
                    </a:prstGeom>
                  </pic:spPr>
                </pic:pic>
              </a:graphicData>
            </a:graphic>
          </wp:inline>
        </w:drawing>
      </w:r>
    </w:p>
    <w:p w14:paraId="25D8F9EC" w14:textId="3F78A33A" w:rsidR="00542B80" w:rsidRPr="00924711" w:rsidRDefault="00542B80" w:rsidP="00542B80">
      <w:pPr>
        <w:rPr>
          <w:bCs/>
          <w:szCs w:val="24"/>
        </w:rPr>
      </w:pPr>
      <w:r>
        <w:rPr>
          <w:bCs/>
          <w:szCs w:val="24"/>
        </w:rPr>
        <w:t xml:space="preserve">Fig. S2. Plot of </w:t>
      </w:r>
      <w:r>
        <w:rPr>
          <w:bCs/>
          <w:szCs w:val="24"/>
          <w:vertAlign w:val="superscript"/>
        </w:rPr>
        <w:t>20</w:t>
      </w:r>
      <w:r>
        <w:rPr>
          <w:bCs/>
          <w:szCs w:val="24"/>
        </w:rPr>
        <w:t>Ne//</w:t>
      </w:r>
      <w:r>
        <w:rPr>
          <w:bCs/>
          <w:szCs w:val="24"/>
          <w:vertAlign w:val="superscript"/>
        </w:rPr>
        <w:t>22</w:t>
      </w:r>
      <w:r>
        <w:rPr>
          <w:bCs/>
          <w:szCs w:val="24"/>
        </w:rPr>
        <w:t xml:space="preserve">Ne vs </w:t>
      </w:r>
      <w:r>
        <w:rPr>
          <w:bCs/>
          <w:szCs w:val="24"/>
          <w:vertAlign w:val="superscript"/>
        </w:rPr>
        <w:t>21</w:t>
      </w:r>
      <w:r>
        <w:rPr>
          <w:bCs/>
          <w:szCs w:val="24"/>
        </w:rPr>
        <w:t>Ne/</w:t>
      </w:r>
      <w:r>
        <w:rPr>
          <w:bCs/>
          <w:szCs w:val="24"/>
          <w:vertAlign w:val="superscript"/>
        </w:rPr>
        <w:t>22</w:t>
      </w:r>
      <w:r>
        <w:rPr>
          <w:bCs/>
          <w:szCs w:val="24"/>
        </w:rPr>
        <w:t>Ne for the case of SW irradiation followed by loss of outer material</w:t>
      </w:r>
      <w:r w:rsidR="001200FD">
        <w:rPr>
          <w:bCs/>
          <w:szCs w:val="24"/>
        </w:rPr>
        <w:t>, with a cosmogenic component added</w:t>
      </w:r>
      <w:r>
        <w:rPr>
          <w:bCs/>
          <w:szCs w:val="24"/>
        </w:rPr>
        <w:t xml:space="preserve">. </w:t>
      </w:r>
      <w:r w:rsidR="00E835DD">
        <w:rPr>
          <w:bCs/>
          <w:szCs w:val="24"/>
        </w:rPr>
        <w:t xml:space="preserve">The case “no cos” corresponds to the results shown in Fig. S1, while the three curves show the situation when various amounts of cosmogenic Ne (characterized by the parameter r) are added. See text for further explanation. </w:t>
      </w:r>
      <w:r>
        <w:rPr>
          <w:bCs/>
          <w:szCs w:val="24"/>
        </w:rPr>
        <w:t xml:space="preserve">The symbols mark the data in steps of 10 </w:t>
      </w:r>
      <w:r w:rsidR="00947D92">
        <w:rPr>
          <w:bCs/>
          <w:szCs w:val="24"/>
        </w:rPr>
        <w:t>nm</w:t>
      </w:r>
      <w:r>
        <w:rPr>
          <w:bCs/>
          <w:szCs w:val="24"/>
        </w:rPr>
        <w:t xml:space="preserve"> removed (10, 20, ….1</w:t>
      </w:r>
      <w:r w:rsidR="002C1B25">
        <w:rPr>
          <w:bCs/>
          <w:szCs w:val="24"/>
        </w:rPr>
        <w:t>1</w:t>
      </w:r>
      <w:r>
        <w:rPr>
          <w:bCs/>
          <w:szCs w:val="24"/>
        </w:rPr>
        <w:t xml:space="preserve">0 </w:t>
      </w:r>
      <w:r w:rsidR="00237A0E">
        <w:rPr>
          <w:bCs/>
          <w:szCs w:val="24"/>
        </w:rPr>
        <w:t>nm</w:t>
      </w:r>
      <w:r>
        <w:rPr>
          <w:bCs/>
          <w:szCs w:val="24"/>
        </w:rPr>
        <w:t>).</w:t>
      </w:r>
    </w:p>
    <w:p w14:paraId="15A2CAF4" w14:textId="40B5F2FA" w:rsidR="002011DA" w:rsidRDefault="002011DA" w:rsidP="00C61671">
      <w:pPr>
        <w:spacing w:line="360" w:lineRule="auto"/>
        <w:rPr>
          <w:bCs/>
          <w:szCs w:val="24"/>
        </w:rPr>
      </w:pPr>
    </w:p>
    <w:p w14:paraId="1EBB0C13" w14:textId="205C6B8D" w:rsidR="001200FD" w:rsidRDefault="005A168D" w:rsidP="00CE3529">
      <w:pPr>
        <w:spacing w:line="360" w:lineRule="auto"/>
        <w:ind w:firstLine="567"/>
        <w:rPr>
          <w:bCs/>
          <w:szCs w:val="24"/>
        </w:rPr>
      </w:pPr>
      <w:r>
        <w:rPr>
          <w:bCs/>
          <w:szCs w:val="24"/>
        </w:rPr>
        <w:t>In Figs. S1 and S2 material loss is assumed to have taken place after the end of SW irradiation, so possible “early” (i.e., during SW irradiation) erosion has not been considered. We have done so in Fig. S3, but only in a crude approximation</w:t>
      </w:r>
      <w:r w:rsidR="00BC0882">
        <w:rPr>
          <w:bCs/>
          <w:szCs w:val="24"/>
        </w:rPr>
        <w:t xml:space="preserve">, where </w:t>
      </w:r>
      <w:r w:rsidR="001200FD">
        <w:rPr>
          <w:bCs/>
          <w:szCs w:val="24"/>
        </w:rPr>
        <w:t>we assume several periods of solar wind irradiation, each followed by erosion</w:t>
      </w:r>
      <w:r w:rsidR="00BC0882">
        <w:rPr>
          <w:bCs/>
          <w:szCs w:val="24"/>
        </w:rPr>
        <w:t xml:space="preserve"> – a series of distinct separate events, while in reality implantation and erosion more likely occur simultaneously.</w:t>
      </w:r>
      <w:r w:rsidR="001200FD">
        <w:rPr>
          <w:bCs/>
          <w:szCs w:val="24"/>
        </w:rPr>
        <w:t xml:space="preserve"> </w:t>
      </w:r>
      <w:r w:rsidR="00BC0882">
        <w:rPr>
          <w:bCs/>
          <w:szCs w:val="24"/>
        </w:rPr>
        <w:t>In detail, we have assumed to deal with 10 episodes of SW irradiation</w:t>
      </w:r>
      <w:r w:rsidR="009A7868">
        <w:rPr>
          <w:bCs/>
          <w:szCs w:val="24"/>
        </w:rPr>
        <w:t>,</w:t>
      </w:r>
      <w:r w:rsidR="00BC0882">
        <w:rPr>
          <w:bCs/>
          <w:szCs w:val="24"/>
        </w:rPr>
        <w:t xml:space="preserve"> each followed by material loss</w:t>
      </w:r>
      <w:r w:rsidR="009A7868">
        <w:rPr>
          <w:bCs/>
          <w:szCs w:val="24"/>
        </w:rPr>
        <w:t xml:space="preserve">. </w:t>
      </w:r>
      <w:r w:rsidR="009A7868">
        <w:rPr>
          <w:bCs/>
          <w:szCs w:val="24"/>
        </w:rPr>
        <w:lastRenderedPageBreak/>
        <w:t>One case assumes</w:t>
      </w:r>
      <w:r w:rsidR="00BC0882">
        <w:rPr>
          <w:bCs/>
          <w:szCs w:val="24"/>
        </w:rPr>
        <w:t xml:space="preserve"> </w:t>
      </w:r>
      <w:r w:rsidR="00D13F68">
        <w:rPr>
          <w:bCs/>
          <w:szCs w:val="24"/>
        </w:rPr>
        <w:t>2 nm</w:t>
      </w:r>
      <w:r w:rsidR="00BC0882">
        <w:rPr>
          <w:bCs/>
          <w:szCs w:val="24"/>
        </w:rPr>
        <w:t xml:space="preserve"> </w:t>
      </w:r>
      <w:r w:rsidR="009A7868">
        <w:rPr>
          <w:bCs/>
          <w:szCs w:val="24"/>
        </w:rPr>
        <w:t>loss of outer material during each episode, corresponding to a total loss of 20 nm</w:t>
      </w:r>
      <w:r w:rsidR="00BC0882">
        <w:rPr>
          <w:bCs/>
          <w:szCs w:val="24"/>
        </w:rPr>
        <w:t xml:space="preserve">, </w:t>
      </w:r>
      <w:r w:rsidR="009A7868">
        <w:rPr>
          <w:bCs/>
          <w:szCs w:val="24"/>
        </w:rPr>
        <w:t>the other</w:t>
      </w:r>
      <w:r w:rsidR="00BC0882">
        <w:rPr>
          <w:bCs/>
          <w:szCs w:val="24"/>
        </w:rPr>
        <w:t xml:space="preserve"> </w:t>
      </w:r>
      <w:r w:rsidR="009A7868">
        <w:rPr>
          <w:bCs/>
          <w:szCs w:val="24"/>
        </w:rPr>
        <w:t xml:space="preserve">case assumes </w:t>
      </w:r>
      <w:r w:rsidR="00D13F68">
        <w:rPr>
          <w:bCs/>
          <w:szCs w:val="24"/>
        </w:rPr>
        <w:t>5 nm</w:t>
      </w:r>
      <w:r w:rsidR="00BC0882">
        <w:rPr>
          <w:bCs/>
          <w:szCs w:val="24"/>
        </w:rPr>
        <w:t xml:space="preserve"> </w:t>
      </w:r>
      <w:r w:rsidR="009A7868">
        <w:rPr>
          <w:bCs/>
          <w:szCs w:val="24"/>
        </w:rPr>
        <w:t>erosion during each episode, for a total removal of the original outer 50 nm</w:t>
      </w:r>
      <w:r w:rsidR="00BC0882">
        <w:rPr>
          <w:bCs/>
          <w:szCs w:val="24"/>
        </w:rPr>
        <w:t xml:space="preserve">. </w:t>
      </w:r>
      <w:r w:rsidR="001200FD">
        <w:rPr>
          <w:bCs/>
          <w:szCs w:val="24"/>
        </w:rPr>
        <w:t>In addition, for studying how the additional presence of cosmogenic gases affect</w:t>
      </w:r>
      <w:r w:rsidR="009A7868">
        <w:rPr>
          <w:bCs/>
          <w:szCs w:val="24"/>
        </w:rPr>
        <w:t>s</w:t>
      </w:r>
      <w:r w:rsidR="001200FD">
        <w:rPr>
          <w:bCs/>
          <w:szCs w:val="24"/>
        </w:rPr>
        <w:t xml:space="preserve"> the observed array of data points as a function of depth, we </w:t>
      </w:r>
      <w:r w:rsidR="00BC0882">
        <w:rPr>
          <w:bCs/>
          <w:szCs w:val="24"/>
        </w:rPr>
        <w:t xml:space="preserve">again </w:t>
      </w:r>
      <w:r w:rsidR="001200FD">
        <w:rPr>
          <w:bCs/>
          <w:szCs w:val="24"/>
        </w:rPr>
        <w:t>have assumed a constant cosmogenic contribution throughout the considered grain volume.</w:t>
      </w:r>
      <w:r w:rsidR="002E666C">
        <w:rPr>
          <w:bCs/>
          <w:szCs w:val="24"/>
        </w:rPr>
        <w:t xml:space="preserve"> Again, we show also the case of no cosmogenic contribution.</w:t>
      </w:r>
    </w:p>
    <w:p w14:paraId="00D1545E" w14:textId="48CFC7E7" w:rsidR="00983353" w:rsidRDefault="00983353" w:rsidP="002B4315">
      <w:r>
        <w:rPr>
          <w:noProof/>
          <w:lang w:val="ru-RU" w:eastAsia="ru-RU"/>
        </w:rPr>
        <w:drawing>
          <wp:inline distT="0" distB="0" distL="0" distR="0" wp14:anchorId="7953F1F7" wp14:editId="7A67096D">
            <wp:extent cx="5419725" cy="491490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9725" cy="4914900"/>
                    </a:xfrm>
                    <a:prstGeom prst="rect">
                      <a:avLst/>
                    </a:prstGeom>
                    <a:noFill/>
                    <a:ln>
                      <a:noFill/>
                    </a:ln>
                  </pic:spPr>
                </pic:pic>
              </a:graphicData>
            </a:graphic>
          </wp:inline>
        </w:drawing>
      </w:r>
    </w:p>
    <w:p w14:paraId="0973EB9B" w14:textId="5181EF97" w:rsidR="00CE119E" w:rsidRDefault="00D13F68" w:rsidP="002B4315">
      <w:r>
        <w:t xml:space="preserve">Fig. S3. Composition expected to be found, after 10 discrete episodes of SW irradiation followed each by erosion, as a function of (current) depth for different values of erosion rate and cosmogenic contribution as quantified by the parameter r (see text for explanation). </w:t>
      </w:r>
    </w:p>
    <w:p w14:paraId="64CDBA28" w14:textId="436B8199" w:rsidR="002E666C" w:rsidRDefault="002E666C" w:rsidP="00C61671">
      <w:pPr>
        <w:spacing w:line="360" w:lineRule="auto"/>
      </w:pPr>
    </w:p>
    <w:p w14:paraId="0596C68B" w14:textId="79B70F4D" w:rsidR="00D13F68" w:rsidRDefault="00D13F68" w:rsidP="00D13F68">
      <w:pPr>
        <w:spacing w:line="360" w:lineRule="auto"/>
        <w:ind w:firstLine="567"/>
        <w:rPr>
          <w:bCs/>
          <w:szCs w:val="24"/>
        </w:rPr>
      </w:pPr>
      <w:r>
        <w:rPr>
          <w:bCs/>
          <w:szCs w:val="24"/>
        </w:rPr>
        <w:t>Fig. S3 shows then, in a standard Ne 3-isotope plot, the “expected” composition measured at various depths in the remaining material. The individual data points show what would be expected at (current) depths of 5, 9, 13…..97 nm in the “no erosion” and 10</w:t>
      </w:r>
      <w:r w:rsidR="00C65174">
        <w:rPr>
          <w:bCs/>
          <w:szCs w:val="24"/>
        </w:rPr>
        <w:t>×</w:t>
      </w:r>
      <w:r>
        <w:rPr>
          <w:bCs/>
          <w:szCs w:val="24"/>
        </w:rPr>
        <w:t>2 nm erosion cases, and at 5, 10, 15, ….. 95 nm in the 10</w:t>
      </w:r>
      <w:r w:rsidR="00C65174">
        <w:rPr>
          <w:bCs/>
          <w:szCs w:val="24"/>
        </w:rPr>
        <w:t>×</w:t>
      </w:r>
      <w:r>
        <w:rPr>
          <w:bCs/>
          <w:szCs w:val="24"/>
        </w:rPr>
        <w:t>5 nm erosion case. These values then correspond to what one should expect to find for the idealized case of onion-shell like removal during analysis by either, etching or combustion.</w:t>
      </w:r>
    </w:p>
    <w:p w14:paraId="0C463C0B" w14:textId="4F1C4654" w:rsidR="00061E1D" w:rsidRDefault="00292F8D" w:rsidP="00061E1D">
      <w:pPr>
        <w:spacing w:line="360" w:lineRule="auto"/>
        <w:rPr>
          <w:bCs/>
          <w:szCs w:val="24"/>
        </w:rPr>
      </w:pPr>
      <w:r>
        <w:rPr>
          <w:noProof/>
          <w:lang w:val="ru-RU" w:eastAsia="ru-RU"/>
        </w:rPr>
        <w:lastRenderedPageBreak/>
        <w:drawing>
          <wp:inline distT="0" distB="0" distL="0" distR="0" wp14:anchorId="1F51621C" wp14:editId="3841CB2D">
            <wp:extent cx="5419725" cy="7410450"/>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9725" cy="7410450"/>
                    </a:xfrm>
                    <a:prstGeom prst="rect">
                      <a:avLst/>
                    </a:prstGeom>
                    <a:noFill/>
                    <a:ln>
                      <a:noFill/>
                    </a:ln>
                  </pic:spPr>
                </pic:pic>
              </a:graphicData>
            </a:graphic>
          </wp:inline>
        </w:drawing>
      </w:r>
    </w:p>
    <w:p w14:paraId="52837E8D" w14:textId="73313548" w:rsidR="00061E1D" w:rsidRDefault="00061E1D" w:rsidP="00061E1D">
      <w:pPr>
        <w:rPr>
          <w:bCs/>
          <w:szCs w:val="24"/>
        </w:rPr>
      </w:pPr>
      <w:r>
        <w:rPr>
          <w:bCs/>
          <w:szCs w:val="24"/>
        </w:rPr>
        <w:t xml:space="preserve">Fig. </w:t>
      </w:r>
      <w:r w:rsidR="00FE2E99">
        <w:rPr>
          <w:bCs/>
          <w:szCs w:val="24"/>
        </w:rPr>
        <w:t>S</w:t>
      </w:r>
      <w:r>
        <w:rPr>
          <w:bCs/>
          <w:szCs w:val="24"/>
        </w:rPr>
        <w:t>4</w:t>
      </w:r>
      <w:r w:rsidR="00FE2E99">
        <w:rPr>
          <w:bCs/>
          <w:szCs w:val="24"/>
        </w:rPr>
        <w:t>.</w:t>
      </w:r>
      <w:r>
        <w:rPr>
          <w:bCs/>
          <w:szCs w:val="24"/>
        </w:rPr>
        <w:t xml:space="preserve"> </w:t>
      </w:r>
      <w:r w:rsidR="00764D58">
        <w:rPr>
          <w:bCs/>
          <w:szCs w:val="24"/>
        </w:rPr>
        <w:t>In order to explore the influence of cosmogenic contribution plus erosion, m</w:t>
      </w:r>
      <w:r>
        <w:rPr>
          <w:bCs/>
          <w:szCs w:val="24"/>
        </w:rPr>
        <w:t xml:space="preserve">odel curves </w:t>
      </w:r>
      <w:r w:rsidR="00764D58">
        <w:rPr>
          <w:bCs/>
          <w:szCs w:val="24"/>
        </w:rPr>
        <w:t>are compared</w:t>
      </w:r>
      <w:r>
        <w:rPr>
          <w:bCs/>
          <w:szCs w:val="24"/>
        </w:rPr>
        <w:t xml:space="preserve"> to values measured by stepwise combustion of Pesyanoe Px-G and Px-B </w:t>
      </w:r>
      <w:r w:rsidR="00764D58">
        <w:rPr>
          <w:bCs/>
          <w:szCs w:val="24"/>
        </w:rPr>
        <w:t>(</w:t>
      </w:r>
      <w:r>
        <w:rPr>
          <w:bCs/>
          <w:szCs w:val="24"/>
        </w:rPr>
        <w:t>Tables 5 and 6) and to lunar plagioclases (Wieler et al.</w:t>
      </w:r>
      <w:r w:rsidR="00FF62E3">
        <w:rPr>
          <w:bCs/>
          <w:szCs w:val="24"/>
        </w:rPr>
        <w:t>,</w:t>
      </w:r>
      <w:r>
        <w:rPr>
          <w:bCs/>
          <w:szCs w:val="24"/>
        </w:rPr>
        <w:t xml:space="preserve"> 1986)</w:t>
      </w:r>
      <w:r w:rsidR="00292F8D">
        <w:rPr>
          <w:bCs/>
          <w:szCs w:val="24"/>
        </w:rPr>
        <w:t>,</w:t>
      </w:r>
      <w:r>
        <w:rPr>
          <w:bCs/>
          <w:szCs w:val="24"/>
        </w:rPr>
        <w:t xml:space="preserve"> as well as plagioclase separates from the Kapo</w:t>
      </w:r>
      <w:r w:rsidR="00BB5F1D">
        <w:rPr>
          <w:bCs/>
          <w:szCs w:val="24"/>
        </w:rPr>
        <w:t>e</w:t>
      </w:r>
      <w:r>
        <w:rPr>
          <w:bCs/>
          <w:szCs w:val="24"/>
        </w:rPr>
        <w:t>ta howardite (Pedroni</w:t>
      </w:r>
      <w:r w:rsidR="00FF62E3">
        <w:rPr>
          <w:bCs/>
          <w:szCs w:val="24"/>
        </w:rPr>
        <w:t>,</w:t>
      </w:r>
      <w:r>
        <w:rPr>
          <w:bCs/>
          <w:szCs w:val="24"/>
        </w:rPr>
        <w:t xml:space="preserve"> 1989; Wieler et al.</w:t>
      </w:r>
      <w:r w:rsidR="00FF62E3">
        <w:rPr>
          <w:bCs/>
          <w:szCs w:val="24"/>
        </w:rPr>
        <w:t>,</w:t>
      </w:r>
      <w:r>
        <w:rPr>
          <w:bCs/>
          <w:szCs w:val="24"/>
        </w:rPr>
        <w:t xml:space="preserve"> 2000).</w:t>
      </w:r>
      <w:r w:rsidR="00764D58">
        <w:rPr>
          <w:bCs/>
          <w:szCs w:val="24"/>
        </w:rPr>
        <w:t xml:space="preserve"> The top section shows, for the case of a fixed erosion (100 nm total, constant rate) </w:t>
      </w:r>
      <w:r w:rsidR="00292F8D">
        <w:rPr>
          <w:bCs/>
          <w:szCs w:val="24"/>
        </w:rPr>
        <w:t xml:space="preserve">taking place </w:t>
      </w:r>
      <w:r w:rsidR="00764D58">
        <w:rPr>
          <w:bCs/>
          <w:szCs w:val="24"/>
        </w:rPr>
        <w:t xml:space="preserve">contemporaneous to SW irradiation, for three different relative cosmogenic contributions characterized by the parameter r (see text for definition). The bottom part explores the effect of different </w:t>
      </w:r>
      <w:r w:rsidR="00292F8D">
        <w:rPr>
          <w:bCs/>
          <w:szCs w:val="24"/>
        </w:rPr>
        <w:t xml:space="preserve">amounts of </w:t>
      </w:r>
      <w:r w:rsidR="00764D58">
        <w:rPr>
          <w:bCs/>
          <w:szCs w:val="24"/>
        </w:rPr>
        <w:t>erosion for a fixed r value of cosmogenic contribution.</w:t>
      </w:r>
    </w:p>
    <w:p w14:paraId="3E5DDFE1" w14:textId="462D34D3" w:rsidR="002B4315" w:rsidRDefault="002B4315" w:rsidP="002B4315">
      <w:pPr>
        <w:spacing w:line="360" w:lineRule="auto"/>
        <w:ind w:firstLine="567"/>
        <w:rPr>
          <w:bCs/>
          <w:szCs w:val="24"/>
        </w:rPr>
      </w:pPr>
      <w:r>
        <w:rPr>
          <w:bCs/>
          <w:szCs w:val="24"/>
        </w:rPr>
        <w:lastRenderedPageBreak/>
        <w:t xml:space="preserve">Fig. 4 </w:t>
      </w:r>
      <w:r w:rsidR="00C3528C">
        <w:rPr>
          <w:bCs/>
          <w:szCs w:val="24"/>
        </w:rPr>
        <w:t>compares model results</w:t>
      </w:r>
      <w:r>
        <w:rPr>
          <w:bCs/>
          <w:szCs w:val="24"/>
        </w:rPr>
        <w:t xml:space="preserve"> to the data for our combustion analyses of Pesyanoe Px-B and Px-G. For comparison we also show data for two lunar plagioclases (Wieler et al.</w:t>
      </w:r>
      <w:r w:rsidR="00FF62E3">
        <w:rPr>
          <w:bCs/>
          <w:szCs w:val="24"/>
        </w:rPr>
        <w:t>,</w:t>
      </w:r>
      <w:r>
        <w:rPr>
          <w:bCs/>
          <w:szCs w:val="24"/>
        </w:rPr>
        <w:t xml:space="preserve"> 1986) as well as plagioclase from the Kapoeta howardite (Pedroni</w:t>
      </w:r>
      <w:r w:rsidR="00FF62E3">
        <w:rPr>
          <w:bCs/>
          <w:szCs w:val="24"/>
        </w:rPr>
        <w:t>,</w:t>
      </w:r>
      <w:r>
        <w:rPr>
          <w:bCs/>
          <w:szCs w:val="24"/>
        </w:rPr>
        <w:t xml:space="preserve"> 1989; Wieler et al.</w:t>
      </w:r>
      <w:r w:rsidR="00FF62E3">
        <w:rPr>
          <w:bCs/>
          <w:szCs w:val="24"/>
        </w:rPr>
        <w:t>,</w:t>
      </w:r>
      <w:r>
        <w:rPr>
          <w:bCs/>
          <w:szCs w:val="24"/>
        </w:rPr>
        <w:t xml:space="preserve"> 2000). </w:t>
      </w:r>
      <w:r w:rsidR="00C3528C">
        <w:rPr>
          <w:bCs/>
          <w:szCs w:val="24"/>
        </w:rPr>
        <w:t xml:space="preserve">The top part explores the influence of cosmogenic contribution for a fixed erosion value, while in the bottom section the effect of variable erosion is shown for a fixed value r of the cosmogenic contribution. </w:t>
      </w:r>
      <w:r w:rsidR="00292F8D">
        <w:rPr>
          <w:bCs/>
          <w:szCs w:val="24"/>
        </w:rPr>
        <w:t>Obviously, in order to match the Pesyanoe data, rather low values for erosion and/or cosmogenic contribution are required.</w:t>
      </w:r>
      <w:r>
        <w:rPr>
          <w:bCs/>
          <w:szCs w:val="24"/>
        </w:rPr>
        <w:t xml:space="preserve"> Figs. 3 and 4 again show, as does Fig. 2</w:t>
      </w:r>
      <w:r w:rsidR="00292F8D">
        <w:rPr>
          <w:bCs/>
          <w:szCs w:val="24"/>
        </w:rPr>
        <w:t>,</w:t>
      </w:r>
      <w:r>
        <w:rPr>
          <w:bCs/>
          <w:szCs w:val="24"/>
        </w:rPr>
        <w:t xml:space="preserve"> that due to the curved nature of the correlation, the composition derived from drawing a straight line through cosmogenic and measured data points</w:t>
      </w:r>
      <w:r w:rsidR="002939EC">
        <w:rPr>
          <w:bCs/>
          <w:szCs w:val="24"/>
        </w:rPr>
        <w:t>,</w:t>
      </w:r>
      <w:r>
        <w:rPr>
          <w:bCs/>
          <w:szCs w:val="24"/>
        </w:rPr>
        <w:t xml:space="preserve"> towards the expected </w:t>
      </w:r>
      <w:r>
        <w:rPr>
          <w:bCs/>
          <w:szCs w:val="24"/>
          <w:vertAlign w:val="superscript"/>
        </w:rPr>
        <w:t>21</w:t>
      </w:r>
      <w:r>
        <w:rPr>
          <w:bCs/>
          <w:szCs w:val="24"/>
        </w:rPr>
        <w:t>Ne/</w:t>
      </w:r>
      <w:r>
        <w:rPr>
          <w:bCs/>
          <w:szCs w:val="24"/>
          <w:vertAlign w:val="superscript"/>
        </w:rPr>
        <w:t>22</w:t>
      </w:r>
      <w:r>
        <w:rPr>
          <w:bCs/>
          <w:szCs w:val="24"/>
        </w:rPr>
        <w:t>Ne ratio</w:t>
      </w:r>
      <w:r w:rsidR="002939EC">
        <w:rPr>
          <w:bCs/>
          <w:szCs w:val="24"/>
        </w:rPr>
        <w:t>,</w:t>
      </w:r>
      <w:r>
        <w:rPr>
          <w:bCs/>
          <w:szCs w:val="24"/>
        </w:rPr>
        <w:t xml:space="preserve"> tends to underestimate the </w:t>
      </w:r>
      <w:r>
        <w:rPr>
          <w:bCs/>
          <w:szCs w:val="24"/>
          <w:vertAlign w:val="superscript"/>
        </w:rPr>
        <w:t>20</w:t>
      </w:r>
      <w:r>
        <w:rPr>
          <w:bCs/>
          <w:szCs w:val="24"/>
        </w:rPr>
        <w:t>Ne/</w:t>
      </w:r>
      <w:r>
        <w:rPr>
          <w:bCs/>
          <w:szCs w:val="24"/>
          <w:vertAlign w:val="superscript"/>
        </w:rPr>
        <w:t>22</w:t>
      </w:r>
      <w:r>
        <w:rPr>
          <w:bCs/>
          <w:szCs w:val="24"/>
        </w:rPr>
        <w:t>Ne ratio in FSW.</w:t>
      </w:r>
    </w:p>
    <w:p w14:paraId="31045CB0" w14:textId="255BBA98" w:rsidR="00CE119E" w:rsidRPr="00CE3529" w:rsidRDefault="00CE3529" w:rsidP="002B4315">
      <w:pPr>
        <w:spacing w:line="360" w:lineRule="auto"/>
        <w:ind w:firstLine="567"/>
        <w:rPr>
          <w:bCs/>
          <w:szCs w:val="24"/>
        </w:rPr>
      </w:pPr>
      <w:r>
        <w:rPr>
          <w:bCs/>
          <w:szCs w:val="24"/>
        </w:rPr>
        <w:t>The data points for lunar and Kapoeta plagioclases</w:t>
      </w:r>
      <w:r w:rsidR="002B4315">
        <w:rPr>
          <w:bCs/>
          <w:szCs w:val="24"/>
        </w:rPr>
        <w:t>,</w:t>
      </w:r>
      <w:r>
        <w:rPr>
          <w:bCs/>
          <w:szCs w:val="24"/>
        </w:rPr>
        <w:t xml:space="preserve"> also shown in Fig. 4, plot significantly higher and define an essentially straight line down to </w:t>
      </w:r>
      <w:r w:rsidR="002B4315">
        <w:rPr>
          <w:bCs/>
          <w:szCs w:val="24"/>
        </w:rPr>
        <w:t>very low, SW-like,</w:t>
      </w:r>
      <w:r>
        <w:rPr>
          <w:bCs/>
          <w:szCs w:val="24"/>
        </w:rPr>
        <w:t xml:space="preserve"> </w:t>
      </w:r>
      <w:r>
        <w:rPr>
          <w:bCs/>
          <w:szCs w:val="24"/>
          <w:vertAlign w:val="superscript"/>
        </w:rPr>
        <w:t>21</w:t>
      </w:r>
      <w:r>
        <w:rPr>
          <w:bCs/>
          <w:szCs w:val="24"/>
        </w:rPr>
        <w:t>Ne/</w:t>
      </w:r>
      <w:r>
        <w:rPr>
          <w:bCs/>
          <w:szCs w:val="24"/>
          <w:vertAlign w:val="superscript"/>
        </w:rPr>
        <w:t>22</w:t>
      </w:r>
      <w:r>
        <w:rPr>
          <w:bCs/>
          <w:szCs w:val="24"/>
        </w:rPr>
        <w:t xml:space="preserve">Ne. While </w:t>
      </w:r>
      <w:r w:rsidR="002B4315">
        <w:rPr>
          <w:bCs/>
          <w:szCs w:val="24"/>
        </w:rPr>
        <w:t>an</w:t>
      </w:r>
      <w:r>
        <w:rPr>
          <w:bCs/>
          <w:szCs w:val="24"/>
        </w:rPr>
        <w:t xml:space="preserve"> upward shift </w:t>
      </w:r>
      <w:r w:rsidR="008D1440">
        <w:rPr>
          <w:bCs/>
          <w:szCs w:val="24"/>
        </w:rPr>
        <w:t>relative</w:t>
      </w:r>
      <w:r w:rsidR="002B4315">
        <w:rPr>
          <w:bCs/>
          <w:szCs w:val="24"/>
        </w:rPr>
        <w:t xml:space="preserve"> to the </w:t>
      </w:r>
      <w:r w:rsidR="008D1440">
        <w:rPr>
          <w:bCs/>
          <w:szCs w:val="24"/>
        </w:rPr>
        <w:t xml:space="preserve">shown </w:t>
      </w:r>
      <w:r w:rsidR="002B4315">
        <w:rPr>
          <w:bCs/>
          <w:szCs w:val="24"/>
        </w:rPr>
        <w:t xml:space="preserve">model lines </w:t>
      </w:r>
      <w:r>
        <w:rPr>
          <w:bCs/>
          <w:szCs w:val="24"/>
        </w:rPr>
        <w:t xml:space="preserve">can be </w:t>
      </w:r>
      <w:r w:rsidR="002B4315">
        <w:rPr>
          <w:bCs/>
          <w:szCs w:val="24"/>
        </w:rPr>
        <w:t>achieved</w:t>
      </w:r>
      <w:r>
        <w:rPr>
          <w:bCs/>
          <w:szCs w:val="24"/>
        </w:rPr>
        <w:t xml:space="preserve"> by choosing a significantly higher r value, a result of stronger cosmogenic contribution is also that the left-most </w:t>
      </w:r>
      <w:r>
        <w:rPr>
          <w:bCs/>
          <w:szCs w:val="24"/>
          <w:vertAlign w:val="superscript"/>
        </w:rPr>
        <w:t>21</w:t>
      </w:r>
      <w:r>
        <w:rPr>
          <w:bCs/>
          <w:szCs w:val="24"/>
        </w:rPr>
        <w:t>Ne/</w:t>
      </w:r>
      <w:r>
        <w:rPr>
          <w:bCs/>
          <w:szCs w:val="24"/>
          <w:vertAlign w:val="superscript"/>
        </w:rPr>
        <w:t>22</w:t>
      </w:r>
      <w:r>
        <w:rPr>
          <w:bCs/>
          <w:szCs w:val="24"/>
        </w:rPr>
        <w:t>Ne</w:t>
      </w:r>
      <w:r w:rsidR="002B4315">
        <w:rPr>
          <w:bCs/>
          <w:szCs w:val="24"/>
        </w:rPr>
        <w:t xml:space="preserve"> data points</w:t>
      </w:r>
      <w:r>
        <w:rPr>
          <w:bCs/>
          <w:szCs w:val="24"/>
        </w:rPr>
        <w:t>, close to that of unfractionated SW</w:t>
      </w:r>
      <w:r w:rsidR="002939EC">
        <w:rPr>
          <w:bCs/>
          <w:szCs w:val="24"/>
        </w:rPr>
        <w:t>,</w:t>
      </w:r>
      <w:r>
        <w:rPr>
          <w:bCs/>
          <w:szCs w:val="24"/>
        </w:rPr>
        <w:t xml:space="preserve"> are not reached. A possible / probable reason may lie in our stepwise rather than continuous approach, but clearly more sophisticated modelling</w:t>
      </w:r>
      <w:r w:rsidR="002B4315">
        <w:rPr>
          <w:bCs/>
          <w:szCs w:val="24"/>
        </w:rPr>
        <w:t xml:space="preserve"> is required</w:t>
      </w:r>
      <w:r>
        <w:rPr>
          <w:bCs/>
          <w:szCs w:val="24"/>
        </w:rPr>
        <w:t>.</w:t>
      </w:r>
    </w:p>
    <w:p w14:paraId="2335B519" w14:textId="77777777" w:rsidR="00CE119E" w:rsidRDefault="00CE119E" w:rsidP="00C61671">
      <w:pPr>
        <w:spacing w:line="360" w:lineRule="auto"/>
        <w:rPr>
          <w:bCs/>
          <w:szCs w:val="24"/>
        </w:rPr>
      </w:pPr>
    </w:p>
    <w:p w14:paraId="2FE488D8" w14:textId="77777777" w:rsidR="002011DA" w:rsidRDefault="002011DA" w:rsidP="00C61671">
      <w:pPr>
        <w:spacing w:line="360" w:lineRule="auto"/>
        <w:rPr>
          <w:bCs/>
          <w:szCs w:val="24"/>
        </w:rPr>
      </w:pPr>
    </w:p>
    <w:p w14:paraId="6F8CAF85" w14:textId="3374F4D2" w:rsidR="00ED5BD5" w:rsidRDefault="00ED5BD5" w:rsidP="00FE2E99">
      <w:pPr>
        <w:spacing w:line="360" w:lineRule="auto"/>
        <w:ind w:firstLine="567"/>
        <w:rPr>
          <w:bCs/>
          <w:szCs w:val="24"/>
        </w:rPr>
      </w:pPr>
      <w:r>
        <w:rPr>
          <w:b/>
          <w:szCs w:val="24"/>
        </w:rPr>
        <w:t>Additional references</w:t>
      </w:r>
    </w:p>
    <w:p w14:paraId="28E0E532" w14:textId="1962C875" w:rsidR="00ED5BD5" w:rsidRPr="004010CB" w:rsidRDefault="00ED5BD5" w:rsidP="00ED5BD5">
      <w:pPr>
        <w:spacing w:line="360" w:lineRule="auto"/>
        <w:ind w:firstLine="567"/>
        <w:rPr>
          <w:bCs/>
          <w:szCs w:val="24"/>
          <w:lang w:val="de-DE"/>
        </w:rPr>
      </w:pPr>
      <w:r w:rsidRPr="00F059F9">
        <w:rPr>
          <w:bCs/>
          <w:szCs w:val="24"/>
          <w:lang w:val="en-US"/>
        </w:rPr>
        <w:t>Benkert</w:t>
      </w:r>
      <w:r w:rsidR="006B3B03" w:rsidRPr="00F059F9">
        <w:rPr>
          <w:bCs/>
          <w:szCs w:val="24"/>
          <w:lang w:val="en-US"/>
        </w:rPr>
        <w:t>,</w:t>
      </w:r>
      <w:r w:rsidRPr="00F059F9">
        <w:rPr>
          <w:bCs/>
          <w:szCs w:val="24"/>
          <w:lang w:val="en-US"/>
        </w:rPr>
        <w:t xml:space="preserve"> J.-P., Baur</w:t>
      </w:r>
      <w:r w:rsidR="006B3B03" w:rsidRPr="00F059F9">
        <w:rPr>
          <w:bCs/>
          <w:szCs w:val="24"/>
          <w:lang w:val="en-US"/>
        </w:rPr>
        <w:t>,</w:t>
      </w:r>
      <w:r w:rsidRPr="00F059F9">
        <w:rPr>
          <w:bCs/>
          <w:szCs w:val="24"/>
          <w:lang w:val="en-US"/>
        </w:rPr>
        <w:t xml:space="preserve"> H., Signer</w:t>
      </w:r>
      <w:r w:rsidR="006B3B03" w:rsidRPr="00F059F9">
        <w:rPr>
          <w:bCs/>
          <w:szCs w:val="24"/>
          <w:lang w:val="en-US"/>
        </w:rPr>
        <w:t>,</w:t>
      </w:r>
      <w:r w:rsidRPr="00F059F9">
        <w:rPr>
          <w:bCs/>
          <w:szCs w:val="24"/>
          <w:lang w:val="en-US"/>
        </w:rPr>
        <w:t xml:space="preserve"> P.</w:t>
      </w:r>
      <w:r w:rsidR="006B3B03" w:rsidRPr="00F059F9">
        <w:rPr>
          <w:bCs/>
          <w:szCs w:val="24"/>
          <w:lang w:val="en-US"/>
        </w:rPr>
        <w:t xml:space="preserve">, </w:t>
      </w:r>
      <w:r w:rsidRPr="00F059F9">
        <w:rPr>
          <w:bCs/>
          <w:szCs w:val="24"/>
          <w:lang w:val="en-US"/>
        </w:rPr>
        <w:t>Wieler R.</w:t>
      </w:r>
      <w:r w:rsidR="006B3B03" w:rsidRPr="00F059F9">
        <w:rPr>
          <w:bCs/>
          <w:szCs w:val="24"/>
          <w:lang w:val="en-US"/>
        </w:rPr>
        <w:t>,</w:t>
      </w:r>
      <w:r w:rsidRPr="00F059F9">
        <w:rPr>
          <w:bCs/>
          <w:szCs w:val="24"/>
          <w:lang w:val="en-US"/>
        </w:rPr>
        <w:t xml:space="preserve"> 1993</w:t>
      </w:r>
      <w:r w:rsidR="006B3B03" w:rsidRPr="00F059F9">
        <w:rPr>
          <w:bCs/>
          <w:szCs w:val="24"/>
          <w:lang w:val="en-US"/>
        </w:rPr>
        <w:t>.</w:t>
      </w:r>
      <w:r w:rsidRPr="00F059F9">
        <w:rPr>
          <w:bCs/>
          <w:szCs w:val="24"/>
          <w:lang w:val="en-US"/>
        </w:rPr>
        <w:t xml:space="preserve"> </w:t>
      </w:r>
      <w:r w:rsidRPr="00ED5BD5">
        <w:rPr>
          <w:bCs/>
          <w:szCs w:val="24"/>
          <w:lang w:val="en-US"/>
        </w:rPr>
        <w:t>He, Ne, and A</w:t>
      </w:r>
      <w:r>
        <w:rPr>
          <w:bCs/>
          <w:szCs w:val="24"/>
          <w:lang w:val="en-US"/>
        </w:rPr>
        <w:t xml:space="preserve">r from the solar wind and solar energetic particles in lunar ilmenites and pyroxenes. </w:t>
      </w:r>
      <w:r>
        <w:rPr>
          <w:bCs/>
          <w:i/>
          <w:iCs/>
          <w:szCs w:val="24"/>
          <w:lang w:val="en-US"/>
        </w:rPr>
        <w:t xml:space="preserve"> </w:t>
      </w:r>
      <w:r w:rsidRPr="00FE2E99">
        <w:rPr>
          <w:bCs/>
          <w:iCs/>
          <w:szCs w:val="24"/>
          <w:lang w:val="de-DE"/>
        </w:rPr>
        <w:t>J</w:t>
      </w:r>
      <w:r w:rsidR="006B3B03" w:rsidRPr="00FE2E99">
        <w:rPr>
          <w:bCs/>
          <w:iCs/>
          <w:szCs w:val="24"/>
          <w:lang w:val="de-DE"/>
        </w:rPr>
        <w:t>.</w:t>
      </w:r>
      <w:r w:rsidRPr="00FE2E99">
        <w:rPr>
          <w:bCs/>
          <w:iCs/>
          <w:szCs w:val="24"/>
          <w:lang w:val="de-DE"/>
        </w:rPr>
        <w:t xml:space="preserve"> Geophys</w:t>
      </w:r>
      <w:r w:rsidR="006B3B03" w:rsidRPr="00FE2E99">
        <w:rPr>
          <w:bCs/>
          <w:iCs/>
          <w:szCs w:val="24"/>
          <w:lang w:val="de-DE"/>
        </w:rPr>
        <w:t>.</w:t>
      </w:r>
      <w:r w:rsidRPr="00FE2E99">
        <w:rPr>
          <w:bCs/>
          <w:iCs/>
          <w:szCs w:val="24"/>
          <w:lang w:val="de-DE"/>
        </w:rPr>
        <w:t xml:space="preserve"> Res</w:t>
      </w:r>
      <w:r w:rsidR="006B3B03" w:rsidRPr="00FE2E99">
        <w:rPr>
          <w:bCs/>
          <w:iCs/>
          <w:szCs w:val="24"/>
          <w:lang w:val="de-DE"/>
        </w:rPr>
        <w:t>.</w:t>
      </w:r>
      <w:r w:rsidRPr="004010CB">
        <w:rPr>
          <w:bCs/>
          <w:szCs w:val="24"/>
          <w:lang w:val="de-DE"/>
        </w:rPr>
        <w:t xml:space="preserve"> </w:t>
      </w:r>
      <w:r w:rsidRPr="004010CB">
        <w:rPr>
          <w:b/>
          <w:szCs w:val="24"/>
          <w:lang w:val="de-DE"/>
        </w:rPr>
        <w:t>98</w:t>
      </w:r>
      <w:r w:rsidR="00853C7D">
        <w:rPr>
          <w:bCs/>
          <w:szCs w:val="24"/>
          <w:lang w:val="de-DE"/>
        </w:rPr>
        <w:t>,</w:t>
      </w:r>
      <w:r w:rsidRPr="004010CB">
        <w:rPr>
          <w:bCs/>
          <w:szCs w:val="24"/>
          <w:lang w:val="de-DE"/>
        </w:rPr>
        <w:t xml:space="preserve"> 13147-13162.</w:t>
      </w:r>
    </w:p>
    <w:p w14:paraId="0606E8E9" w14:textId="09CA3BF5" w:rsidR="005E6001" w:rsidRPr="00853C7D" w:rsidRDefault="005E6001" w:rsidP="00ED5BD5">
      <w:pPr>
        <w:spacing w:line="360" w:lineRule="auto"/>
        <w:ind w:firstLine="567"/>
        <w:rPr>
          <w:bCs/>
          <w:szCs w:val="24"/>
          <w:lang w:val="de-DE"/>
        </w:rPr>
      </w:pPr>
      <w:r w:rsidRPr="00DE4B7F">
        <w:rPr>
          <w:bCs/>
          <w:szCs w:val="24"/>
          <w:lang w:val="de-DE"/>
        </w:rPr>
        <w:t>Pedroni</w:t>
      </w:r>
      <w:r w:rsidR="006B3B03">
        <w:rPr>
          <w:bCs/>
          <w:szCs w:val="24"/>
          <w:lang w:val="de-DE"/>
        </w:rPr>
        <w:t>,</w:t>
      </w:r>
      <w:r w:rsidRPr="00DE4B7F">
        <w:rPr>
          <w:bCs/>
          <w:szCs w:val="24"/>
          <w:lang w:val="de-DE"/>
        </w:rPr>
        <w:t xml:space="preserve"> A.</w:t>
      </w:r>
      <w:r w:rsidR="006B3B03">
        <w:rPr>
          <w:bCs/>
          <w:szCs w:val="24"/>
          <w:lang w:val="de-DE"/>
        </w:rPr>
        <w:t>,</w:t>
      </w:r>
      <w:r w:rsidRPr="00DE4B7F">
        <w:rPr>
          <w:bCs/>
          <w:szCs w:val="24"/>
          <w:lang w:val="de-DE"/>
        </w:rPr>
        <w:t xml:space="preserve"> 1989</w:t>
      </w:r>
      <w:r w:rsidR="006B3B03">
        <w:rPr>
          <w:bCs/>
          <w:szCs w:val="24"/>
          <w:lang w:val="de-DE"/>
        </w:rPr>
        <w:t>.</w:t>
      </w:r>
      <w:r w:rsidR="00DE4B7F" w:rsidRPr="00DE4B7F">
        <w:rPr>
          <w:bCs/>
          <w:szCs w:val="24"/>
          <w:lang w:val="de-DE"/>
        </w:rPr>
        <w:t xml:space="preserve">  Die korpuskulare B</w:t>
      </w:r>
      <w:r w:rsidR="00DE4B7F">
        <w:rPr>
          <w:bCs/>
          <w:szCs w:val="24"/>
          <w:lang w:val="de-DE"/>
        </w:rPr>
        <w:t>estrahlung der Oberflächen von Asteroiden; eine St</w:t>
      </w:r>
      <w:r w:rsidR="00853C7D">
        <w:rPr>
          <w:bCs/>
          <w:szCs w:val="24"/>
          <w:lang w:val="de-DE"/>
        </w:rPr>
        <w:t>u</w:t>
      </w:r>
      <w:r w:rsidR="00DE4B7F">
        <w:rPr>
          <w:bCs/>
          <w:szCs w:val="24"/>
          <w:lang w:val="de-DE"/>
        </w:rPr>
        <w:t xml:space="preserve">die der Edelgase in den Meteoriten Kapoeta und Fayetteville. </w:t>
      </w:r>
      <w:r w:rsidR="00DE4B7F" w:rsidRPr="00853C7D">
        <w:rPr>
          <w:bCs/>
          <w:szCs w:val="24"/>
          <w:lang w:val="de-DE"/>
        </w:rPr>
        <w:t xml:space="preserve">PhD Diss. ETH No. 8880, ETH </w:t>
      </w:r>
      <w:r w:rsidR="00D05C2C" w:rsidRPr="00853C7D">
        <w:rPr>
          <w:bCs/>
          <w:szCs w:val="24"/>
          <w:lang w:val="de-DE"/>
        </w:rPr>
        <w:t>Z</w:t>
      </w:r>
      <w:r w:rsidR="00DE4B7F" w:rsidRPr="00853C7D">
        <w:rPr>
          <w:bCs/>
          <w:szCs w:val="24"/>
          <w:lang w:val="de-DE"/>
        </w:rPr>
        <w:t>ürich.</w:t>
      </w:r>
    </w:p>
    <w:p w14:paraId="18C74CA6" w14:textId="00F0B6F9" w:rsidR="005E6001" w:rsidRPr="00DE4B7F" w:rsidRDefault="005E6001" w:rsidP="00DE4B7F">
      <w:pPr>
        <w:spacing w:line="360" w:lineRule="auto"/>
        <w:ind w:firstLine="567"/>
        <w:rPr>
          <w:bCs/>
          <w:szCs w:val="24"/>
          <w:lang w:val="en-US"/>
        </w:rPr>
      </w:pPr>
      <w:r w:rsidRPr="00FE2E99">
        <w:rPr>
          <w:bCs/>
          <w:szCs w:val="24"/>
          <w:lang w:val="de-DE"/>
        </w:rPr>
        <w:t>Wieler</w:t>
      </w:r>
      <w:r w:rsidR="006B3B03" w:rsidRPr="00FE2E99">
        <w:rPr>
          <w:bCs/>
          <w:szCs w:val="24"/>
          <w:lang w:val="de-DE"/>
        </w:rPr>
        <w:t>,</w:t>
      </w:r>
      <w:r w:rsidR="00AA0578" w:rsidRPr="00FE2E99">
        <w:rPr>
          <w:bCs/>
          <w:szCs w:val="24"/>
          <w:lang w:val="de-DE"/>
        </w:rPr>
        <w:t xml:space="preserve"> R.</w:t>
      </w:r>
      <w:r w:rsidR="00DE4B7F" w:rsidRPr="00FE2E99">
        <w:rPr>
          <w:bCs/>
          <w:szCs w:val="24"/>
          <w:lang w:val="de-DE"/>
        </w:rPr>
        <w:t>,</w:t>
      </w:r>
      <w:r w:rsidR="00AA0578" w:rsidRPr="00FE2E99">
        <w:rPr>
          <w:bCs/>
          <w:szCs w:val="24"/>
          <w:lang w:val="de-DE"/>
        </w:rPr>
        <w:t xml:space="preserve"> Baur</w:t>
      </w:r>
      <w:r w:rsidR="006B3B03" w:rsidRPr="00FE2E99">
        <w:rPr>
          <w:bCs/>
          <w:szCs w:val="24"/>
          <w:lang w:val="de-DE"/>
        </w:rPr>
        <w:t>,</w:t>
      </w:r>
      <w:r w:rsidR="00AA0578" w:rsidRPr="00FE2E99">
        <w:rPr>
          <w:bCs/>
          <w:szCs w:val="24"/>
          <w:lang w:val="de-DE"/>
        </w:rPr>
        <w:t xml:space="preserve"> H.</w:t>
      </w:r>
      <w:r w:rsidR="006B3B03" w:rsidRPr="00FE2E99">
        <w:rPr>
          <w:bCs/>
          <w:szCs w:val="24"/>
          <w:lang w:val="de-DE"/>
        </w:rPr>
        <w:t>,</w:t>
      </w:r>
      <w:r w:rsidR="00DE4B7F" w:rsidRPr="00FE2E99">
        <w:rPr>
          <w:bCs/>
          <w:szCs w:val="24"/>
          <w:lang w:val="de-DE"/>
        </w:rPr>
        <w:t>Signer</w:t>
      </w:r>
      <w:r w:rsidR="006B3B03" w:rsidRPr="00FE2E99">
        <w:rPr>
          <w:bCs/>
          <w:szCs w:val="24"/>
          <w:lang w:val="de-DE"/>
        </w:rPr>
        <w:t>,</w:t>
      </w:r>
      <w:r w:rsidR="00DE4B7F" w:rsidRPr="00FE2E99">
        <w:rPr>
          <w:bCs/>
          <w:szCs w:val="24"/>
          <w:lang w:val="de-DE"/>
        </w:rPr>
        <w:t xml:space="preserve"> P.</w:t>
      </w:r>
      <w:r w:rsidR="006B3B03" w:rsidRPr="00FE2E99">
        <w:rPr>
          <w:bCs/>
          <w:szCs w:val="24"/>
          <w:lang w:val="de-DE"/>
        </w:rPr>
        <w:t>,</w:t>
      </w:r>
      <w:r w:rsidR="00AA0578" w:rsidRPr="00FE2E99">
        <w:rPr>
          <w:bCs/>
          <w:szCs w:val="24"/>
          <w:lang w:val="de-DE"/>
        </w:rPr>
        <w:t xml:space="preserve"> </w:t>
      </w:r>
      <w:r w:rsidRPr="00FE2E99">
        <w:rPr>
          <w:bCs/>
          <w:szCs w:val="24"/>
          <w:lang w:val="de-DE"/>
        </w:rPr>
        <w:t>1986</w:t>
      </w:r>
      <w:r w:rsidR="006B3B03" w:rsidRPr="00FE2E99">
        <w:rPr>
          <w:bCs/>
          <w:szCs w:val="24"/>
          <w:lang w:val="de-DE"/>
        </w:rPr>
        <w:t>.</w:t>
      </w:r>
      <w:r w:rsidR="00DE4B7F" w:rsidRPr="00FE2E99">
        <w:rPr>
          <w:bCs/>
          <w:szCs w:val="24"/>
          <w:lang w:val="de-DE"/>
        </w:rPr>
        <w:t xml:space="preserve"> </w:t>
      </w:r>
      <w:r w:rsidR="00DE4B7F" w:rsidRPr="00DE4B7F">
        <w:rPr>
          <w:bCs/>
          <w:szCs w:val="24"/>
          <w:lang w:val="en-US"/>
        </w:rPr>
        <w:t>Noble gases from</w:t>
      </w:r>
      <w:r w:rsidR="00DE4B7F">
        <w:rPr>
          <w:bCs/>
          <w:szCs w:val="24"/>
          <w:lang w:val="en-US"/>
        </w:rPr>
        <w:t xml:space="preserve"> </w:t>
      </w:r>
      <w:r w:rsidR="00DE4B7F" w:rsidRPr="00DE4B7F">
        <w:rPr>
          <w:bCs/>
          <w:szCs w:val="24"/>
          <w:lang w:val="en-US"/>
        </w:rPr>
        <w:t>solar energetic particles revealed by closed system stepwise</w:t>
      </w:r>
      <w:r w:rsidR="00DE4B7F">
        <w:rPr>
          <w:bCs/>
          <w:szCs w:val="24"/>
          <w:lang w:val="en-US"/>
        </w:rPr>
        <w:t xml:space="preserve"> </w:t>
      </w:r>
      <w:r w:rsidR="00DE4B7F" w:rsidRPr="00DE4B7F">
        <w:rPr>
          <w:bCs/>
          <w:szCs w:val="24"/>
          <w:lang w:val="en-US"/>
        </w:rPr>
        <w:t xml:space="preserve">etching of lunar soil minerals. </w:t>
      </w:r>
      <w:r w:rsidR="00DE4B7F" w:rsidRPr="00FE2E99">
        <w:rPr>
          <w:bCs/>
          <w:iCs/>
          <w:szCs w:val="24"/>
          <w:lang w:val="en-US"/>
        </w:rPr>
        <w:t>Geochim</w:t>
      </w:r>
      <w:r w:rsidR="006B3B03" w:rsidRPr="00FE2E99">
        <w:rPr>
          <w:bCs/>
          <w:iCs/>
          <w:szCs w:val="24"/>
          <w:lang w:val="en-US"/>
        </w:rPr>
        <w:t>.</w:t>
      </w:r>
      <w:r w:rsidR="00DE4B7F" w:rsidRPr="00FE2E99">
        <w:rPr>
          <w:bCs/>
          <w:iCs/>
          <w:szCs w:val="24"/>
          <w:lang w:val="en-US"/>
        </w:rPr>
        <w:t xml:space="preserve"> Cosmoch</w:t>
      </w:r>
      <w:r w:rsidR="006B3B03" w:rsidRPr="00FE2E99">
        <w:rPr>
          <w:bCs/>
          <w:iCs/>
          <w:szCs w:val="24"/>
          <w:lang w:val="en-US"/>
        </w:rPr>
        <w:t>im.</w:t>
      </w:r>
      <w:r w:rsidR="00DE4B7F" w:rsidRPr="00FE2E99">
        <w:rPr>
          <w:bCs/>
          <w:iCs/>
          <w:szCs w:val="24"/>
          <w:lang w:val="en-US"/>
        </w:rPr>
        <w:t xml:space="preserve"> Acta</w:t>
      </w:r>
      <w:r w:rsidR="006B3B03" w:rsidRPr="00FE2E99">
        <w:rPr>
          <w:bCs/>
          <w:iCs/>
          <w:szCs w:val="24"/>
          <w:lang w:val="en-US"/>
        </w:rPr>
        <w:t>.</w:t>
      </w:r>
      <w:r w:rsidR="00DE4B7F" w:rsidRPr="00DE4B7F">
        <w:rPr>
          <w:bCs/>
          <w:szCs w:val="24"/>
          <w:lang w:val="en-US"/>
        </w:rPr>
        <w:t xml:space="preserve"> </w:t>
      </w:r>
      <w:r w:rsidR="00DE4B7F" w:rsidRPr="00DE4B7F">
        <w:rPr>
          <w:b/>
          <w:szCs w:val="24"/>
          <w:lang w:val="en-US"/>
        </w:rPr>
        <w:t>50</w:t>
      </w:r>
      <w:r w:rsidR="00853C7D">
        <w:rPr>
          <w:b/>
          <w:szCs w:val="24"/>
          <w:lang w:val="en-US"/>
        </w:rPr>
        <w:t xml:space="preserve">, </w:t>
      </w:r>
      <w:r w:rsidR="00DE4B7F" w:rsidRPr="00DE4B7F">
        <w:rPr>
          <w:bCs/>
          <w:szCs w:val="24"/>
          <w:lang w:val="en-US"/>
        </w:rPr>
        <w:t>1997–2017.</w:t>
      </w:r>
    </w:p>
    <w:p w14:paraId="69C5331F" w14:textId="1715ADFA" w:rsidR="005E6001" w:rsidRPr="00FE2E99" w:rsidRDefault="005E6001" w:rsidP="00ED5BD5">
      <w:pPr>
        <w:spacing w:line="360" w:lineRule="auto"/>
        <w:ind w:firstLine="567"/>
        <w:rPr>
          <w:bCs/>
          <w:szCs w:val="24"/>
          <w:lang w:val="de-DE"/>
        </w:rPr>
      </w:pPr>
      <w:r w:rsidRPr="00527358">
        <w:rPr>
          <w:bCs/>
          <w:szCs w:val="24"/>
          <w:lang w:val="en-US"/>
        </w:rPr>
        <w:t>Wieler</w:t>
      </w:r>
      <w:r w:rsidR="006B3B03" w:rsidRPr="00527358">
        <w:rPr>
          <w:bCs/>
          <w:szCs w:val="24"/>
          <w:lang w:val="en-US"/>
        </w:rPr>
        <w:t>,</w:t>
      </w:r>
      <w:r w:rsidRPr="00527358">
        <w:rPr>
          <w:bCs/>
          <w:szCs w:val="24"/>
          <w:lang w:val="en-US"/>
        </w:rPr>
        <w:t xml:space="preserve"> </w:t>
      </w:r>
      <w:r w:rsidR="00DE4B7F" w:rsidRPr="00527358">
        <w:rPr>
          <w:bCs/>
          <w:szCs w:val="24"/>
          <w:lang w:val="en-US"/>
        </w:rPr>
        <w:t>R., Pedroni</w:t>
      </w:r>
      <w:r w:rsidR="006B3B03" w:rsidRPr="00527358">
        <w:rPr>
          <w:bCs/>
          <w:szCs w:val="24"/>
          <w:lang w:val="en-US"/>
        </w:rPr>
        <w:t>,</w:t>
      </w:r>
      <w:r w:rsidR="00DE4B7F" w:rsidRPr="00527358">
        <w:rPr>
          <w:bCs/>
          <w:szCs w:val="24"/>
          <w:lang w:val="en-US"/>
        </w:rPr>
        <w:t xml:space="preserve"> A.</w:t>
      </w:r>
      <w:r w:rsidR="006B3B03" w:rsidRPr="00527358">
        <w:rPr>
          <w:bCs/>
          <w:szCs w:val="24"/>
          <w:lang w:val="en-US"/>
        </w:rPr>
        <w:t>,</w:t>
      </w:r>
      <w:r w:rsidR="00DE4B7F" w:rsidRPr="00527358">
        <w:rPr>
          <w:bCs/>
          <w:szCs w:val="24"/>
          <w:lang w:val="en-US"/>
        </w:rPr>
        <w:t xml:space="preserve"> Leya</w:t>
      </w:r>
      <w:r w:rsidR="006B3B03" w:rsidRPr="00527358">
        <w:rPr>
          <w:bCs/>
          <w:szCs w:val="24"/>
          <w:lang w:val="en-US"/>
        </w:rPr>
        <w:t>,</w:t>
      </w:r>
      <w:r w:rsidR="00DE4B7F" w:rsidRPr="00527358">
        <w:rPr>
          <w:bCs/>
          <w:szCs w:val="24"/>
          <w:lang w:val="en-US"/>
        </w:rPr>
        <w:t xml:space="preserve"> I.</w:t>
      </w:r>
      <w:r w:rsidR="006B3B03" w:rsidRPr="00527358">
        <w:rPr>
          <w:bCs/>
          <w:szCs w:val="24"/>
          <w:lang w:val="en-US"/>
        </w:rPr>
        <w:t>,</w:t>
      </w:r>
      <w:r w:rsidR="00DE4B7F" w:rsidRPr="00527358">
        <w:rPr>
          <w:bCs/>
          <w:szCs w:val="24"/>
          <w:lang w:val="en-US"/>
        </w:rPr>
        <w:t xml:space="preserve"> 2000</w:t>
      </w:r>
      <w:r w:rsidR="006B3B03" w:rsidRPr="00527358">
        <w:rPr>
          <w:bCs/>
          <w:szCs w:val="24"/>
          <w:lang w:val="en-US"/>
        </w:rPr>
        <w:t>.</w:t>
      </w:r>
      <w:r w:rsidR="00DE4B7F" w:rsidRPr="00527358">
        <w:rPr>
          <w:bCs/>
          <w:szCs w:val="24"/>
          <w:lang w:val="en-US"/>
        </w:rPr>
        <w:t xml:space="preserve"> </w:t>
      </w:r>
      <w:r w:rsidR="00DE4B7F" w:rsidRPr="00DE4B7F">
        <w:rPr>
          <w:bCs/>
          <w:szCs w:val="24"/>
          <w:lang w:val="en-US"/>
        </w:rPr>
        <w:t>Cosmogenic neon in mineral separates from Kapoeta: No evidence for an irradiation of its parent body regolith by an early active Sun</w:t>
      </w:r>
      <w:r w:rsidR="00DE4B7F">
        <w:rPr>
          <w:bCs/>
          <w:szCs w:val="24"/>
          <w:lang w:val="en-US"/>
        </w:rPr>
        <w:t xml:space="preserve">. </w:t>
      </w:r>
      <w:r w:rsidR="00DE4B7F" w:rsidRPr="00FE2E99">
        <w:rPr>
          <w:bCs/>
          <w:iCs/>
          <w:szCs w:val="24"/>
          <w:lang w:val="en-US"/>
        </w:rPr>
        <w:t>Meteorit</w:t>
      </w:r>
      <w:r w:rsidR="006B3B03">
        <w:rPr>
          <w:bCs/>
          <w:iCs/>
          <w:szCs w:val="24"/>
          <w:lang w:val="en-US"/>
        </w:rPr>
        <w:t>.</w:t>
      </w:r>
      <w:r w:rsidR="00DE4B7F" w:rsidRPr="00FE2E99">
        <w:rPr>
          <w:bCs/>
          <w:iCs/>
          <w:szCs w:val="24"/>
          <w:lang w:val="en-US"/>
        </w:rPr>
        <w:t xml:space="preserve"> </w:t>
      </w:r>
      <w:r w:rsidR="00DE4B7F" w:rsidRPr="00FE2E99">
        <w:rPr>
          <w:bCs/>
          <w:iCs/>
          <w:szCs w:val="24"/>
          <w:lang w:val="de-DE"/>
        </w:rPr>
        <w:t>Plan</w:t>
      </w:r>
      <w:r w:rsidR="00853C7D" w:rsidRPr="00FE2E99">
        <w:rPr>
          <w:bCs/>
          <w:iCs/>
          <w:szCs w:val="24"/>
          <w:lang w:val="de-DE"/>
        </w:rPr>
        <w:t>e</w:t>
      </w:r>
      <w:r w:rsidR="00DE4B7F" w:rsidRPr="00FE2E99">
        <w:rPr>
          <w:bCs/>
          <w:iCs/>
          <w:szCs w:val="24"/>
          <w:lang w:val="de-DE"/>
        </w:rPr>
        <w:t>t</w:t>
      </w:r>
      <w:r w:rsidR="006B3B03" w:rsidRPr="00FE2E99">
        <w:rPr>
          <w:bCs/>
          <w:iCs/>
          <w:szCs w:val="24"/>
          <w:lang w:val="de-DE"/>
        </w:rPr>
        <w:t>.</w:t>
      </w:r>
      <w:r w:rsidR="00DE4B7F" w:rsidRPr="00FE2E99">
        <w:rPr>
          <w:bCs/>
          <w:iCs/>
          <w:szCs w:val="24"/>
          <w:lang w:val="de-DE"/>
        </w:rPr>
        <w:t xml:space="preserve"> Sci</w:t>
      </w:r>
      <w:r w:rsidR="006B3B03" w:rsidRPr="00FE2E99">
        <w:rPr>
          <w:b/>
          <w:szCs w:val="24"/>
          <w:lang w:val="de-DE"/>
        </w:rPr>
        <w:t>.</w:t>
      </w:r>
      <w:r w:rsidR="00DE4B7F" w:rsidRPr="00FE2E99">
        <w:rPr>
          <w:b/>
          <w:szCs w:val="24"/>
          <w:lang w:val="de-DE"/>
        </w:rPr>
        <w:t xml:space="preserve"> 35</w:t>
      </w:r>
      <w:r w:rsidR="00DE4B7F" w:rsidRPr="00FE2E99">
        <w:rPr>
          <w:bCs/>
          <w:szCs w:val="24"/>
          <w:lang w:val="de-DE"/>
        </w:rPr>
        <w:t>, 251-257.</w:t>
      </w:r>
    </w:p>
    <w:p w14:paraId="78A3493E" w14:textId="37271B28" w:rsidR="00F64F01" w:rsidRPr="00ED5BD5" w:rsidRDefault="00740A9C" w:rsidP="00527358">
      <w:pPr>
        <w:spacing w:line="360" w:lineRule="auto"/>
        <w:ind w:firstLine="567"/>
        <w:rPr>
          <w:szCs w:val="24"/>
          <w:lang w:val="en-US"/>
        </w:rPr>
      </w:pPr>
      <w:r w:rsidRPr="00FE2E99">
        <w:rPr>
          <w:bCs/>
          <w:szCs w:val="24"/>
          <w:lang w:val="de-DE"/>
        </w:rPr>
        <w:t>Ziegler</w:t>
      </w:r>
      <w:r w:rsidR="006B3B03" w:rsidRPr="00FE2E99">
        <w:rPr>
          <w:bCs/>
          <w:szCs w:val="24"/>
          <w:lang w:val="de-DE"/>
        </w:rPr>
        <w:t>,</w:t>
      </w:r>
      <w:r w:rsidRPr="00FE2E99">
        <w:rPr>
          <w:bCs/>
          <w:szCs w:val="24"/>
          <w:lang w:val="de-DE"/>
        </w:rPr>
        <w:t xml:space="preserve"> J.F., Ziegler</w:t>
      </w:r>
      <w:r w:rsidR="006B3B03" w:rsidRPr="00FE2E99">
        <w:rPr>
          <w:bCs/>
          <w:szCs w:val="24"/>
          <w:lang w:val="de-DE"/>
        </w:rPr>
        <w:t>,</w:t>
      </w:r>
      <w:r w:rsidRPr="00FE2E99">
        <w:rPr>
          <w:bCs/>
          <w:szCs w:val="24"/>
          <w:lang w:val="de-DE"/>
        </w:rPr>
        <w:t xml:space="preserve"> M.D.</w:t>
      </w:r>
      <w:r w:rsidR="006B3B03" w:rsidRPr="00FE2E99">
        <w:rPr>
          <w:bCs/>
          <w:szCs w:val="24"/>
          <w:lang w:val="de-DE"/>
        </w:rPr>
        <w:t>,</w:t>
      </w:r>
      <w:r w:rsidRPr="00FE2E99">
        <w:rPr>
          <w:bCs/>
          <w:szCs w:val="24"/>
          <w:lang w:val="de-DE"/>
        </w:rPr>
        <w:t xml:space="preserve"> Biersack</w:t>
      </w:r>
      <w:r w:rsidR="006B3B03" w:rsidRPr="00FE2E99">
        <w:rPr>
          <w:bCs/>
          <w:szCs w:val="24"/>
          <w:lang w:val="de-DE"/>
        </w:rPr>
        <w:t>,</w:t>
      </w:r>
      <w:r w:rsidRPr="00FE2E99">
        <w:rPr>
          <w:bCs/>
          <w:szCs w:val="24"/>
          <w:lang w:val="de-DE"/>
        </w:rPr>
        <w:t xml:space="preserve"> J.P.</w:t>
      </w:r>
      <w:r w:rsidR="006B3B03" w:rsidRPr="00FE2E99">
        <w:rPr>
          <w:bCs/>
          <w:szCs w:val="24"/>
          <w:lang w:val="de-DE"/>
        </w:rPr>
        <w:t>,</w:t>
      </w:r>
      <w:r w:rsidRPr="00FE2E99">
        <w:rPr>
          <w:bCs/>
          <w:szCs w:val="24"/>
          <w:lang w:val="de-DE"/>
        </w:rPr>
        <w:t xml:space="preserve"> 2010</w:t>
      </w:r>
      <w:r w:rsidR="006B3B03" w:rsidRPr="00FE2E99">
        <w:rPr>
          <w:bCs/>
          <w:szCs w:val="24"/>
          <w:lang w:val="de-DE"/>
        </w:rPr>
        <w:t>.</w:t>
      </w:r>
      <w:r w:rsidRPr="00FE2E99">
        <w:rPr>
          <w:bCs/>
          <w:szCs w:val="24"/>
          <w:lang w:val="de-DE"/>
        </w:rPr>
        <w:t xml:space="preserve"> </w:t>
      </w:r>
      <w:r w:rsidRPr="00740A9C">
        <w:rPr>
          <w:bCs/>
          <w:szCs w:val="24"/>
          <w:lang w:val="en-US"/>
        </w:rPr>
        <w:t xml:space="preserve">SRIM - The stopping and range of ions in matter. </w:t>
      </w:r>
      <w:r w:rsidRPr="00FE2E99">
        <w:rPr>
          <w:bCs/>
          <w:szCs w:val="24"/>
          <w:lang w:val="en-US"/>
        </w:rPr>
        <w:t>Nucl</w:t>
      </w:r>
      <w:r w:rsidR="00853C7D" w:rsidRPr="00FE2E99">
        <w:rPr>
          <w:bCs/>
          <w:szCs w:val="24"/>
          <w:lang w:val="en-US"/>
        </w:rPr>
        <w:t>ear</w:t>
      </w:r>
      <w:r w:rsidRPr="00FE2E99">
        <w:rPr>
          <w:bCs/>
          <w:szCs w:val="24"/>
          <w:lang w:val="en-US"/>
        </w:rPr>
        <w:t xml:space="preserve"> Instr</w:t>
      </w:r>
      <w:r w:rsidR="00853C7D" w:rsidRPr="00FE2E99">
        <w:rPr>
          <w:bCs/>
          <w:szCs w:val="24"/>
          <w:lang w:val="en-US"/>
        </w:rPr>
        <w:t>uments and</w:t>
      </w:r>
      <w:r w:rsidRPr="00FE2E99">
        <w:rPr>
          <w:bCs/>
          <w:szCs w:val="24"/>
          <w:lang w:val="en-US"/>
        </w:rPr>
        <w:t xml:space="preserve"> Meth</w:t>
      </w:r>
      <w:r w:rsidR="00853C7D" w:rsidRPr="00FE2E99">
        <w:rPr>
          <w:bCs/>
          <w:szCs w:val="24"/>
          <w:lang w:val="en-US"/>
        </w:rPr>
        <w:t>ods in</w:t>
      </w:r>
      <w:r w:rsidRPr="00FE2E99">
        <w:rPr>
          <w:bCs/>
          <w:szCs w:val="24"/>
          <w:lang w:val="en-US"/>
        </w:rPr>
        <w:t xml:space="preserve"> Phys</w:t>
      </w:r>
      <w:r w:rsidR="00853C7D" w:rsidRPr="00FE2E99">
        <w:rPr>
          <w:bCs/>
          <w:szCs w:val="24"/>
          <w:lang w:val="en-US"/>
        </w:rPr>
        <w:t>ics</w:t>
      </w:r>
      <w:r w:rsidRPr="00FE2E99">
        <w:rPr>
          <w:bCs/>
          <w:szCs w:val="24"/>
          <w:lang w:val="en-US"/>
        </w:rPr>
        <w:t xml:space="preserve"> Res</w:t>
      </w:r>
      <w:r w:rsidR="00853C7D" w:rsidRPr="00FE2E99">
        <w:rPr>
          <w:bCs/>
          <w:szCs w:val="24"/>
          <w:lang w:val="en-US"/>
        </w:rPr>
        <w:t>earch</w:t>
      </w:r>
      <w:r w:rsidR="006A616B">
        <w:rPr>
          <w:bCs/>
          <w:szCs w:val="24"/>
          <w:lang w:val="en-US"/>
        </w:rPr>
        <w:t>.</w:t>
      </w:r>
      <w:r w:rsidRPr="00740A9C">
        <w:rPr>
          <w:bCs/>
          <w:i/>
          <w:szCs w:val="24"/>
          <w:lang w:val="en-US"/>
        </w:rPr>
        <w:t xml:space="preserve"> </w:t>
      </w:r>
      <w:r w:rsidRPr="00740A9C">
        <w:rPr>
          <w:b/>
          <w:bCs/>
          <w:szCs w:val="24"/>
          <w:lang w:val="en-US"/>
        </w:rPr>
        <w:t>268</w:t>
      </w:r>
      <w:r w:rsidRPr="00740A9C">
        <w:rPr>
          <w:bCs/>
          <w:szCs w:val="24"/>
          <w:lang w:val="en-US"/>
        </w:rPr>
        <w:t>, 1818-1823.</w:t>
      </w:r>
      <w:bookmarkStart w:id="0" w:name="_GoBack"/>
      <w:bookmarkEnd w:id="0"/>
    </w:p>
    <w:sectPr w:rsidR="00F64F01" w:rsidRPr="00ED5BD5">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7801C" w14:textId="77777777" w:rsidR="00964800" w:rsidRDefault="00964800" w:rsidP="009A7868">
      <w:r>
        <w:separator/>
      </w:r>
    </w:p>
  </w:endnote>
  <w:endnote w:type="continuationSeparator" w:id="0">
    <w:p w14:paraId="172E506A" w14:textId="77777777" w:rsidR="00964800" w:rsidRDefault="00964800" w:rsidP="009A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3023087"/>
      <w:docPartObj>
        <w:docPartGallery w:val="Page Numbers (Bottom of Page)"/>
        <w:docPartUnique/>
      </w:docPartObj>
    </w:sdtPr>
    <w:sdtEndPr/>
    <w:sdtContent>
      <w:p w14:paraId="01E705DB" w14:textId="06C22DEB" w:rsidR="009A7868" w:rsidRDefault="009A7868">
        <w:pPr>
          <w:pStyle w:val="ac"/>
          <w:jc w:val="center"/>
        </w:pPr>
        <w:r>
          <w:fldChar w:fldCharType="begin"/>
        </w:r>
        <w:r>
          <w:instrText>PAGE   \* MERGEFORMAT</w:instrText>
        </w:r>
        <w:r>
          <w:fldChar w:fldCharType="separate"/>
        </w:r>
        <w:r w:rsidR="00527358" w:rsidRPr="00527358">
          <w:rPr>
            <w:noProof/>
            <w:lang w:val="de-DE"/>
          </w:rPr>
          <w:t>6</w:t>
        </w:r>
        <w:r>
          <w:fldChar w:fldCharType="end"/>
        </w:r>
      </w:p>
    </w:sdtContent>
  </w:sdt>
  <w:p w14:paraId="4861A473" w14:textId="77777777" w:rsidR="009A7868" w:rsidRDefault="009A786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A183F" w14:textId="77777777" w:rsidR="00964800" w:rsidRDefault="00964800" w:rsidP="009A7868">
      <w:r>
        <w:separator/>
      </w:r>
    </w:p>
  </w:footnote>
  <w:footnote w:type="continuationSeparator" w:id="0">
    <w:p w14:paraId="66C1110F" w14:textId="77777777" w:rsidR="00964800" w:rsidRDefault="00964800" w:rsidP="009A78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543149"/>
      <w:docPartObj>
        <w:docPartGallery w:val="Page Numbers (Top of Page)"/>
        <w:docPartUnique/>
      </w:docPartObj>
    </w:sdtPr>
    <w:sdtEndPr/>
    <w:sdtContent>
      <w:p w14:paraId="67FA9F3E" w14:textId="0B2B63FB" w:rsidR="009A7868" w:rsidRDefault="009A7868">
        <w:pPr>
          <w:pStyle w:val="aa"/>
          <w:jc w:val="center"/>
        </w:pPr>
        <w:r>
          <w:fldChar w:fldCharType="begin"/>
        </w:r>
        <w:r>
          <w:instrText>PAGE   \* MERGEFORMAT</w:instrText>
        </w:r>
        <w:r>
          <w:fldChar w:fldCharType="separate"/>
        </w:r>
        <w:r w:rsidR="00527358" w:rsidRPr="00527358">
          <w:rPr>
            <w:noProof/>
            <w:lang w:val="de-DE"/>
          </w:rPr>
          <w:t>6</w:t>
        </w:r>
        <w:r>
          <w:fldChar w:fldCharType="end"/>
        </w:r>
      </w:p>
    </w:sdtContent>
  </w:sdt>
  <w:p w14:paraId="10C1E36B" w14:textId="77777777" w:rsidR="009A7868" w:rsidRDefault="009A7868">
    <w:pPr>
      <w:pStyle w:val="aa"/>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tt, Uli">
    <w15:presenceInfo w15:providerId="None" w15:userId="Ott, U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671"/>
    <w:rsid w:val="00061E1D"/>
    <w:rsid w:val="000D2896"/>
    <w:rsid w:val="001200FD"/>
    <w:rsid w:val="00163324"/>
    <w:rsid w:val="001F06DB"/>
    <w:rsid w:val="002011DA"/>
    <w:rsid w:val="00237A0E"/>
    <w:rsid w:val="0026145A"/>
    <w:rsid w:val="00271C8C"/>
    <w:rsid w:val="00292F8D"/>
    <w:rsid w:val="002939EC"/>
    <w:rsid w:val="002B4315"/>
    <w:rsid w:val="002B5070"/>
    <w:rsid w:val="002C1B25"/>
    <w:rsid w:val="002E666C"/>
    <w:rsid w:val="00301F5E"/>
    <w:rsid w:val="003B5AD8"/>
    <w:rsid w:val="004010CB"/>
    <w:rsid w:val="00417219"/>
    <w:rsid w:val="00433C4E"/>
    <w:rsid w:val="004470FB"/>
    <w:rsid w:val="00491883"/>
    <w:rsid w:val="004921EC"/>
    <w:rsid w:val="004E4805"/>
    <w:rsid w:val="00527358"/>
    <w:rsid w:val="00542B80"/>
    <w:rsid w:val="00546E69"/>
    <w:rsid w:val="00557184"/>
    <w:rsid w:val="00582D5A"/>
    <w:rsid w:val="005A168D"/>
    <w:rsid w:val="005E6001"/>
    <w:rsid w:val="00601FAB"/>
    <w:rsid w:val="0065646F"/>
    <w:rsid w:val="006A616B"/>
    <w:rsid w:val="006B3B03"/>
    <w:rsid w:val="006E5897"/>
    <w:rsid w:val="00716A98"/>
    <w:rsid w:val="00717933"/>
    <w:rsid w:val="00726472"/>
    <w:rsid w:val="00740A9C"/>
    <w:rsid w:val="00756984"/>
    <w:rsid w:val="007601EF"/>
    <w:rsid w:val="00764D58"/>
    <w:rsid w:val="0078639F"/>
    <w:rsid w:val="007906E2"/>
    <w:rsid w:val="007A45E5"/>
    <w:rsid w:val="007A7ED6"/>
    <w:rsid w:val="00853C7D"/>
    <w:rsid w:val="008D1440"/>
    <w:rsid w:val="00924711"/>
    <w:rsid w:val="00947D92"/>
    <w:rsid w:val="00950672"/>
    <w:rsid w:val="0096366C"/>
    <w:rsid w:val="00964800"/>
    <w:rsid w:val="00983353"/>
    <w:rsid w:val="009A2AD6"/>
    <w:rsid w:val="009A7868"/>
    <w:rsid w:val="00A25CC8"/>
    <w:rsid w:val="00A43781"/>
    <w:rsid w:val="00A623CD"/>
    <w:rsid w:val="00AA0578"/>
    <w:rsid w:val="00B871A1"/>
    <w:rsid w:val="00BB5F1D"/>
    <w:rsid w:val="00BC0882"/>
    <w:rsid w:val="00BC5D3F"/>
    <w:rsid w:val="00C3528C"/>
    <w:rsid w:val="00C61671"/>
    <w:rsid w:val="00C65174"/>
    <w:rsid w:val="00CE119E"/>
    <w:rsid w:val="00CE3529"/>
    <w:rsid w:val="00D05C2C"/>
    <w:rsid w:val="00D13F68"/>
    <w:rsid w:val="00D329FA"/>
    <w:rsid w:val="00D463A4"/>
    <w:rsid w:val="00D6212B"/>
    <w:rsid w:val="00DB462B"/>
    <w:rsid w:val="00DE4B7F"/>
    <w:rsid w:val="00E346C5"/>
    <w:rsid w:val="00E56713"/>
    <w:rsid w:val="00E66DFA"/>
    <w:rsid w:val="00E70244"/>
    <w:rsid w:val="00E835DD"/>
    <w:rsid w:val="00ED5BD5"/>
    <w:rsid w:val="00F059F9"/>
    <w:rsid w:val="00F500B9"/>
    <w:rsid w:val="00F64F01"/>
    <w:rsid w:val="00FE1322"/>
    <w:rsid w:val="00FE2E99"/>
    <w:rsid w:val="00FF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9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71"/>
    <w:pPr>
      <w:spacing w:after="0" w:line="240" w:lineRule="auto"/>
    </w:pPr>
    <w:rPr>
      <w:rFonts w:ascii="Times New Roman" w:eastAsia="Times New Roman" w:hAnsi="Times New Roman" w:cs="Times New Roman"/>
      <w:sz w:val="24"/>
      <w:szCs w:val="20"/>
      <w:lang w:val="en-GB"/>
    </w:rPr>
  </w:style>
  <w:style w:type="paragraph" w:styleId="2">
    <w:name w:val="heading 2"/>
    <w:basedOn w:val="a"/>
    <w:next w:val="a"/>
    <w:link w:val="20"/>
    <w:uiPriority w:val="9"/>
    <w:semiHidden/>
    <w:unhideWhenUsed/>
    <w:qFormat/>
    <w:rsid w:val="00DE4B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8639F"/>
    <w:rPr>
      <w:sz w:val="16"/>
      <w:szCs w:val="16"/>
    </w:rPr>
  </w:style>
  <w:style w:type="paragraph" w:styleId="a4">
    <w:name w:val="annotation text"/>
    <w:basedOn w:val="a"/>
    <w:link w:val="a5"/>
    <w:uiPriority w:val="99"/>
    <w:semiHidden/>
    <w:unhideWhenUsed/>
    <w:rsid w:val="0078639F"/>
    <w:rPr>
      <w:sz w:val="20"/>
    </w:rPr>
  </w:style>
  <w:style w:type="character" w:customStyle="1" w:styleId="a5">
    <w:name w:val="Текст примечания Знак"/>
    <w:basedOn w:val="a0"/>
    <w:link w:val="a4"/>
    <w:uiPriority w:val="99"/>
    <w:semiHidden/>
    <w:rsid w:val="0078639F"/>
    <w:rPr>
      <w:rFonts w:ascii="Times New Roman" w:eastAsia="Times New Roman" w:hAnsi="Times New Roman" w:cs="Times New Roman"/>
      <w:sz w:val="20"/>
      <w:szCs w:val="20"/>
      <w:lang w:val="en-GB"/>
    </w:rPr>
  </w:style>
  <w:style w:type="paragraph" w:styleId="a6">
    <w:name w:val="annotation subject"/>
    <w:basedOn w:val="a4"/>
    <w:next w:val="a4"/>
    <w:link w:val="a7"/>
    <w:uiPriority w:val="99"/>
    <w:semiHidden/>
    <w:unhideWhenUsed/>
    <w:rsid w:val="0078639F"/>
    <w:rPr>
      <w:b/>
      <w:bCs/>
    </w:rPr>
  </w:style>
  <w:style w:type="character" w:customStyle="1" w:styleId="a7">
    <w:name w:val="Тема примечания Знак"/>
    <w:basedOn w:val="a5"/>
    <w:link w:val="a6"/>
    <w:uiPriority w:val="99"/>
    <w:semiHidden/>
    <w:rsid w:val="0078639F"/>
    <w:rPr>
      <w:rFonts w:ascii="Times New Roman" w:eastAsia="Times New Roman" w:hAnsi="Times New Roman" w:cs="Times New Roman"/>
      <w:b/>
      <w:bCs/>
      <w:sz w:val="20"/>
      <w:szCs w:val="20"/>
      <w:lang w:val="en-GB"/>
    </w:rPr>
  </w:style>
  <w:style w:type="paragraph" w:styleId="a8">
    <w:name w:val="Balloon Text"/>
    <w:basedOn w:val="a"/>
    <w:link w:val="a9"/>
    <w:uiPriority w:val="99"/>
    <w:semiHidden/>
    <w:unhideWhenUsed/>
    <w:rsid w:val="00DB462B"/>
    <w:rPr>
      <w:rFonts w:ascii="Segoe UI" w:hAnsi="Segoe UI" w:cs="Segoe UI"/>
      <w:sz w:val="18"/>
      <w:szCs w:val="18"/>
    </w:rPr>
  </w:style>
  <w:style w:type="character" w:customStyle="1" w:styleId="a9">
    <w:name w:val="Текст выноски Знак"/>
    <w:basedOn w:val="a0"/>
    <w:link w:val="a8"/>
    <w:uiPriority w:val="99"/>
    <w:semiHidden/>
    <w:rsid w:val="00DB462B"/>
    <w:rPr>
      <w:rFonts w:ascii="Segoe UI" w:eastAsia="Times New Roman" w:hAnsi="Segoe UI" w:cs="Segoe UI"/>
      <w:sz w:val="18"/>
      <w:szCs w:val="18"/>
      <w:lang w:val="en-GB"/>
    </w:rPr>
  </w:style>
  <w:style w:type="character" w:customStyle="1" w:styleId="20">
    <w:name w:val="Заголовок 2 Знак"/>
    <w:basedOn w:val="a0"/>
    <w:link w:val="2"/>
    <w:uiPriority w:val="9"/>
    <w:semiHidden/>
    <w:rsid w:val="00DE4B7F"/>
    <w:rPr>
      <w:rFonts w:asciiTheme="majorHAnsi" w:eastAsiaTheme="majorEastAsia" w:hAnsiTheme="majorHAnsi" w:cstheme="majorBidi"/>
      <w:color w:val="2F5496" w:themeColor="accent1" w:themeShade="BF"/>
      <w:sz w:val="26"/>
      <w:szCs w:val="26"/>
      <w:lang w:val="en-GB"/>
    </w:rPr>
  </w:style>
  <w:style w:type="paragraph" w:styleId="aa">
    <w:name w:val="header"/>
    <w:basedOn w:val="a"/>
    <w:link w:val="ab"/>
    <w:uiPriority w:val="99"/>
    <w:unhideWhenUsed/>
    <w:rsid w:val="009A7868"/>
    <w:pPr>
      <w:tabs>
        <w:tab w:val="center" w:pos="4536"/>
        <w:tab w:val="right" w:pos="9072"/>
      </w:tabs>
    </w:pPr>
  </w:style>
  <w:style w:type="character" w:customStyle="1" w:styleId="ab">
    <w:name w:val="Верхний колонтитул Знак"/>
    <w:basedOn w:val="a0"/>
    <w:link w:val="aa"/>
    <w:uiPriority w:val="99"/>
    <w:rsid w:val="009A7868"/>
    <w:rPr>
      <w:rFonts w:ascii="Times New Roman" w:eastAsia="Times New Roman" w:hAnsi="Times New Roman" w:cs="Times New Roman"/>
      <w:sz w:val="24"/>
      <w:szCs w:val="20"/>
      <w:lang w:val="en-GB"/>
    </w:rPr>
  </w:style>
  <w:style w:type="paragraph" w:styleId="ac">
    <w:name w:val="footer"/>
    <w:basedOn w:val="a"/>
    <w:link w:val="ad"/>
    <w:uiPriority w:val="99"/>
    <w:unhideWhenUsed/>
    <w:rsid w:val="009A7868"/>
    <w:pPr>
      <w:tabs>
        <w:tab w:val="center" w:pos="4536"/>
        <w:tab w:val="right" w:pos="9072"/>
      </w:tabs>
    </w:pPr>
  </w:style>
  <w:style w:type="character" w:customStyle="1" w:styleId="ad">
    <w:name w:val="Нижний колонтитул Знак"/>
    <w:basedOn w:val="a0"/>
    <w:link w:val="ac"/>
    <w:uiPriority w:val="99"/>
    <w:rsid w:val="009A7868"/>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71"/>
    <w:pPr>
      <w:spacing w:after="0" w:line="240" w:lineRule="auto"/>
    </w:pPr>
    <w:rPr>
      <w:rFonts w:ascii="Times New Roman" w:eastAsia="Times New Roman" w:hAnsi="Times New Roman" w:cs="Times New Roman"/>
      <w:sz w:val="24"/>
      <w:szCs w:val="20"/>
      <w:lang w:val="en-GB"/>
    </w:rPr>
  </w:style>
  <w:style w:type="paragraph" w:styleId="2">
    <w:name w:val="heading 2"/>
    <w:basedOn w:val="a"/>
    <w:next w:val="a"/>
    <w:link w:val="20"/>
    <w:uiPriority w:val="9"/>
    <w:semiHidden/>
    <w:unhideWhenUsed/>
    <w:qFormat/>
    <w:rsid w:val="00DE4B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8639F"/>
    <w:rPr>
      <w:sz w:val="16"/>
      <w:szCs w:val="16"/>
    </w:rPr>
  </w:style>
  <w:style w:type="paragraph" w:styleId="a4">
    <w:name w:val="annotation text"/>
    <w:basedOn w:val="a"/>
    <w:link w:val="a5"/>
    <w:uiPriority w:val="99"/>
    <w:semiHidden/>
    <w:unhideWhenUsed/>
    <w:rsid w:val="0078639F"/>
    <w:rPr>
      <w:sz w:val="20"/>
    </w:rPr>
  </w:style>
  <w:style w:type="character" w:customStyle="1" w:styleId="a5">
    <w:name w:val="Текст примечания Знак"/>
    <w:basedOn w:val="a0"/>
    <w:link w:val="a4"/>
    <w:uiPriority w:val="99"/>
    <w:semiHidden/>
    <w:rsid w:val="0078639F"/>
    <w:rPr>
      <w:rFonts w:ascii="Times New Roman" w:eastAsia="Times New Roman" w:hAnsi="Times New Roman" w:cs="Times New Roman"/>
      <w:sz w:val="20"/>
      <w:szCs w:val="20"/>
      <w:lang w:val="en-GB"/>
    </w:rPr>
  </w:style>
  <w:style w:type="paragraph" w:styleId="a6">
    <w:name w:val="annotation subject"/>
    <w:basedOn w:val="a4"/>
    <w:next w:val="a4"/>
    <w:link w:val="a7"/>
    <w:uiPriority w:val="99"/>
    <w:semiHidden/>
    <w:unhideWhenUsed/>
    <w:rsid w:val="0078639F"/>
    <w:rPr>
      <w:b/>
      <w:bCs/>
    </w:rPr>
  </w:style>
  <w:style w:type="character" w:customStyle="1" w:styleId="a7">
    <w:name w:val="Тема примечания Знак"/>
    <w:basedOn w:val="a5"/>
    <w:link w:val="a6"/>
    <w:uiPriority w:val="99"/>
    <w:semiHidden/>
    <w:rsid w:val="0078639F"/>
    <w:rPr>
      <w:rFonts w:ascii="Times New Roman" w:eastAsia="Times New Roman" w:hAnsi="Times New Roman" w:cs="Times New Roman"/>
      <w:b/>
      <w:bCs/>
      <w:sz w:val="20"/>
      <w:szCs w:val="20"/>
      <w:lang w:val="en-GB"/>
    </w:rPr>
  </w:style>
  <w:style w:type="paragraph" w:styleId="a8">
    <w:name w:val="Balloon Text"/>
    <w:basedOn w:val="a"/>
    <w:link w:val="a9"/>
    <w:uiPriority w:val="99"/>
    <w:semiHidden/>
    <w:unhideWhenUsed/>
    <w:rsid w:val="00DB462B"/>
    <w:rPr>
      <w:rFonts w:ascii="Segoe UI" w:hAnsi="Segoe UI" w:cs="Segoe UI"/>
      <w:sz w:val="18"/>
      <w:szCs w:val="18"/>
    </w:rPr>
  </w:style>
  <w:style w:type="character" w:customStyle="1" w:styleId="a9">
    <w:name w:val="Текст выноски Знак"/>
    <w:basedOn w:val="a0"/>
    <w:link w:val="a8"/>
    <w:uiPriority w:val="99"/>
    <w:semiHidden/>
    <w:rsid w:val="00DB462B"/>
    <w:rPr>
      <w:rFonts w:ascii="Segoe UI" w:eastAsia="Times New Roman" w:hAnsi="Segoe UI" w:cs="Segoe UI"/>
      <w:sz w:val="18"/>
      <w:szCs w:val="18"/>
      <w:lang w:val="en-GB"/>
    </w:rPr>
  </w:style>
  <w:style w:type="character" w:customStyle="1" w:styleId="20">
    <w:name w:val="Заголовок 2 Знак"/>
    <w:basedOn w:val="a0"/>
    <w:link w:val="2"/>
    <w:uiPriority w:val="9"/>
    <w:semiHidden/>
    <w:rsid w:val="00DE4B7F"/>
    <w:rPr>
      <w:rFonts w:asciiTheme="majorHAnsi" w:eastAsiaTheme="majorEastAsia" w:hAnsiTheme="majorHAnsi" w:cstheme="majorBidi"/>
      <w:color w:val="2F5496" w:themeColor="accent1" w:themeShade="BF"/>
      <w:sz w:val="26"/>
      <w:szCs w:val="26"/>
      <w:lang w:val="en-GB"/>
    </w:rPr>
  </w:style>
  <w:style w:type="paragraph" w:styleId="aa">
    <w:name w:val="header"/>
    <w:basedOn w:val="a"/>
    <w:link w:val="ab"/>
    <w:uiPriority w:val="99"/>
    <w:unhideWhenUsed/>
    <w:rsid w:val="009A7868"/>
    <w:pPr>
      <w:tabs>
        <w:tab w:val="center" w:pos="4536"/>
        <w:tab w:val="right" w:pos="9072"/>
      </w:tabs>
    </w:pPr>
  </w:style>
  <w:style w:type="character" w:customStyle="1" w:styleId="ab">
    <w:name w:val="Верхний колонтитул Знак"/>
    <w:basedOn w:val="a0"/>
    <w:link w:val="aa"/>
    <w:uiPriority w:val="99"/>
    <w:rsid w:val="009A7868"/>
    <w:rPr>
      <w:rFonts w:ascii="Times New Roman" w:eastAsia="Times New Roman" w:hAnsi="Times New Roman" w:cs="Times New Roman"/>
      <w:sz w:val="24"/>
      <w:szCs w:val="20"/>
      <w:lang w:val="en-GB"/>
    </w:rPr>
  </w:style>
  <w:style w:type="paragraph" w:styleId="ac">
    <w:name w:val="footer"/>
    <w:basedOn w:val="a"/>
    <w:link w:val="ad"/>
    <w:uiPriority w:val="99"/>
    <w:unhideWhenUsed/>
    <w:rsid w:val="009A7868"/>
    <w:pPr>
      <w:tabs>
        <w:tab w:val="center" w:pos="4536"/>
        <w:tab w:val="right" w:pos="9072"/>
      </w:tabs>
    </w:pPr>
  </w:style>
  <w:style w:type="character" w:customStyle="1" w:styleId="ad">
    <w:name w:val="Нижний колонтитул Знак"/>
    <w:basedOn w:val="a0"/>
    <w:link w:val="ac"/>
    <w:uiPriority w:val="99"/>
    <w:rsid w:val="009A7868"/>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116271">
      <w:bodyDiv w:val="1"/>
      <w:marLeft w:val="0"/>
      <w:marRight w:val="0"/>
      <w:marTop w:val="0"/>
      <w:marBottom w:val="0"/>
      <w:divBdr>
        <w:top w:val="none" w:sz="0" w:space="0" w:color="auto"/>
        <w:left w:val="none" w:sz="0" w:space="0" w:color="auto"/>
        <w:bottom w:val="none" w:sz="0" w:space="0" w:color="auto"/>
        <w:right w:val="none" w:sz="0" w:space="0" w:color="auto"/>
      </w:divBdr>
    </w:div>
    <w:div w:id="151692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7C94C-3826-4D7D-A2DB-DB29EBA2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1462</Words>
  <Characters>8340</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 Uli</dc:creator>
  <cp:lastModifiedBy>Alexey Buikin</cp:lastModifiedBy>
  <cp:revision>2</cp:revision>
  <dcterms:created xsi:type="dcterms:W3CDTF">2023-03-28T13:15:00Z</dcterms:created>
  <dcterms:modified xsi:type="dcterms:W3CDTF">2023-03-28T13:15:00Z</dcterms:modified>
</cp:coreProperties>
</file>