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37" w:rsidRPr="00F50970" w:rsidRDefault="00967D37" w:rsidP="00967D37">
      <w:pPr>
        <w:rPr>
          <w:lang w:val="en-US"/>
        </w:rPr>
      </w:pPr>
    </w:p>
    <w:p w:rsidR="00967D37" w:rsidRDefault="00967D37" w:rsidP="00B610EE">
      <w:pPr>
        <w:spacing w:line="360" w:lineRule="auto"/>
        <w:jc w:val="both"/>
        <w:rPr>
          <w:b/>
          <w:lang w:val="en-US"/>
        </w:rPr>
      </w:pPr>
      <w:r w:rsidRPr="00EF3769">
        <w:rPr>
          <w:b/>
          <w:lang w:val="en-US"/>
        </w:rPr>
        <w:t>Supplementa</w:t>
      </w:r>
      <w:r>
        <w:rPr>
          <w:b/>
          <w:lang w:val="en-US"/>
        </w:rPr>
        <w:t xml:space="preserve">ry </w:t>
      </w:r>
      <w:r w:rsidRPr="00EF3769">
        <w:rPr>
          <w:b/>
          <w:lang w:val="en-US"/>
        </w:rPr>
        <w:t>methods:</w:t>
      </w:r>
    </w:p>
    <w:p w:rsidR="00B610EE" w:rsidRDefault="00B610EE" w:rsidP="00B610EE">
      <w:pPr>
        <w:spacing w:line="360" w:lineRule="auto"/>
        <w:jc w:val="both"/>
        <w:rPr>
          <w:b/>
          <w:lang w:val="en-US"/>
        </w:rPr>
      </w:pPr>
    </w:p>
    <w:p w:rsidR="00B610EE" w:rsidRPr="002A6F47" w:rsidRDefault="00B610EE" w:rsidP="00B610EE">
      <w:pPr>
        <w:spacing w:line="360" w:lineRule="auto"/>
        <w:jc w:val="both"/>
        <w:rPr>
          <w:b/>
          <w:lang w:val="en-US"/>
        </w:rPr>
      </w:pPr>
      <w:r w:rsidRPr="002A6F47">
        <w:rPr>
          <w:b/>
          <w:lang w:val="en-US"/>
        </w:rPr>
        <w:t>SFTPC long PCR</w:t>
      </w:r>
    </w:p>
    <w:p w:rsidR="00B610EE" w:rsidRPr="002A6F47" w:rsidRDefault="00B610EE" w:rsidP="00B610EE">
      <w:pPr>
        <w:spacing w:line="360" w:lineRule="auto"/>
        <w:jc w:val="both"/>
        <w:rPr>
          <w:lang w:val="en-US" w:eastAsia="en-GB"/>
        </w:rPr>
      </w:pPr>
      <w:r w:rsidRPr="002A6F47">
        <w:rPr>
          <w:lang w:val="en-US" w:eastAsia="en-GB"/>
        </w:rPr>
        <w:t xml:space="preserve">DNA was extracted from 200 </w:t>
      </w:r>
      <w:r w:rsidRPr="002A6F47">
        <w:rPr>
          <w:lang w:eastAsia="en-GB"/>
        </w:rPr>
        <w:t>μ</w:t>
      </w:r>
      <w:r w:rsidRPr="002A6F47">
        <w:rPr>
          <w:lang w:val="en-US" w:eastAsia="en-GB"/>
        </w:rPr>
        <w:t>L of  EDTA-blood with Qiamp blood minikit (Qiagen, Milano, Italy).</w:t>
      </w:r>
    </w:p>
    <w:p w:rsidR="00B610EE" w:rsidRPr="002A6F47" w:rsidRDefault="00B610EE" w:rsidP="00B610EE">
      <w:pPr>
        <w:spacing w:line="360" w:lineRule="auto"/>
        <w:jc w:val="both"/>
        <w:rPr>
          <w:lang w:val="en-US"/>
        </w:rPr>
      </w:pPr>
      <w:r w:rsidRPr="002A6F47">
        <w:rPr>
          <w:lang w:val="en-US" w:eastAsia="en-GB"/>
        </w:rPr>
        <w:t xml:space="preserve">Long PCR assay was performed with a 50 </w:t>
      </w:r>
      <w:r w:rsidRPr="002A6F47">
        <w:rPr>
          <w:lang w:eastAsia="en-GB"/>
        </w:rPr>
        <w:t>μ</w:t>
      </w:r>
      <w:r w:rsidRPr="002A6F47">
        <w:rPr>
          <w:lang w:val="en-US" w:eastAsia="en-GB"/>
        </w:rPr>
        <w:t xml:space="preserve">L reaction volume containing 5 </w:t>
      </w:r>
      <w:r w:rsidRPr="002A6F47">
        <w:rPr>
          <w:lang w:eastAsia="en-GB"/>
        </w:rPr>
        <w:t>μ</w:t>
      </w:r>
      <w:r w:rsidRPr="002A6F47">
        <w:rPr>
          <w:lang w:val="en-US" w:eastAsia="en-GB"/>
        </w:rPr>
        <w:t xml:space="preserve">L of  distilled water, 100 ng of DNA,  5 </w:t>
      </w:r>
      <w:r w:rsidRPr="002A6F47">
        <w:rPr>
          <w:lang w:eastAsia="en-GB"/>
        </w:rPr>
        <w:t>μ</w:t>
      </w:r>
      <w:r w:rsidRPr="002A6F47">
        <w:rPr>
          <w:lang w:val="en-US" w:eastAsia="en-GB"/>
        </w:rPr>
        <w:t xml:space="preserve">L of 10x PCR </w:t>
      </w:r>
      <w:r w:rsidRPr="002A6F47">
        <w:rPr>
          <w:bCs/>
          <w:lang w:val="en-US"/>
        </w:rPr>
        <w:t>Tuning Buffer with Mg</w:t>
      </w:r>
      <w:r w:rsidRPr="002A6F47">
        <w:rPr>
          <w:bCs/>
          <w:vertAlign w:val="superscript"/>
          <w:lang w:val="en-US"/>
        </w:rPr>
        <w:t>2</w:t>
      </w:r>
      <w:r w:rsidRPr="002A6F47">
        <w:rPr>
          <w:vertAlign w:val="superscript"/>
          <w:lang w:val="en-US" w:eastAsia="en-GB"/>
        </w:rPr>
        <w:t>+</w:t>
      </w:r>
      <w:r w:rsidRPr="002A6F47">
        <w:rPr>
          <w:lang w:val="en-US" w:eastAsia="en-GB"/>
        </w:rPr>
        <w:t xml:space="preserve"> (2 mM),  2.5 </w:t>
      </w:r>
      <w:r w:rsidRPr="002A6F47">
        <w:rPr>
          <w:lang w:eastAsia="en-GB"/>
        </w:rPr>
        <w:t>μ</w:t>
      </w:r>
      <w:r w:rsidRPr="002A6F47">
        <w:rPr>
          <w:lang w:val="en-US" w:eastAsia="en-GB"/>
        </w:rPr>
        <w:t>L of dNTPs (10 mM each), 400 nM of each primers (SFTPCfor 5’-</w:t>
      </w:r>
      <w:r w:rsidRPr="002A6F47">
        <w:rPr>
          <w:i/>
          <w:lang w:val="en-US" w:eastAsia="en-GB"/>
        </w:rPr>
        <w:t>CCAGTGGGGACAGAGTTTCC</w:t>
      </w:r>
      <w:r w:rsidRPr="002A6F47">
        <w:rPr>
          <w:lang w:val="en-US" w:eastAsia="en-GB"/>
        </w:rPr>
        <w:t>-3’ and SFTPCrev 5’-</w:t>
      </w:r>
      <w:r w:rsidRPr="002A6F47">
        <w:rPr>
          <w:i/>
          <w:lang w:val="en-US" w:eastAsia="en-GB"/>
        </w:rPr>
        <w:t>TAGGGAAATGAGCTCGCTGG</w:t>
      </w:r>
      <w:r w:rsidRPr="002A6F47">
        <w:rPr>
          <w:lang w:val="en-US" w:eastAsia="en-GB"/>
        </w:rPr>
        <w:t>-3’), and  2 U of PCR extender polymerase (5 U/</w:t>
      </w:r>
      <w:r w:rsidRPr="002A6F47">
        <w:rPr>
          <w:lang w:eastAsia="en-GB"/>
        </w:rPr>
        <w:t>μ</w:t>
      </w:r>
      <w:r w:rsidRPr="002A6F47">
        <w:rPr>
          <w:lang w:val="en-US" w:eastAsia="en-GB"/>
        </w:rPr>
        <w:t>L,</w:t>
      </w:r>
      <w:r w:rsidRPr="002A6F47">
        <w:rPr>
          <w:lang w:val="en-US"/>
        </w:rPr>
        <w:t xml:space="preserve"> PCR Extender System) (5PRIME,  Hilden Deutschland). The PCR product size was 3978 bp.</w:t>
      </w:r>
    </w:p>
    <w:p w:rsidR="00B610EE" w:rsidRPr="002A6F47" w:rsidRDefault="00B610EE" w:rsidP="00B610EE">
      <w:pPr>
        <w:spacing w:line="360" w:lineRule="auto"/>
        <w:jc w:val="both"/>
        <w:rPr>
          <w:lang w:val="en-US"/>
        </w:rPr>
      </w:pPr>
      <w:r w:rsidRPr="002A6F47">
        <w:rPr>
          <w:lang w:val="en-US" w:eastAsia="en-GB"/>
        </w:rPr>
        <w:t xml:space="preserve">The amplification  conditions for the PCR reaction were as follow </w:t>
      </w:r>
      <w:r w:rsidRPr="002A6F47">
        <w:rPr>
          <w:lang w:val="en-US"/>
        </w:rPr>
        <w:t>1cycle of 93°C for  3 minute, 10 cycles of 93°C 15 seconds,  62°C for 30 seconds  and 68°C for 8 minutes,  8 cycles of 93°C 15 seconds,  62°C 30 seconds  and  68°C 8 min + 20 seconds every cycles.</w:t>
      </w:r>
    </w:p>
    <w:p w:rsidR="00451887" w:rsidRPr="002A6F47" w:rsidRDefault="00451887" w:rsidP="00D15566">
      <w:pPr>
        <w:autoSpaceDE w:val="0"/>
        <w:autoSpaceDN w:val="0"/>
        <w:adjustRightInd w:val="0"/>
        <w:spacing w:line="360" w:lineRule="auto"/>
        <w:jc w:val="both"/>
        <w:rPr>
          <w:b/>
          <w:iCs/>
          <w:lang w:val="en-US"/>
        </w:rPr>
      </w:pPr>
      <w:r w:rsidRPr="002A6F47">
        <w:rPr>
          <w:b/>
          <w:iCs/>
          <w:lang w:val="en-US"/>
        </w:rPr>
        <w:t xml:space="preserve">SFTPA and SFTPB Sequencing. </w:t>
      </w:r>
    </w:p>
    <w:p w:rsidR="00385BBD" w:rsidRPr="002A6F47" w:rsidRDefault="00451887" w:rsidP="00D15566">
      <w:pPr>
        <w:autoSpaceDE w:val="0"/>
        <w:autoSpaceDN w:val="0"/>
        <w:adjustRightInd w:val="0"/>
        <w:spacing w:line="360" w:lineRule="auto"/>
        <w:jc w:val="both"/>
      </w:pPr>
      <w:r w:rsidRPr="002A6F47">
        <w:rPr>
          <w:lang w:val="en-US"/>
        </w:rPr>
        <w:t xml:space="preserve">We sequenced all the 5 exons of SFTPA gene and all the 10 exons of SFTPB gene. Amplicons were directly sequenced in an automatic genetic analyzer (CEQ 8800 Genetic Analyzer; Beckman-Coulter). </w:t>
      </w:r>
      <w:r w:rsidRPr="002A6F47">
        <w:t>Primers used are shown in table S1</w:t>
      </w:r>
      <w:r w:rsidR="00EE6938" w:rsidRPr="002A6F47">
        <w:t xml:space="preserve"> and S2</w:t>
      </w:r>
      <w:r w:rsidRPr="002A6F47">
        <w:t>.</w:t>
      </w:r>
    </w:p>
    <w:p w:rsidR="00D15566" w:rsidRPr="00E51F28" w:rsidRDefault="00D15566" w:rsidP="00D15566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570"/>
        <w:gridCol w:w="3963"/>
        <w:gridCol w:w="1476"/>
      </w:tblGrid>
      <w:tr w:rsidR="009F7E14" w:rsidRPr="009F7E14" w:rsidTr="00573D00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  <w:rPr>
                <w:b/>
              </w:rPr>
            </w:pPr>
            <w:r w:rsidRPr="009F7E14">
              <w:rPr>
                <w:b/>
              </w:rPr>
              <w:t>SFTPA Exon</w:t>
            </w:r>
          </w:p>
        </w:tc>
        <w:tc>
          <w:tcPr>
            <w:tcW w:w="0" w:type="auto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  <w:rPr>
                <w:b/>
              </w:rPr>
            </w:pPr>
            <w:r w:rsidRPr="009F7E14">
              <w:rPr>
                <w:b/>
              </w:rPr>
              <w:t>Primer</w:t>
            </w:r>
          </w:p>
        </w:tc>
        <w:tc>
          <w:tcPr>
            <w:tcW w:w="0" w:type="auto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  <w:rPr>
                <w:b/>
              </w:rPr>
            </w:pPr>
            <w:r w:rsidRPr="009F7E14">
              <w:rPr>
                <w:b/>
              </w:rPr>
              <w:t>Product size</w:t>
            </w:r>
          </w:p>
        </w:tc>
      </w:tr>
      <w:tr w:rsidR="009F7E14" w:rsidRPr="009F7E14" w:rsidTr="00573D00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  <w:rPr>
                <w:b/>
              </w:rPr>
            </w:pPr>
            <w:r w:rsidRPr="009F7E14">
              <w:rPr>
                <w:b/>
              </w:rPr>
              <w:t>1</w:t>
            </w:r>
          </w:p>
        </w:tc>
        <w:tc>
          <w:tcPr>
            <w:tcW w:w="0" w:type="auto"/>
            <w:vAlign w:val="center"/>
          </w:tcPr>
          <w:p w:rsidR="009F7E14" w:rsidRPr="009F7E14" w:rsidRDefault="009F7E14" w:rsidP="00385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</w:pPr>
            <w:r w:rsidRPr="009F7E14">
              <w:rPr>
                <w:lang w:eastAsia="en-GB"/>
              </w:rPr>
              <w:t>ACACTATGCCCATTTCCTGC</w:t>
            </w:r>
          </w:p>
        </w:tc>
        <w:tc>
          <w:tcPr>
            <w:tcW w:w="0" w:type="auto"/>
            <w:vMerge w:val="restart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  <w:r w:rsidRPr="009F7E14">
              <w:t>219</w:t>
            </w:r>
          </w:p>
        </w:tc>
      </w:tr>
      <w:tr w:rsidR="009F7E14" w:rsidRPr="009F7E14" w:rsidTr="00573D00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  <w:r w:rsidRPr="009F7E14">
              <w:rPr>
                <w:lang w:eastAsia="en-GB"/>
              </w:rPr>
              <w:t>GCTGGTCCTCTCTGCCTG</w:t>
            </w:r>
          </w:p>
        </w:tc>
        <w:tc>
          <w:tcPr>
            <w:tcW w:w="0" w:type="auto"/>
            <w:vMerge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</w:p>
        </w:tc>
      </w:tr>
      <w:tr w:rsidR="009F7E14" w:rsidRPr="009F7E14" w:rsidTr="00573D00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  <w:rPr>
                <w:b/>
              </w:rPr>
            </w:pPr>
            <w:r w:rsidRPr="009F7E14">
              <w:rPr>
                <w:b/>
              </w:rPr>
              <w:t>2-3</w:t>
            </w:r>
          </w:p>
        </w:tc>
        <w:tc>
          <w:tcPr>
            <w:tcW w:w="0" w:type="auto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  <w:r w:rsidRPr="009F7E14">
              <w:t>TGACAGAGCACAGTGGGG</w:t>
            </w:r>
          </w:p>
        </w:tc>
        <w:tc>
          <w:tcPr>
            <w:tcW w:w="0" w:type="auto"/>
            <w:vMerge w:val="restart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  <w:r w:rsidRPr="009F7E14">
              <w:t>759</w:t>
            </w:r>
          </w:p>
        </w:tc>
      </w:tr>
      <w:tr w:rsidR="009F7E14" w:rsidRPr="009F7E14" w:rsidTr="00573D00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  <w:r w:rsidRPr="009F7E14">
              <w:t>TGTAACTGACTTCAGGGTCGC</w:t>
            </w:r>
          </w:p>
        </w:tc>
        <w:tc>
          <w:tcPr>
            <w:tcW w:w="0" w:type="auto"/>
            <w:vMerge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</w:p>
        </w:tc>
      </w:tr>
      <w:tr w:rsidR="009F7E14" w:rsidRPr="009F7E14" w:rsidTr="00573D00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  <w:rPr>
                <w:b/>
              </w:rPr>
            </w:pPr>
            <w:r w:rsidRPr="009F7E14">
              <w:rPr>
                <w:b/>
              </w:rPr>
              <w:t>4</w:t>
            </w:r>
          </w:p>
        </w:tc>
        <w:tc>
          <w:tcPr>
            <w:tcW w:w="0" w:type="auto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  <w:r w:rsidRPr="009F7E14">
              <w:t>GCAGATGGCAAAACACCTG</w:t>
            </w:r>
          </w:p>
        </w:tc>
        <w:tc>
          <w:tcPr>
            <w:tcW w:w="0" w:type="auto"/>
            <w:vMerge w:val="restart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  <w:r w:rsidRPr="009F7E14">
              <w:t>218</w:t>
            </w:r>
          </w:p>
        </w:tc>
      </w:tr>
      <w:tr w:rsidR="009F7E14" w:rsidRPr="009F7E14" w:rsidTr="00573D00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  <w:r w:rsidRPr="009F7E14">
              <w:t>AGAATGAGGGGAATTTGTGG</w:t>
            </w:r>
          </w:p>
        </w:tc>
        <w:tc>
          <w:tcPr>
            <w:tcW w:w="0" w:type="auto"/>
            <w:vMerge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</w:p>
        </w:tc>
      </w:tr>
      <w:tr w:rsidR="009F7E14" w:rsidRPr="009F7E14" w:rsidTr="00573D00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  <w:rPr>
                <w:b/>
              </w:rPr>
            </w:pPr>
            <w:r w:rsidRPr="009F7E14">
              <w:rPr>
                <w:b/>
              </w:rPr>
              <w:t>5_1</w:t>
            </w:r>
          </w:p>
        </w:tc>
        <w:tc>
          <w:tcPr>
            <w:tcW w:w="0" w:type="auto"/>
            <w:vAlign w:val="center"/>
          </w:tcPr>
          <w:p w:rsidR="009F7E14" w:rsidRPr="009F7E14" w:rsidRDefault="009F7E14" w:rsidP="00385BBD">
            <w:pPr>
              <w:pStyle w:val="PreformattatoHTML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14">
              <w:rPr>
                <w:rFonts w:ascii="Times New Roman" w:hAnsi="Times New Roman" w:cs="Times New Roman"/>
                <w:sz w:val="24"/>
                <w:szCs w:val="24"/>
              </w:rPr>
              <w:t>TCTGGTAGCAGAGACCCCAG</w:t>
            </w:r>
          </w:p>
        </w:tc>
        <w:tc>
          <w:tcPr>
            <w:tcW w:w="0" w:type="auto"/>
            <w:vMerge w:val="restart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  <w:r w:rsidRPr="009F7E14">
              <w:t>688</w:t>
            </w:r>
          </w:p>
        </w:tc>
      </w:tr>
      <w:tr w:rsidR="009F7E14" w:rsidRPr="009F7E14" w:rsidTr="00573D00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  <w:r w:rsidRPr="009F7E14">
              <w:t>GGTGCAGTGCTGGGAGAG</w:t>
            </w:r>
          </w:p>
        </w:tc>
        <w:tc>
          <w:tcPr>
            <w:tcW w:w="0" w:type="auto"/>
            <w:vMerge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</w:p>
        </w:tc>
      </w:tr>
      <w:tr w:rsidR="009F7E14" w:rsidRPr="009F7E14" w:rsidTr="00573D00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  <w:rPr>
                <w:b/>
              </w:rPr>
            </w:pPr>
            <w:r w:rsidRPr="009F7E14">
              <w:rPr>
                <w:b/>
              </w:rPr>
              <w:t>5_2</w:t>
            </w:r>
          </w:p>
        </w:tc>
        <w:tc>
          <w:tcPr>
            <w:tcW w:w="0" w:type="auto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  <w:r w:rsidRPr="009F7E14">
              <w:t>ACTTCATTCCTCTGATGGGC</w:t>
            </w:r>
          </w:p>
        </w:tc>
        <w:tc>
          <w:tcPr>
            <w:tcW w:w="0" w:type="auto"/>
            <w:vMerge w:val="restart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  <w:r w:rsidRPr="009F7E14">
              <w:t>670</w:t>
            </w:r>
          </w:p>
        </w:tc>
      </w:tr>
      <w:tr w:rsidR="009F7E14" w:rsidRPr="009F7E14" w:rsidTr="00573D00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  <w:r w:rsidRPr="009F7E14">
              <w:t>AGAAAGCAGAGCCAGTGGTG</w:t>
            </w:r>
          </w:p>
        </w:tc>
        <w:tc>
          <w:tcPr>
            <w:tcW w:w="0" w:type="auto"/>
            <w:vMerge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</w:p>
        </w:tc>
      </w:tr>
      <w:tr w:rsidR="009F7E14" w:rsidRPr="009F7E14" w:rsidTr="00573D00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  <w:rPr>
                <w:b/>
              </w:rPr>
            </w:pPr>
            <w:r w:rsidRPr="009F7E14">
              <w:rPr>
                <w:b/>
              </w:rPr>
              <w:t>5_3</w:t>
            </w:r>
          </w:p>
        </w:tc>
        <w:tc>
          <w:tcPr>
            <w:tcW w:w="0" w:type="auto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  <w:r w:rsidRPr="009F7E14">
              <w:t>GCCTAGGCCTCTAGGGTGAC</w:t>
            </w:r>
          </w:p>
        </w:tc>
        <w:tc>
          <w:tcPr>
            <w:tcW w:w="0" w:type="auto"/>
            <w:vMerge w:val="restart"/>
            <w:vAlign w:val="center"/>
          </w:tcPr>
          <w:p w:rsidR="009F7E14" w:rsidRPr="009F7E14" w:rsidRDefault="009F7E14" w:rsidP="00385BBD">
            <w:pPr>
              <w:spacing w:line="480" w:lineRule="auto"/>
              <w:jc w:val="center"/>
            </w:pPr>
            <w:r w:rsidRPr="009F7E14">
              <w:t>733</w:t>
            </w:r>
          </w:p>
        </w:tc>
      </w:tr>
      <w:tr w:rsidR="009F7E14" w:rsidRPr="009F7E14" w:rsidTr="00573D00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:rsidR="009F7E14" w:rsidRPr="009F7E14" w:rsidRDefault="009F7E14" w:rsidP="009F7E14">
            <w:pPr>
              <w:spacing w:line="480" w:lineRule="auto"/>
              <w:jc w:val="both"/>
            </w:pPr>
          </w:p>
        </w:tc>
        <w:tc>
          <w:tcPr>
            <w:tcW w:w="0" w:type="auto"/>
            <w:vAlign w:val="center"/>
          </w:tcPr>
          <w:p w:rsidR="009F7E14" w:rsidRPr="009F7E14" w:rsidRDefault="009F7E14" w:rsidP="009F7E14">
            <w:pPr>
              <w:spacing w:line="480" w:lineRule="auto"/>
              <w:jc w:val="both"/>
            </w:pPr>
            <w:r w:rsidRPr="009F7E14">
              <w:t>GGCTCAGAGTCAGAGTTCATTTG</w:t>
            </w:r>
          </w:p>
        </w:tc>
        <w:tc>
          <w:tcPr>
            <w:tcW w:w="0" w:type="auto"/>
            <w:vMerge/>
            <w:vAlign w:val="center"/>
          </w:tcPr>
          <w:p w:rsidR="009F7E14" w:rsidRPr="009F7E14" w:rsidRDefault="009F7E14" w:rsidP="009F7E14">
            <w:pPr>
              <w:spacing w:line="480" w:lineRule="auto"/>
              <w:jc w:val="both"/>
            </w:pPr>
          </w:p>
        </w:tc>
      </w:tr>
    </w:tbl>
    <w:p w:rsidR="00A54188" w:rsidRDefault="002866B1" w:rsidP="00451887">
      <w:pPr>
        <w:autoSpaceDE w:val="0"/>
        <w:autoSpaceDN w:val="0"/>
        <w:adjustRightInd w:val="0"/>
        <w:spacing w:line="480" w:lineRule="auto"/>
        <w:jc w:val="both"/>
      </w:pPr>
      <w:r>
        <w:tab/>
      </w:r>
      <w:r>
        <w:tab/>
      </w:r>
    </w:p>
    <w:p w:rsidR="009F7E14" w:rsidRPr="00A54188" w:rsidRDefault="00A54188" w:rsidP="00A54188">
      <w:pPr>
        <w:autoSpaceDE w:val="0"/>
        <w:autoSpaceDN w:val="0"/>
        <w:adjustRightInd w:val="0"/>
        <w:spacing w:line="480" w:lineRule="auto"/>
        <w:jc w:val="both"/>
        <w:rPr>
          <w:lang w:val="en-US"/>
        </w:rPr>
      </w:pPr>
      <w:r w:rsidRPr="00A54188">
        <w:rPr>
          <w:b/>
          <w:lang w:val="en-US"/>
        </w:rPr>
        <w:t xml:space="preserve">                     </w:t>
      </w:r>
      <w:r w:rsidR="00385BBD" w:rsidRPr="00A54188">
        <w:rPr>
          <w:b/>
          <w:lang w:val="en-US"/>
        </w:rPr>
        <w:t>Table S1.</w:t>
      </w:r>
      <w:r w:rsidRPr="00A54188">
        <w:rPr>
          <w:lang w:val="en-US"/>
        </w:rPr>
        <w:t xml:space="preserve"> </w:t>
      </w:r>
      <w:r>
        <w:rPr>
          <w:lang w:val="en-US"/>
        </w:rPr>
        <w:t>Primer used for SFTPA gene sequencing.</w:t>
      </w:r>
    </w:p>
    <w:p w:rsidR="00385BBD" w:rsidRPr="00A54188" w:rsidRDefault="00385BBD" w:rsidP="00451887">
      <w:pPr>
        <w:autoSpaceDE w:val="0"/>
        <w:autoSpaceDN w:val="0"/>
        <w:adjustRightInd w:val="0"/>
        <w:spacing w:line="480" w:lineRule="auto"/>
        <w:jc w:val="both"/>
        <w:rPr>
          <w:lang w:val="en-US"/>
        </w:rPr>
      </w:pPr>
    </w:p>
    <w:tbl>
      <w:tblPr>
        <w:tblpPr w:leftFromText="141" w:rightFromText="141" w:vertAnchor="text" w:horzAnchor="margin" w:tblpXSpec="center" w:tblpY="-78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57"/>
        <w:gridCol w:w="4464"/>
        <w:gridCol w:w="1476"/>
      </w:tblGrid>
      <w:tr w:rsidR="007362CC" w:rsidRPr="002445BC" w:rsidTr="007362CC">
        <w:trPr>
          <w:trHeight w:hRule="exact" w:val="340"/>
        </w:trPr>
        <w:tc>
          <w:tcPr>
            <w:tcW w:w="0" w:type="auto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b/>
                <w:lang w:val="en-GB" w:eastAsia="en-US"/>
              </w:rPr>
            </w:pPr>
            <w:r w:rsidRPr="007362CC">
              <w:rPr>
                <w:b/>
                <w:lang w:val="en-GB" w:eastAsia="en-US"/>
              </w:rPr>
              <w:lastRenderedPageBreak/>
              <w:t>SFTPB Exon</w:t>
            </w:r>
          </w:p>
        </w:tc>
        <w:tc>
          <w:tcPr>
            <w:tcW w:w="0" w:type="auto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b/>
                <w:lang w:val="en-GB" w:eastAsia="en-US"/>
              </w:rPr>
            </w:pPr>
            <w:r w:rsidRPr="007362CC">
              <w:rPr>
                <w:b/>
                <w:lang w:val="en-GB" w:eastAsia="en-US"/>
              </w:rPr>
              <w:t>Primer</w:t>
            </w:r>
          </w:p>
        </w:tc>
        <w:tc>
          <w:tcPr>
            <w:tcW w:w="0" w:type="auto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b/>
                <w:lang w:val="en-GB" w:eastAsia="en-US"/>
              </w:rPr>
            </w:pPr>
            <w:r w:rsidRPr="007362CC">
              <w:rPr>
                <w:b/>
                <w:lang w:val="en-GB" w:eastAsia="en-US"/>
              </w:rPr>
              <w:t>Product size</w:t>
            </w:r>
          </w:p>
        </w:tc>
      </w:tr>
      <w:tr w:rsidR="007362CC" w:rsidRPr="002445BC" w:rsidTr="007362CC">
        <w:trPr>
          <w:trHeight w:hRule="exact" w:val="340"/>
        </w:trPr>
        <w:tc>
          <w:tcPr>
            <w:tcW w:w="0" w:type="auto"/>
            <w:vMerge w:val="restart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lang w:val="en-GB" w:eastAsia="en-US"/>
              </w:rPr>
              <w:t>1</w:t>
            </w:r>
          </w:p>
        </w:tc>
        <w:tc>
          <w:tcPr>
            <w:tcW w:w="0" w:type="auto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rFonts w:eastAsia="Calibri"/>
                <w:lang w:val="en-US" w:eastAsia="en-US"/>
              </w:rPr>
              <w:t>CTGCCTAGGAGAGGGGAGGCT</w:t>
            </w:r>
          </w:p>
        </w:tc>
        <w:tc>
          <w:tcPr>
            <w:tcW w:w="0" w:type="auto"/>
            <w:vMerge w:val="restart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rFonts w:eastAsia="Calibri"/>
                <w:lang w:val="en-US" w:eastAsia="en-US"/>
              </w:rPr>
              <w:t>792</w:t>
            </w:r>
          </w:p>
        </w:tc>
      </w:tr>
      <w:tr w:rsidR="007362CC" w:rsidRPr="002445BC" w:rsidTr="007362CC">
        <w:trPr>
          <w:trHeight w:hRule="exact" w:val="340"/>
        </w:trPr>
        <w:tc>
          <w:tcPr>
            <w:tcW w:w="0" w:type="auto"/>
            <w:vMerge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</w:p>
        </w:tc>
        <w:tc>
          <w:tcPr>
            <w:tcW w:w="0" w:type="auto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rFonts w:eastAsia="Calibri"/>
                <w:lang w:val="en-US" w:eastAsia="en-US"/>
              </w:rPr>
              <w:t>CTATGCCCCAGCCCCTACCCTG</w:t>
            </w:r>
          </w:p>
        </w:tc>
        <w:tc>
          <w:tcPr>
            <w:tcW w:w="0" w:type="auto"/>
            <w:vMerge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</w:p>
        </w:tc>
      </w:tr>
      <w:tr w:rsidR="007362CC" w:rsidRPr="002445BC" w:rsidTr="007362CC">
        <w:trPr>
          <w:trHeight w:hRule="exact" w:val="340"/>
        </w:trPr>
        <w:tc>
          <w:tcPr>
            <w:tcW w:w="0" w:type="auto"/>
            <w:vMerge w:val="restart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lang w:val="en-GB" w:eastAsia="en-US"/>
              </w:rPr>
              <w:t>2</w:t>
            </w:r>
          </w:p>
        </w:tc>
        <w:tc>
          <w:tcPr>
            <w:tcW w:w="0" w:type="auto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rFonts w:eastAsia="Calibri"/>
                <w:lang w:val="en-US" w:eastAsia="en-US"/>
              </w:rPr>
              <w:t>GAGCCCACCCAGCACCCTTC</w:t>
            </w:r>
          </w:p>
        </w:tc>
        <w:tc>
          <w:tcPr>
            <w:tcW w:w="0" w:type="auto"/>
            <w:vMerge w:val="restart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rFonts w:eastAsia="Calibri"/>
                <w:lang w:val="en-US" w:eastAsia="en-US"/>
              </w:rPr>
              <w:t>451</w:t>
            </w:r>
          </w:p>
        </w:tc>
      </w:tr>
      <w:tr w:rsidR="007362CC" w:rsidRPr="002445BC" w:rsidTr="007362CC">
        <w:trPr>
          <w:trHeight w:hRule="exact" w:val="340"/>
        </w:trPr>
        <w:tc>
          <w:tcPr>
            <w:tcW w:w="0" w:type="auto"/>
            <w:vMerge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</w:p>
        </w:tc>
        <w:tc>
          <w:tcPr>
            <w:tcW w:w="0" w:type="auto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rFonts w:eastAsia="Calibri"/>
                <w:lang w:val="en-US" w:eastAsia="en-US"/>
              </w:rPr>
              <w:t>AGCACTGCTTTGTGCTAGGCAT</w:t>
            </w:r>
          </w:p>
        </w:tc>
        <w:tc>
          <w:tcPr>
            <w:tcW w:w="0" w:type="auto"/>
            <w:vMerge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</w:p>
        </w:tc>
      </w:tr>
      <w:tr w:rsidR="007362CC" w:rsidRPr="002445BC" w:rsidTr="007362CC">
        <w:trPr>
          <w:trHeight w:hRule="exact" w:val="340"/>
        </w:trPr>
        <w:tc>
          <w:tcPr>
            <w:tcW w:w="0" w:type="auto"/>
            <w:vMerge w:val="restart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lang w:val="en-GB" w:eastAsia="en-US"/>
              </w:rPr>
              <w:t>3-4</w:t>
            </w:r>
          </w:p>
        </w:tc>
        <w:tc>
          <w:tcPr>
            <w:tcW w:w="0" w:type="auto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rFonts w:eastAsia="Calibri"/>
                <w:lang w:val="en-US" w:eastAsia="en-US"/>
              </w:rPr>
              <w:t>CAGGCAGGAGGTGAGCTTGCAG</w:t>
            </w:r>
          </w:p>
        </w:tc>
        <w:tc>
          <w:tcPr>
            <w:tcW w:w="0" w:type="auto"/>
            <w:vMerge w:val="restart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rFonts w:eastAsia="Calibri"/>
                <w:lang w:val="en-US" w:eastAsia="en-US"/>
              </w:rPr>
              <w:t>639</w:t>
            </w:r>
          </w:p>
        </w:tc>
      </w:tr>
      <w:tr w:rsidR="007362CC" w:rsidRPr="002445BC" w:rsidTr="007362CC">
        <w:trPr>
          <w:trHeight w:hRule="exact" w:val="340"/>
        </w:trPr>
        <w:tc>
          <w:tcPr>
            <w:tcW w:w="0" w:type="auto"/>
            <w:vMerge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</w:p>
        </w:tc>
        <w:tc>
          <w:tcPr>
            <w:tcW w:w="0" w:type="auto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rFonts w:eastAsia="Calibri"/>
                <w:lang w:val="en-US" w:eastAsia="en-US"/>
              </w:rPr>
              <w:t>AGCCTCCCCCACTCATGTGTCC</w:t>
            </w:r>
          </w:p>
        </w:tc>
        <w:tc>
          <w:tcPr>
            <w:tcW w:w="0" w:type="auto"/>
            <w:vMerge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</w:p>
        </w:tc>
      </w:tr>
      <w:tr w:rsidR="007362CC" w:rsidRPr="002445BC" w:rsidTr="007362CC">
        <w:trPr>
          <w:trHeight w:hRule="exact" w:val="340"/>
        </w:trPr>
        <w:tc>
          <w:tcPr>
            <w:tcW w:w="0" w:type="auto"/>
            <w:vMerge w:val="restart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lang w:val="en-GB" w:eastAsia="en-US"/>
              </w:rPr>
              <w:t>5-6</w:t>
            </w:r>
          </w:p>
        </w:tc>
        <w:tc>
          <w:tcPr>
            <w:tcW w:w="0" w:type="auto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rFonts w:eastAsia="Calibri"/>
                <w:lang w:val="en-US" w:eastAsia="en-US"/>
              </w:rPr>
              <w:t>GGTATGCGTGTGCTCCTGGGC</w:t>
            </w:r>
          </w:p>
        </w:tc>
        <w:tc>
          <w:tcPr>
            <w:tcW w:w="0" w:type="auto"/>
            <w:vMerge w:val="restart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rFonts w:eastAsia="Calibri"/>
                <w:lang w:val="en-US" w:eastAsia="en-US"/>
              </w:rPr>
              <w:t>618</w:t>
            </w:r>
          </w:p>
        </w:tc>
      </w:tr>
      <w:tr w:rsidR="007362CC" w:rsidRPr="002445BC" w:rsidTr="007362CC">
        <w:trPr>
          <w:trHeight w:hRule="exact" w:val="340"/>
        </w:trPr>
        <w:tc>
          <w:tcPr>
            <w:tcW w:w="0" w:type="auto"/>
            <w:vMerge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</w:p>
        </w:tc>
        <w:tc>
          <w:tcPr>
            <w:tcW w:w="0" w:type="auto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rFonts w:eastAsia="Calibri"/>
                <w:lang w:val="en-US" w:eastAsia="en-US"/>
              </w:rPr>
              <w:t>GGCCGGCCTGAATAGGGGTG</w:t>
            </w:r>
          </w:p>
        </w:tc>
        <w:tc>
          <w:tcPr>
            <w:tcW w:w="0" w:type="auto"/>
            <w:vMerge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</w:p>
        </w:tc>
      </w:tr>
      <w:tr w:rsidR="007362CC" w:rsidRPr="002445BC" w:rsidTr="007362CC">
        <w:trPr>
          <w:trHeight w:hRule="exact" w:val="340"/>
        </w:trPr>
        <w:tc>
          <w:tcPr>
            <w:tcW w:w="0" w:type="auto"/>
            <w:vMerge w:val="restart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lang w:val="en-GB" w:eastAsia="en-US"/>
              </w:rPr>
              <w:t>7-8</w:t>
            </w:r>
          </w:p>
        </w:tc>
        <w:tc>
          <w:tcPr>
            <w:tcW w:w="0" w:type="auto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rFonts w:eastAsia="Calibri"/>
                <w:lang w:val="en-US" w:eastAsia="en-US"/>
              </w:rPr>
              <w:t>GCCTTGAACGGGCCCTGACC</w:t>
            </w:r>
          </w:p>
        </w:tc>
        <w:tc>
          <w:tcPr>
            <w:tcW w:w="0" w:type="auto"/>
            <w:vMerge w:val="restart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lang w:val="en-GB" w:eastAsia="en-US"/>
              </w:rPr>
              <w:t>624</w:t>
            </w:r>
          </w:p>
        </w:tc>
      </w:tr>
      <w:tr w:rsidR="007362CC" w:rsidRPr="002445BC" w:rsidTr="007362CC">
        <w:trPr>
          <w:trHeight w:hRule="exact" w:val="340"/>
        </w:trPr>
        <w:tc>
          <w:tcPr>
            <w:tcW w:w="0" w:type="auto"/>
            <w:vMerge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</w:p>
        </w:tc>
        <w:tc>
          <w:tcPr>
            <w:tcW w:w="0" w:type="auto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rFonts w:eastAsia="Calibri"/>
                <w:lang w:val="en-US" w:eastAsia="en-US"/>
              </w:rPr>
              <w:t>AGCTGGGTGCTGGGCAGAGA</w:t>
            </w:r>
          </w:p>
        </w:tc>
        <w:tc>
          <w:tcPr>
            <w:tcW w:w="0" w:type="auto"/>
            <w:vMerge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</w:p>
        </w:tc>
      </w:tr>
      <w:tr w:rsidR="007362CC" w:rsidRPr="002445BC" w:rsidTr="007362CC">
        <w:trPr>
          <w:trHeight w:hRule="exact" w:val="340"/>
        </w:trPr>
        <w:tc>
          <w:tcPr>
            <w:tcW w:w="0" w:type="auto"/>
            <w:vMerge w:val="restart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lang w:val="en-GB" w:eastAsia="en-US"/>
              </w:rPr>
              <w:t>9-10</w:t>
            </w:r>
          </w:p>
        </w:tc>
        <w:tc>
          <w:tcPr>
            <w:tcW w:w="0" w:type="auto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rFonts w:eastAsia="Calibri"/>
                <w:lang w:val="en-US" w:eastAsia="en-US"/>
              </w:rPr>
              <w:t>GGGAGCAGAAGGGCCTCCCAT</w:t>
            </w:r>
          </w:p>
        </w:tc>
        <w:tc>
          <w:tcPr>
            <w:tcW w:w="0" w:type="auto"/>
            <w:vMerge w:val="restart"/>
          </w:tcPr>
          <w:p w:rsidR="00385BBD" w:rsidRPr="007362CC" w:rsidRDefault="00385BBD" w:rsidP="007362CC">
            <w:pPr>
              <w:spacing w:line="480" w:lineRule="auto"/>
              <w:jc w:val="center"/>
              <w:rPr>
                <w:lang w:val="en-GB" w:eastAsia="en-US"/>
              </w:rPr>
            </w:pPr>
            <w:r w:rsidRPr="007362CC">
              <w:rPr>
                <w:rFonts w:eastAsia="Calibri"/>
                <w:lang w:val="en-US" w:eastAsia="en-US"/>
              </w:rPr>
              <w:t>802</w:t>
            </w:r>
          </w:p>
        </w:tc>
      </w:tr>
      <w:tr w:rsidR="007362CC" w:rsidRPr="002445BC" w:rsidTr="007362CC">
        <w:trPr>
          <w:trHeight w:hRule="exact" w:val="340"/>
        </w:trPr>
        <w:tc>
          <w:tcPr>
            <w:tcW w:w="0" w:type="auto"/>
            <w:vMerge/>
          </w:tcPr>
          <w:p w:rsidR="00385BBD" w:rsidRPr="007362CC" w:rsidRDefault="00385BBD" w:rsidP="007362CC">
            <w:pPr>
              <w:spacing w:line="480" w:lineRule="auto"/>
              <w:jc w:val="both"/>
              <w:rPr>
                <w:lang w:val="en-GB" w:eastAsia="en-US"/>
              </w:rPr>
            </w:pPr>
          </w:p>
        </w:tc>
        <w:tc>
          <w:tcPr>
            <w:tcW w:w="0" w:type="auto"/>
          </w:tcPr>
          <w:p w:rsidR="00385BBD" w:rsidRPr="007362CC" w:rsidRDefault="00385BBD" w:rsidP="007362CC">
            <w:pPr>
              <w:spacing w:line="480" w:lineRule="auto"/>
              <w:jc w:val="both"/>
              <w:rPr>
                <w:lang w:val="en-GB" w:eastAsia="en-US"/>
              </w:rPr>
            </w:pPr>
            <w:r w:rsidRPr="007362CC">
              <w:rPr>
                <w:rFonts w:eastAsia="Calibri"/>
                <w:lang w:val="en-US" w:eastAsia="en-US"/>
              </w:rPr>
              <w:t>AGGCCAGGACCACACGACAGGA</w:t>
            </w:r>
            <w:r w:rsidRPr="007362CC">
              <w:rPr>
                <w:rFonts w:eastAsia="Calibri"/>
                <w:lang w:val="en-US" w:eastAsia="en-US"/>
              </w:rPr>
              <w:tab/>
            </w:r>
          </w:p>
        </w:tc>
        <w:tc>
          <w:tcPr>
            <w:tcW w:w="0" w:type="auto"/>
            <w:vMerge/>
          </w:tcPr>
          <w:p w:rsidR="00385BBD" w:rsidRPr="007362CC" w:rsidRDefault="00385BBD" w:rsidP="007362CC">
            <w:pPr>
              <w:spacing w:line="480" w:lineRule="auto"/>
              <w:jc w:val="both"/>
              <w:rPr>
                <w:lang w:val="en-GB" w:eastAsia="en-US"/>
              </w:rPr>
            </w:pPr>
          </w:p>
        </w:tc>
      </w:tr>
    </w:tbl>
    <w:p w:rsidR="00385BBD" w:rsidRDefault="00385BBD" w:rsidP="00451887">
      <w:pPr>
        <w:autoSpaceDE w:val="0"/>
        <w:autoSpaceDN w:val="0"/>
        <w:adjustRightInd w:val="0"/>
        <w:spacing w:line="480" w:lineRule="auto"/>
        <w:jc w:val="both"/>
      </w:pPr>
    </w:p>
    <w:p w:rsidR="00385BBD" w:rsidRDefault="00385BBD" w:rsidP="00451887">
      <w:pPr>
        <w:autoSpaceDE w:val="0"/>
        <w:autoSpaceDN w:val="0"/>
        <w:adjustRightInd w:val="0"/>
        <w:spacing w:line="480" w:lineRule="auto"/>
        <w:jc w:val="both"/>
      </w:pPr>
    </w:p>
    <w:p w:rsidR="00385BBD" w:rsidRDefault="00385BBD" w:rsidP="00451887">
      <w:pPr>
        <w:autoSpaceDE w:val="0"/>
        <w:autoSpaceDN w:val="0"/>
        <w:adjustRightInd w:val="0"/>
        <w:spacing w:line="480" w:lineRule="auto"/>
        <w:jc w:val="both"/>
      </w:pPr>
    </w:p>
    <w:p w:rsidR="00385BBD" w:rsidRDefault="00385BBD" w:rsidP="00451887">
      <w:pPr>
        <w:autoSpaceDE w:val="0"/>
        <w:autoSpaceDN w:val="0"/>
        <w:adjustRightInd w:val="0"/>
        <w:spacing w:line="480" w:lineRule="auto"/>
        <w:jc w:val="both"/>
      </w:pPr>
    </w:p>
    <w:p w:rsidR="00385BBD" w:rsidRDefault="00385BBD" w:rsidP="00451887">
      <w:pPr>
        <w:autoSpaceDE w:val="0"/>
        <w:autoSpaceDN w:val="0"/>
        <w:adjustRightInd w:val="0"/>
        <w:spacing w:line="480" w:lineRule="auto"/>
        <w:jc w:val="both"/>
      </w:pPr>
    </w:p>
    <w:p w:rsidR="00385BBD" w:rsidRDefault="00385BBD" w:rsidP="00451887">
      <w:pPr>
        <w:autoSpaceDE w:val="0"/>
        <w:autoSpaceDN w:val="0"/>
        <w:adjustRightInd w:val="0"/>
        <w:spacing w:line="480" w:lineRule="auto"/>
        <w:jc w:val="both"/>
      </w:pPr>
    </w:p>
    <w:p w:rsidR="00385BBD" w:rsidRPr="002866B1" w:rsidRDefault="00385BBD" w:rsidP="00451887">
      <w:pPr>
        <w:autoSpaceDE w:val="0"/>
        <w:autoSpaceDN w:val="0"/>
        <w:adjustRightInd w:val="0"/>
        <w:spacing w:line="480" w:lineRule="auto"/>
        <w:jc w:val="both"/>
        <w:rPr>
          <w:lang w:val="en-US"/>
        </w:rPr>
      </w:pPr>
    </w:p>
    <w:p w:rsidR="00EE6938" w:rsidRPr="002866B1" w:rsidRDefault="000E79E9" w:rsidP="00451887">
      <w:pPr>
        <w:autoSpaceDE w:val="0"/>
        <w:autoSpaceDN w:val="0"/>
        <w:adjustRightInd w:val="0"/>
        <w:spacing w:line="480" w:lineRule="auto"/>
        <w:jc w:val="both"/>
        <w:rPr>
          <w:lang w:val="en-US"/>
        </w:rPr>
      </w:pPr>
      <w:r>
        <w:rPr>
          <w:lang w:val="en-US"/>
        </w:rPr>
        <w:tab/>
        <w:t xml:space="preserve">      </w:t>
      </w:r>
      <w:r w:rsidRPr="00A54188">
        <w:rPr>
          <w:b/>
          <w:lang w:val="en-US"/>
        </w:rPr>
        <w:t>Table S2.</w:t>
      </w:r>
      <w:r w:rsidR="00A54188">
        <w:rPr>
          <w:lang w:val="en-US"/>
        </w:rPr>
        <w:t xml:space="preserve"> Primer used for SFTPB gene sequencing.</w:t>
      </w:r>
    </w:p>
    <w:p w:rsidR="00967D37" w:rsidRPr="00F50970" w:rsidRDefault="00967D37" w:rsidP="00B610EE">
      <w:pPr>
        <w:spacing w:line="360" w:lineRule="auto"/>
        <w:jc w:val="both"/>
        <w:rPr>
          <w:b/>
          <w:lang w:val="en-US"/>
        </w:rPr>
      </w:pPr>
      <w:r w:rsidRPr="00EF3769">
        <w:rPr>
          <w:b/>
          <w:lang w:val="en-US"/>
        </w:rPr>
        <w:t>Plasmids</w:t>
      </w:r>
    </w:p>
    <w:p w:rsidR="00967D37" w:rsidRDefault="00967D37" w:rsidP="00B610EE">
      <w:pPr>
        <w:autoSpaceDE w:val="0"/>
        <w:autoSpaceDN w:val="0"/>
        <w:adjustRightInd w:val="0"/>
        <w:spacing w:line="360" w:lineRule="auto"/>
        <w:jc w:val="both"/>
        <w:rPr>
          <w:lang w:val="en-GB"/>
        </w:rPr>
      </w:pPr>
      <w:r>
        <w:rPr>
          <w:lang w:val="en-US"/>
        </w:rPr>
        <w:t>The pEYFP-</w:t>
      </w:r>
      <w:r w:rsidRPr="00166659">
        <w:rPr>
          <w:i/>
          <w:lang w:val="en-US"/>
        </w:rPr>
        <w:t>hABCA3-WT</w:t>
      </w:r>
      <w:r>
        <w:rPr>
          <w:lang w:val="en-US"/>
        </w:rPr>
        <w:t xml:space="preserve"> vector with YFP fused to the C-terminus of ABCA3 was kindly provided by Prof. A. Holzinger. The </w:t>
      </w:r>
      <w:r w:rsidRPr="00A3275D">
        <w:rPr>
          <w:lang w:val="en-US"/>
        </w:rPr>
        <w:t>ABCA3-G964D point mutation was introduced in the p</w:t>
      </w:r>
      <w:r>
        <w:rPr>
          <w:lang w:val="en-US"/>
        </w:rPr>
        <w:t>EYFP-</w:t>
      </w:r>
      <w:r w:rsidRPr="00166659">
        <w:rPr>
          <w:i/>
          <w:lang w:val="en-US"/>
        </w:rPr>
        <w:t>hABCA3-WT</w:t>
      </w:r>
      <w:r w:rsidRPr="00A3275D">
        <w:rPr>
          <w:lang w:val="en-US"/>
        </w:rPr>
        <w:t xml:space="preserve"> vector using t</w:t>
      </w:r>
      <w:r>
        <w:rPr>
          <w:lang w:val="en-US"/>
        </w:rPr>
        <w:t xml:space="preserve">he </w:t>
      </w:r>
      <w:r w:rsidRPr="00A3275D">
        <w:rPr>
          <w:lang w:val="en-US"/>
        </w:rPr>
        <w:t>QuickChange Site-directed mutagenesis kit (Stratagene) with the following primers: G964D-for 5’-</w:t>
      </w:r>
      <w:r w:rsidRPr="003E4CE7">
        <w:rPr>
          <w:i/>
          <w:lang w:val="en-GB"/>
        </w:rPr>
        <w:t>GCGAGTACGA</w:t>
      </w:r>
      <w:r>
        <w:rPr>
          <w:i/>
          <w:lang w:val="en-GB"/>
        </w:rPr>
        <w:t>CAGAACCGTCG</w:t>
      </w:r>
      <w:r w:rsidRPr="003E4CE7">
        <w:rPr>
          <w:i/>
          <w:lang w:val="en-GB"/>
        </w:rPr>
        <w:t>TG</w:t>
      </w:r>
      <w:r w:rsidRPr="003E4CE7">
        <w:rPr>
          <w:lang w:val="en-GB"/>
        </w:rPr>
        <w:t>-</w:t>
      </w:r>
      <w:r>
        <w:rPr>
          <w:lang w:val="en-GB"/>
        </w:rPr>
        <w:t>3’</w:t>
      </w:r>
      <w:r w:rsidRPr="00A3275D">
        <w:rPr>
          <w:lang w:val="en-US"/>
        </w:rPr>
        <w:t xml:space="preserve"> and G964D-rev  5’-</w:t>
      </w:r>
      <w:r w:rsidRPr="00347035">
        <w:rPr>
          <w:i/>
          <w:lang w:val="en-GB"/>
        </w:rPr>
        <w:t>CACGACGGTTCT</w:t>
      </w:r>
      <w:r w:rsidRPr="00FC5284">
        <w:rPr>
          <w:i/>
          <w:lang w:val="en-GB"/>
        </w:rPr>
        <w:t>GTC</w:t>
      </w:r>
      <w:r w:rsidRPr="00347035">
        <w:rPr>
          <w:i/>
          <w:lang w:val="en-GB"/>
        </w:rPr>
        <w:t>GTACTCGC</w:t>
      </w:r>
      <w:r>
        <w:rPr>
          <w:lang w:val="en-GB"/>
        </w:rPr>
        <w:t>-3’.</w:t>
      </w:r>
    </w:p>
    <w:p w:rsidR="00967D37" w:rsidRPr="00461B4A" w:rsidRDefault="00967D37" w:rsidP="00967D37">
      <w:pPr>
        <w:autoSpaceDE w:val="0"/>
        <w:autoSpaceDN w:val="0"/>
        <w:adjustRightInd w:val="0"/>
        <w:spacing w:line="360" w:lineRule="auto"/>
        <w:jc w:val="both"/>
        <w:rPr>
          <w:b/>
          <w:lang w:val="en-GB"/>
        </w:rPr>
      </w:pPr>
      <w:r w:rsidRPr="00461B4A">
        <w:rPr>
          <w:b/>
          <w:lang w:val="en-GB"/>
        </w:rPr>
        <w:t>Immunefluorescence</w:t>
      </w:r>
    </w:p>
    <w:p w:rsidR="00967D37" w:rsidRDefault="00967D37" w:rsidP="00967D37">
      <w:pPr>
        <w:autoSpaceDE w:val="0"/>
        <w:autoSpaceDN w:val="0"/>
        <w:adjustRightInd w:val="0"/>
        <w:spacing w:line="360" w:lineRule="auto"/>
        <w:jc w:val="both"/>
        <w:rPr>
          <w:lang w:val="en-GB"/>
        </w:rPr>
      </w:pPr>
      <w:r>
        <w:rPr>
          <w:lang w:val="en-GB"/>
        </w:rPr>
        <w:t>YFP is a yellow fluorescent protein which does not need to be stained. Therefore, only LAMP3 and calnexin were stained according to the material and methods.</w:t>
      </w:r>
    </w:p>
    <w:p w:rsidR="00967D37" w:rsidRPr="00461B4A" w:rsidRDefault="00967D37" w:rsidP="00967D37">
      <w:pPr>
        <w:autoSpaceDE w:val="0"/>
        <w:autoSpaceDN w:val="0"/>
        <w:adjustRightInd w:val="0"/>
        <w:spacing w:line="360" w:lineRule="auto"/>
        <w:jc w:val="both"/>
        <w:rPr>
          <w:b/>
          <w:lang w:val="en-GB"/>
        </w:rPr>
      </w:pPr>
      <w:r w:rsidRPr="00461B4A">
        <w:rPr>
          <w:b/>
          <w:lang w:val="en-GB"/>
        </w:rPr>
        <w:t>Western immunoblot</w:t>
      </w:r>
    </w:p>
    <w:p w:rsidR="00967D37" w:rsidRPr="00855278" w:rsidRDefault="00967D37" w:rsidP="00967D37">
      <w:pPr>
        <w:autoSpaceDE w:val="0"/>
        <w:autoSpaceDN w:val="0"/>
        <w:adjustRightInd w:val="0"/>
        <w:spacing w:line="360" w:lineRule="auto"/>
        <w:jc w:val="both"/>
        <w:rPr>
          <w:lang w:val="en-GB"/>
        </w:rPr>
      </w:pPr>
      <w:r w:rsidRPr="00855278">
        <w:rPr>
          <w:lang w:val="en-GB"/>
        </w:rPr>
        <w:t>YFP was detected with a mouse-anti-GFP antibody (Clontech) and the Novex WesternBreeze Immunodetection Kit</w:t>
      </w:r>
      <w:r>
        <w:rPr>
          <w:lang w:val="en-GB"/>
        </w:rPr>
        <w:t xml:space="preserve"> (Invitrogen</w:t>
      </w:r>
      <w:r w:rsidRPr="00855278">
        <w:rPr>
          <w:lang w:val="en-GB"/>
        </w:rPr>
        <w:t xml:space="preserve">). All other antibodies and procedures were as described in </w:t>
      </w:r>
      <w:r>
        <w:rPr>
          <w:lang w:val="en-GB"/>
        </w:rPr>
        <w:t xml:space="preserve">the </w:t>
      </w:r>
      <w:r w:rsidRPr="00855278">
        <w:rPr>
          <w:lang w:val="en-GB"/>
        </w:rPr>
        <w:t>material</w:t>
      </w:r>
      <w:r>
        <w:rPr>
          <w:lang w:val="en-GB"/>
        </w:rPr>
        <w:t>s</w:t>
      </w:r>
      <w:r w:rsidRPr="00855278">
        <w:rPr>
          <w:lang w:val="en-GB"/>
        </w:rPr>
        <w:t xml:space="preserve"> and methods.  </w:t>
      </w:r>
    </w:p>
    <w:p w:rsidR="00967D37" w:rsidRDefault="00967D37" w:rsidP="00967D37">
      <w:pPr>
        <w:autoSpaceDE w:val="0"/>
        <w:autoSpaceDN w:val="0"/>
        <w:adjustRightInd w:val="0"/>
        <w:spacing w:line="360" w:lineRule="auto"/>
        <w:jc w:val="both"/>
        <w:rPr>
          <w:lang w:val="en-GB"/>
        </w:rPr>
      </w:pPr>
    </w:p>
    <w:p w:rsidR="00967D37" w:rsidRPr="003E4CE7" w:rsidRDefault="00967D37" w:rsidP="00967D37">
      <w:pPr>
        <w:autoSpaceDE w:val="0"/>
        <w:autoSpaceDN w:val="0"/>
        <w:adjustRightInd w:val="0"/>
        <w:spacing w:line="360" w:lineRule="auto"/>
        <w:jc w:val="both"/>
        <w:rPr>
          <w:i/>
          <w:lang w:val="en-GB"/>
        </w:rPr>
      </w:pPr>
      <w:r>
        <w:rPr>
          <w:lang w:val="en-GB"/>
        </w:rPr>
        <w:t>Acknowledgement: The pEYFP-</w:t>
      </w:r>
      <w:r w:rsidRPr="00166659">
        <w:rPr>
          <w:i/>
          <w:lang w:val="en-GB"/>
        </w:rPr>
        <w:t>hABCA3-WT</w:t>
      </w:r>
      <w:r>
        <w:rPr>
          <w:lang w:val="en-GB"/>
        </w:rPr>
        <w:t xml:space="preserve"> vector was </w:t>
      </w:r>
      <w:r>
        <w:rPr>
          <w:lang w:val="en-US"/>
        </w:rPr>
        <w:t xml:space="preserve">kindly provided by Prof. </w:t>
      </w:r>
      <w:r>
        <w:rPr>
          <w:lang w:val="en-GB"/>
        </w:rPr>
        <w:t>A. Holzinger.</w:t>
      </w:r>
    </w:p>
    <w:p w:rsidR="00967D37" w:rsidRPr="00D579A4" w:rsidRDefault="00967D37" w:rsidP="00967D37">
      <w:pPr>
        <w:autoSpaceDE w:val="0"/>
        <w:autoSpaceDN w:val="0"/>
        <w:adjustRightInd w:val="0"/>
        <w:rPr>
          <w:b/>
        </w:rPr>
      </w:pPr>
      <w:r w:rsidRPr="00D579A4">
        <w:rPr>
          <w:b/>
        </w:rPr>
        <w:t>Supplementa</w:t>
      </w:r>
      <w:r>
        <w:rPr>
          <w:b/>
        </w:rPr>
        <w:t>ry</w:t>
      </w:r>
      <w:r w:rsidRPr="00D579A4">
        <w:rPr>
          <w:b/>
        </w:rPr>
        <w:t xml:space="preserve"> Figure</w:t>
      </w:r>
      <w:r w:rsidR="004A3FA3">
        <w:rPr>
          <w:b/>
        </w:rPr>
        <w:t>s</w:t>
      </w:r>
    </w:p>
    <w:p w:rsidR="00967D37" w:rsidRDefault="00967D37" w:rsidP="00967D37">
      <w:pPr>
        <w:autoSpaceDE w:val="0"/>
        <w:autoSpaceDN w:val="0"/>
        <w:adjustRightInd w:val="0"/>
      </w:pPr>
    </w:p>
    <w:p w:rsidR="00967D37" w:rsidRDefault="002A6F47" w:rsidP="00967D37">
      <w:pPr>
        <w:autoSpaceDE w:val="0"/>
        <w:autoSpaceDN w:val="0"/>
        <w:adjustRightInd w:val="0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7" o:spid="_x0000_i1025" type="#_x0000_t75" style="width:476.25pt;height:361.5pt;visibility:visible">
            <v:imagedata r:id="rId6" o:title=""/>
          </v:shape>
        </w:pict>
      </w:r>
    </w:p>
    <w:p w:rsidR="00967D37" w:rsidRDefault="00967D37" w:rsidP="00967D37">
      <w:pPr>
        <w:autoSpaceDE w:val="0"/>
        <w:autoSpaceDN w:val="0"/>
        <w:adjustRightInd w:val="0"/>
        <w:jc w:val="both"/>
      </w:pPr>
    </w:p>
    <w:p w:rsidR="00967D37" w:rsidRPr="00676A13" w:rsidRDefault="00967D37" w:rsidP="00967D37">
      <w:pPr>
        <w:spacing w:line="360" w:lineRule="auto"/>
        <w:jc w:val="both"/>
        <w:rPr>
          <w:lang w:val="en-US"/>
        </w:rPr>
      </w:pPr>
      <w:r>
        <w:rPr>
          <w:b/>
          <w:lang w:val="en-US"/>
        </w:rPr>
        <w:t xml:space="preserve">Figure S1. </w:t>
      </w:r>
      <w:r w:rsidRPr="004A04D8">
        <w:rPr>
          <w:b/>
          <w:lang w:val="en-US"/>
        </w:rPr>
        <w:t>Cellular effects of stable ABCA3 expression in HEK cells.</w:t>
      </w:r>
    </w:p>
    <w:p w:rsidR="00967D37" w:rsidRDefault="00967D37" w:rsidP="00967D37">
      <w:pPr>
        <w:autoSpaceDE w:val="0"/>
        <w:autoSpaceDN w:val="0"/>
        <w:adjustRightInd w:val="0"/>
        <w:spacing w:line="360" w:lineRule="auto"/>
        <w:jc w:val="both"/>
      </w:pPr>
      <w:r w:rsidRPr="00676A13">
        <w:rPr>
          <w:lang w:val="en-US"/>
        </w:rPr>
        <w:t xml:space="preserve">A. ABCA3 mRNA expression levels analyzed by quantitative real time PCR. B. Western immunoblot analysis of </w:t>
      </w:r>
      <w:r>
        <w:rPr>
          <w:lang w:val="en-US"/>
        </w:rPr>
        <w:t>YFP</w:t>
      </w:r>
      <w:r w:rsidRPr="00676A13">
        <w:rPr>
          <w:lang w:val="en-US"/>
        </w:rPr>
        <w:t xml:space="preserve">-tagged ABCA3 in total cell lysates. </w:t>
      </w:r>
      <w:r>
        <w:rPr>
          <w:lang w:val="en-US"/>
        </w:rPr>
        <w:t xml:space="preserve">β-actin was used as a loading control. </w:t>
      </w:r>
      <w:r w:rsidRPr="00676A13">
        <w:rPr>
          <w:lang w:val="en-US"/>
        </w:rPr>
        <w:t xml:space="preserve">C. Ratio </w:t>
      </w:r>
      <w:r>
        <w:rPr>
          <w:lang w:val="en-US"/>
        </w:rPr>
        <w:t xml:space="preserve">of the </w:t>
      </w:r>
      <w:r w:rsidRPr="00676A13">
        <w:rPr>
          <w:lang w:val="en-US"/>
        </w:rPr>
        <w:t xml:space="preserve">upper/lower </w:t>
      </w:r>
      <w:r>
        <w:rPr>
          <w:lang w:val="en-US"/>
        </w:rPr>
        <w:t xml:space="preserve">ABCA3 </w:t>
      </w:r>
      <w:r w:rsidRPr="00676A13">
        <w:rPr>
          <w:lang w:val="en-US"/>
        </w:rPr>
        <w:t>processing form. D</w:t>
      </w:r>
      <w:r>
        <w:rPr>
          <w:lang w:val="en-US"/>
        </w:rPr>
        <w:t>.Fluorescence of YFP-tagged ABCA3 and i</w:t>
      </w:r>
      <w:r w:rsidRPr="00676A13">
        <w:rPr>
          <w:lang w:val="en-US"/>
        </w:rPr>
        <w:t xml:space="preserve">mmunostaining </w:t>
      </w:r>
      <w:r>
        <w:rPr>
          <w:lang w:val="en-US"/>
        </w:rPr>
        <w:t xml:space="preserve">of </w:t>
      </w:r>
      <w:r w:rsidRPr="00676A13">
        <w:rPr>
          <w:lang w:val="en-US"/>
        </w:rPr>
        <w:t>the lysosomal (lamellar body) marker LAMP3. E</w:t>
      </w:r>
      <w:r>
        <w:rPr>
          <w:lang w:val="en-US"/>
        </w:rPr>
        <w:t>. Fluorescence of YFP-tagged ABCA3 and immunostaining of the</w:t>
      </w:r>
      <w:r w:rsidRPr="00676A13">
        <w:rPr>
          <w:lang w:val="en-US"/>
        </w:rPr>
        <w:t xml:space="preserve"> ER marker calnexin. F. ER (calnexin, BiP)</w:t>
      </w:r>
      <w:r>
        <w:rPr>
          <w:lang w:val="en-US"/>
        </w:rPr>
        <w:t xml:space="preserve"> and </w:t>
      </w:r>
      <w:r w:rsidRPr="00676A13">
        <w:rPr>
          <w:lang w:val="en-US"/>
        </w:rPr>
        <w:t xml:space="preserve">early endosome markers (EEA1) in cells </w:t>
      </w:r>
      <w:r>
        <w:rPr>
          <w:lang w:val="en-US"/>
        </w:rPr>
        <w:t>stably</w:t>
      </w:r>
      <w:r w:rsidRPr="00676A13">
        <w:rPr>
          <w:lang w:val="en-US"/>
        </w:rPr>
        <w:t xml:space="preserve"> transfected with ABCA3.</w:t>
      </w:r>
      <w:r>
        <w:rPr>
          <w:lang w:val="en-US"/>
        </w:rPr>
        <w:t xml:space="preserve"> β-actin was used as a loading control. Scale bars: 7.5 µm, *</w:t>
      </w:r>
      <w:r w:rsidRPr="0036332B">
        <w:rPr>
          <w:i/>
          <w:lang w:val="en-US"/>
        </w:rPr>
        <w:t>P</w:t>
      </w:r>
      <w:r>
        <w:rPr>
          <w:lang w:val="en-US"/>
        </w:rPr>
        <w:t xml:space="preserve">&lt;0.05, </w:t>
      </w:r>
      <w:r w:rsidRPr="00166659">
        <w:rPr>
          <w:i/>
          <w:lang w:val="en-US"/>
        </w:rPr>
        <w:t>**P</w:t>
      </w:r>
      <w:r>
        <w:rPr>
          <w:lang w:val="en-US"/>
        </w:rPr>
        <w:t xml:space="preserve">&lt;0.01, </w:t>
      </w:r>
      <w:r w:rsidRPr="00166659">
        <w:rPr>
          <w:i/>
          <w:lang w:val="en-US"/>
        </w:rPr>
        <w:t>***P</w:t>
      </w:r>
      <w:r>
        <w:rPr>
          <w:lang w:val="en-US"/>
        </w:rPr>
        <w:t>&lt;0.001.</w:t>
      </w:r>
    </w:p>
    <w:p w:rsidR="00967D37" w:rsidRDefault="00967D37" w:rsidP="00967D37">
      <w:pPr>
        <w:spacing w:line="480" w:lineRule="auto"/>
      </w:pPr>
    </w:p>
    <w:p w:rsidR="00967D37" w:rsidRDefault="00967D37" w:rsidP="00967D37"/>
    <w:p w:rsidR="00584A91" w:rsidRDefault="00584A91" w:rsidP="00967D37"/>
    <w:p w:rsidR="00584A91" w:rsidRDefault="00584A91" w:rsidP="00967D37"/>
    <w:p w:rsidR="0008182D" w:rsidRDefault="002A6F47" w:rsidP="00584A91">
      <w:pPr>
        <w:spacing w:line="480" w:lineRule="auto"/>
        <w:jc w:val="both"/>
        <w:rPr>
          <w:b/>
          <w:bCs/>
          <w:lang w:val="en-US"/>
        </w:rPr>
      </w:pPr>
      <w:r w:rsidRPr="00A93D5A">
        <w:rPr>
          <w:b/>
          <w:bCs/>
          <w:lang w:val="en-US"/>
        </w:rPr>
        <w:lastRenderedPageBreak/>
        <w:pict>
          <v:shape id="_x0000_i1026" type="#_x0000_t75" style="width:481.5pt;height:361.5pt">
            <v:imagedata r:id="rId7" o:title="supplementary Figure 2"/>
          </v:shape>
        </w:pict>
      </w:r>
    </w:p>
    <w:p w:rsidR="00584A91" w:rsidRPr="00721E57" w:rsidRDefault="00584A91" w:rsidP="00584A91">
      <w:pPr>
        <w:spacing w:line="480" w:lineRule="auto"/>
        <w:jc w:val="both"/>
        <w:rPr>
          <w:bCs/>
          <w:lang w:val="en-US"/>
        </w:rPr>
      </w:pPr>
      <w:r w:rsidRPr="0034526C">
        <w:rPr>
          <w:b/>
          <w:bCs/>
          <w:lang w:val="en-US"/>
        </w:rPr>
        <w:t xml:space="preserve">Figure </w:t>
      </w:r>
      <w:r w:rsidR="0008182D">
        <w:rPr>
          <w:b/>
          <w:bCs/>
          <w:lang w:val="en-US"/>
        </w:rPr>
        <w:t>S2</w:t>
      </w:r>
      <w:r w:rsidRPr="0034526C">
        <w:rPr>
          <w:b/>
          <w:bCs/>
          <w:lang w:val="en-US"/>
        </w:rPr>
        <w:t>. Bioinformatic analysis.</w:t>
      </w:r>
      <w:r w:rsidRPr="0034526C">
        <w:rPr>
          <w:bCs/>
          <w:lang w:val="en-US"/>
        </w:rPr>
        <w:t xml:space="preserve"> Bioinformatic analysis of the </w:t>
      </w:r>
      <w:r w:rsidRPr="0034526C">
        <w:rPr>
          <w:szCs w:val="36"/>
          <w:lang w:val="en-US"/>
        </w:rPr>
        <w:t xml:space="preserve">ABCA3 </w:t>
      </w:r>
      <w:r w:rsidRPr="0034526C">
        <w:rPr>
          <w:lang w:val="en-US"/>
        </w:rPr>
        <w:t>G&gt;A transition at</w:t>
      </w:r>
      <w:r w:rsidRPr="00721E57">
        <w:rPr>
          <w:lang w:val="en-US"/>
        </w:rPr>
        <w:t xml:space="preserve"> nucleotide 2891 </w:t>
      </w:r>
      <w:r w:rsidRPr="00721E57">
        <w:rPr>
          <w:bCs/>
          <w:lang w:val="en-US"/>
        </w:rPr>
        <w:t>by FANS (Functional analysis of novel SNPs and mutations in human and mouse genomes) [1</w:t>
      </w:r>
      <w:r w:rsidR="00EB4644">
        <w:rPr>
          <w:bCs/>
          <w:lang w:val="en-US"/>
        </w:rPr>
        <w:t>2</w:t>
      </w:r>
      <w:r w:rsidRPr="00721E57">
        <w:rPr>
          <w:bCs/>
          <w:lang w:val="en-US"/>
        </w:rPr>
        <w:t>].</w:t>
      </w:r>
    </w:p>
    <w:p w:rsidR="000B55E7" w:rsidRPr="00584A91" w:rsidRDefault="000B55E7">
      <w:pPr>
        <w:rPr>
          <w:lang w:val="en-US"/>
        </w:rPr>
      </w:pPr>
    </w:p>
    <w:sectPr w:rsidR="000B55E7" w:rsidRPr="00584A91" w:rsidSect="001A65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805" w:rsidRDefault="00E44805">
      <w:r>
        <w:separator/>
      </w:r>
    </w:p>
  </w:endnote>
  <w:endnote w:type="continuationSeparator" w:id="1">
    <w:p w:rsidR="00E44805" w:rsidRDefault="00E44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805" w:rsidRDefault="00E44805">
      <w:r>
        <w:separator/>
      </w:r>
    </w:p>
  </w:footnote>
  <w:footnote w:type="continuationSeparator" w:id="1">
    <w:p w:rsidR="00E44805" w:rsidRDefault="00E448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7D37"/>
    <w:rsid w:val="0008182D"/>
    <w:rsid w:val="000A7DAD"/>
    <w:rsid w:val="000B55E7"/>
    <w:rsid w:val="000E79E9"/>
    <w:rsid w:val="00157F1F"/>
    <w:rsid w:val="001A6557"/>
    <w:rsid w:val="002866B1"/>
    <w:rsid w:val="002A6F47"/>
    <w:rsid w:val="00385BBD"/>
    <w:rsid w:val="00451887"/>
    <w:rsid w:val="004A3FA3"/>
    <w:rsid w:val="00573D00"/>
    <w:rsid w:val="00584A91"/>
    <w:rsid w:val="005C7F68"/>
    <w:rsid w:val="007362CC"/>
    <w:rsid w:val="00783CEB"/>
    <w:rsid w:val="007E0A7D"/>
    <w:rsid w:val="008C0318"/>
    <w:rsid w:val="00921CD5"/>
    <w:rsid w:val="00967D37"/>
    <w:rsid w:val="009F7E14"/>
    <w:rsid w:val="00A54188"/>
    <w:rsid w:val="00A93D5A"/>
    <w:rsid w:val="00B610EE"/>
    <w:rsid w:val="00BD402C"/>
    <w:rsid w:val="00C442B3"/>
    <w:rsid w:val="00D15566"/>
    <w:rsid w:val="00E224C2"/>
    <w:rsid w:val="00E44805"/>
    <w:rsid w:val="00E51F28"/>
    <w:rsid w:val="00EB4644"/>
    <w:rsid w:val="00EE6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7D37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7D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7D37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EE6938"/>
    <w:rPr>
      <w:sz w:val="22"/>
      <w:szCs w:val="22"/>
      <w:lang w:val="en-GB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EE69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EE6938"/>
    <w:rPr>
      <w:rFonts w:ascii="Courier New" w:eastAsia="Times New Roman" w:hAnsi="Courier New" w:cs="Courier New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Fondazione IRCCS Policlinico S. Matteo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Campo</dc:creator>
  <cp:keywords/>
  <dc:description/>
  <cp:lastModifiedBy>Campo</cp:lastModifiedBy>
  <cp:revision>2</cp:revision>
  <dcterms:created xsi:type="dcterms:W3CDTF">2014-04-04T12:46:00Z</dcterms:created>
  <dcterms:modified xsi:type="dcterms:W3CDTF">2014-04-04T12:46:00Z</dcterms:modified>
</cp:coreProperties>
</file>