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F361E" w14:textId="77777777" w:rsidR="001B07E4" w:rsidRDefault="00C47C4B" w:rsidP="000451B9">
      <w:pPr>
        <w:pStyle w:val="Title"/>
      </w:pPr>
      <w:bookmarkStart w:id="0" w:name="_GoBack"/>
      <w:bookmarkEnd w:id="0"/>
      <w:r w:rsidRPr="000859B1">
        <w:t>Supplementary</w:t>
      </w:r>
      <w:r w:rsidRPr="000859B1">
        <w:rPr>
          <w:rFonts w:hint="eastAsia"/>
        </w:rPr>
        <w:t xml:space="preserve"> </w:t>
      </w:r>
      <w:r w:rsidR="005A0ABF" w:rsidRPr="000859B1">
        <w:rPr>
          <w:rFonts w:hint="eastAsia"/>
        </w:rPr>
        <w:t>information</w:t>
      </w:r>
    </w:p>
    <w:p w14:paraId="45968D2F" w14:textId="77777777" w:rsidR="000451B9" w:rsidRPr="00AE78B1" w:rsidRDefault="000451B9" w:rsidP="000451B9">
      <w:pPr>
        <w:spacing w:before="240" w:after="240" w:line="480" w:lineRule="auto"/>
        <w:rPr>
          <w:rFonts w:ascii="Arial" w:hAnsi="Arial"/>
        </w:rPr>
      </w:pPr>
      <w:r w:rsidRPr="00AE78B1">
        <w:rPr>
          <w:rFonts w:ascii="Arial" w:hAnsi="Arial"/>
          <w:b/>
          <w:bCs/>
          <w:kern w:val="32"/>
          <w:sz w:val="32"/>
          <w:szCs w:val="32"/>
        </w:rPr>
        <w:t>A multivariate approach to the integration of multi-omics datasets</w:t>
      </w:r>
    </w:p>
    <w:p w14:paraId="3BB31AFE" w14:textId="77777777" w:rsidR="000451B9" w:rsidRPr="00AE78B1" w:rsidRDefault="000451B9" w:rsidP="000451B9">
      <w:pPr>
        <w:spacing w:before="240" w:after="240" w:line="480" w:lineRule="auto"/>
        <w:rPr>
          <w:rFonts w:ascii="Arial" w:hAnsi="Arial"/>
          <w:sz w:val="20"/>
          <w:szCs w:val="20"/>
        </w:rPr>
      </w:pPr>
      <w:r w:rsidRPr="00AE78B1">
        <w:rPr>
          <w:rFonts w:ascii="Arial" w:hAnsi="Arial"/>
          <w:sz w:val="20"/>
          <w:szCs w:val="20"/>
        </w:rPr>
        <w:t>Chen Meng</w:t>
      </w:r>
      <w:r w:rsidRPr="00AE78B1">
        <w:rPr>
          <w:rFonts w:ascii="Arial" w:hAnsi="Arial"/>
          <w:sz w:val="20"/>
          <w:szCs w:val="20"/>
          <w:vertAlign w:val="superscript"/>
        </w:rPr>
        <w:t>1</w:t>
      </w:r>
      <w:r w:rsidRPr="00AE78B1">
        <w:rPr>
          <w:rFonts w:ascii="Arial" w:hAnsi="Arial"/>
          <w:sz w:val="20"/>
          <w:szCs w:val="20"/>
        </w:rPr>
        <w:t>, Bernhard Kuster</w:t>
      </w:r>
      <w:r w:rsidRPr="00AE78B1">
        <w:rPr>
          <w:rFonts w:ascii="Arial" w:hAnsi="Arial"/>
          <w:sz w:val="20"/>
          <w:szCs w:val="20"/>
          <w:vertAlign w:val="superscript"/>
        </w:rPr>
        <w:t>1</w:t>
      </w:r>
      <w:proofErr w:type="gramStart"/>
      <w:r w:rsidRPr="00AE78B1">
        <w:rPr>
          <w:rFonts w:ascii="Arial" w:hAnsi="Arial"/>
          <w:sz w:val="20"/>
          <w:szCs w:val="20"/>
          <w:vertAlign w:val="superscript"/>
        </w:rPr>
        <w:t>,</w:t>
      </w:r>
      <w:r>
        <w:rPr>
          <w:rFonts w:ascii="Arial" w:hAnsi="Arial"/>
          <w:sz w:val="20"/>
          <w:szCs w:val="20"/>
          <w:vertAlign w:val="superscript"/>
        </w:rPr>
        <w:t>2.3</w:t>
      </w:r>
      <w:proofErr w:type="gramEnd"/>
      <w:r>
        <w:rPr>
          <w:rFonts w:ascii="Arial" w:hAnsi="Arial"/>
          <w:sz w:val="20"/>
          <w:szCs w:val="20"/>
        </w:rPr>
        <w:t xml:space="preserve">, </w:t>
      </w:r>
      <w:proofErr w:type="spellStart"/>
      <w:r w:rsidRPr="00AE78B1">
        <w:rPr>
          <w:rFonts w:ascii="Arial" w:hAnsi="Arial"/>
          <w:sz w:val="20"/>
          <w:szCs w:val="20"/>
        </w:rPr>
        <w:t>Aedín</w:t>
      </w:r>
      <w:proofErr w:type="spellEnd"/>
      <w:r w:rsidRPr="00AE78B1">
        <w:rPr>
          <w:rFonts w:ascii="Arial" w:hAnsi="Arial"/>
          <w:sz w:val="20"/>
          <w:szCs w:val="20"/>
        </w:rPr>
        <w:t xml:space="preserve"> C.Culhane</w:t>
      </w:r>
      <w:r w:rsidRPr="00C30D5B">
        <w:rPr>
          <w:rFonts w:ascii="Arial" w:hAnsi="Arial"/>
          <w:sz w:val="20"/>
          <w:szCs w:val="20"/>
          <w:vertAlign w:val="superscript"/>
        </w:rPr>
        <w:t>4,5</w:t>
      </w:r>
      <w:r>
        <w:rPr>
          <w:rFonts w:ascii="Arial" w:hAnsi="Arial"/>
          <w:sz w:val="20"/>
          <w:szCs w:val="20"/>
          <w:vertAlign w:val="superscript"/>
        </w:rPr>
        <w:t xml:space="preserve"> </w:t>
      </w:r>
      <w:r w:rsidRPr="00AE78B1">
        <w:rPr>
          <w:rFonts w:ascii="Arial" w:hAnsi="Arial"/>
          <w:sz w:val="20"/>
          <w:szCs w:val="20"/>
        </w:rPr>
        <w:t>and Amin Moghaddas</w:t>
      </w:r>
      <w:r>
        <w:rPr>
          <w:rFonts w:ascii="Arial" w:hAnsi="Arial"/>
          <w:sz w:val="20"/>
          <w:szCs w:val="20"/>
        </w:rPr>
        <w:t xml:space="preserve"> </w:t>
      </w:r>
      <w:r w:rsidRPr="00AE78B1">
        <w:rPr>
          <w:rFonts w:ascii="Arial" w:hAnsi="Arial"/>
          <w:sz w:val="20"/>
          <w:szCs w:val="20"/>
        </w:rPr>
        <w:t>Gholami</w:t>
      </w:r>
      <w:r w:rsidRPr="00AE78B1">
        <w:rPr>
          <w:rFonts w:ascii="Arial" w:hAnsi="Arial"/>
          <w:sz w:val="20"/>
          <w:szCs w:val="20"/>
          <w:vertAlign w:val="superscript"/>
        </w:rPr>
        <w:t>1</w:t>
      </w:r>
      <w:r>
        <w:rPr>
          <w:rFonts w:ascii="Arial" w:hAnsi="Arial"/>
          <w:sz w:val="20"/>
          <w:szCs w:val="20"/>
          <w:vertAlign w:val="superscript"/>
        </w:rPr>
        <w:t>,</w:t>
      </w:r>
      <w:r w:rsidRPr="00AE78B1">
        <w:rPr>
          <w:rFonts w:ascii="Arial" w:hAnsi="Arial"/>
          <w:sz w:val="20"/>
          <w:szCs w:val="20"/>
          <w:vertAlign w:val="superscript"/>
        </w:rPr>
        <w:t>*</w:t>
      </w:r>
    </w:p>
    <w:p w14:paraId="611F50B9" w14:textId="77777777" w:rsidR="000451B9" w:rsidRDefault="000451B9" w:rsidP="000451B9">
      <w:pPr>
        <w:spacing w:before="240" w:after="240" w:line="480" w:lineRule="auto"/>
        <w:rPr>
          <w:rFonts w:ascii="Arial" w:hAnsi="Arial"/>
          <w:sz w:val="20"/>
          <w:szCs w:val="20"/>
        </w:rPr>
      </w:pPr>
      <w:r w:rsidRPr="00AE78B1">
        <w:rPr>
          <w:rFonts w:ascii="Arial" w:hAnsi="Arial"/>
          <w:sz w:val="20"/>
          <w:szCs w:val="20"/>
          <w:vertAlign w:val="superscript"/>
        </w:rPr>
        <w:t>1</w:t>
      </w:r>
      <w:r w:rsidRPr="00AE78B1">
        <w:rPr>
          <w:rFonts w:ascii="Arial" w:hAnsi="Arial"/>
          <w:sz w:val="20"/>
          <w:szCs w:val="20"/>
        </w:rPr>
        <w:t xml:space="preserve"> Chair of Proteomics and </w:t>
      </w:r>
      <w:proofErr w:type="spellStart"/>
      <w:r w:rsidRPr="00AE78B1">
        <w:rPr>
          <w:rFonts w:ascii="Arial" w:hAnsi="Arial"/>
          <w:sz w:val="20"/>
          <w:szCs w:val="20"/>
        </w:rPr>
        <w:t>Bioanalytics</w:t>
      </w:r>
      <w:proofErr w:type="spellEnd"/>
      <w:r w:rsidRPr="00AE78B1">
        <w:rPr>
          <w:rFonts w:ascii="Arial" w:hAnsi="Arial"/>
          <w:sz w:val="20"/>
          <w:szCs w:val="20"/>
        </w:rPr>
        <w:t xml:space="preserve">, </w:t>
      </w:r>
      <w:proofErr w:type="spellStart"/>
      <w:r w:rsidRPr="00AE78B1">
        <w:rPr>
          <w:rFonts w:ascii="Arial" w:hAnsi="Arial"/>
          <w:sz w:val="20"/>
          <w:szCs w:val="20"/>
        </w:rPr>
        <w:t>Technische</w:t>
      </w:r>
      <w:proofErr w:type="spellEnd"/>
      <w:r w:rsidRPr="00AE78B1">
        <w:rPr>
          <w:rFonts w:ascii="Arial" w:hAnsi="Arial"/>
          <w:sz w:val="20"/>
          <w:szCs w:val="20"/>
        </w:rPr>
        <w:t xml:space="preserve"> </w:t>
      </w:r>
      <w:proofErr w:type="spellStart"/>
      <w:r w:rsidRPr="00AE78B1">
        <w:rPr>
          <w:rFonts w:ascii="Arial" w:hAnsi="Arial"/>
          <w:sz w:val="20"/>
          <w:szCs w:val="20"/>
        </w:rPr>
        <w:t>Universität</w:t>
      </w:r>
      <w:proofErr w:type="spellEnd"/>
      <w:r w:rsidRPr="00AE78B1">
        <w:rPr>
          <w:rFonts w:ascii="Arial" w:hAnsi="Arial"/>
          <w:sz w:val="20"/>
          <w:szCs w:val="20"/>
        </w:rPr>
        <w:t xml:space="preserve"> </w:t>
      </w:r>
      <w:proofErr w:type="spellStart"/>
      <w:r w:rsidRPr="00AE78B1">
        <w:rPr>
          <w:rFonts w:ascii="Arial" w:hAnsi="Arial"/>
          <w:sz w:val="20"/>
          <w:szCs w:val="20"/>
        </w:rPr>
        <w:t>München</w:t>
      </w:r>
      <w:proofErr w:type="spellEnd"/>
      <w:r w:rsidRPr="00AE78B1">
        <w:rPr>
          <w:rFonts w:ascii="Arial" w:hAnsi="Arial"/>
          <w:sz w:val="20"/>
          <w:szCs w:val="20"/>
        </w:rPr>
        <w:t xml:space="preserve">, </w:t>
      </w:r>
      <w:proofErr w:type="spellStart"/>
      <w:r w:rsidRPr="00AE78B1">
        <w:rPr>
          <w:rFonts w:ascii="Arial" w:hAnsi="Arial"/>
          <w:sz w:val="20"/>
          <w:szCs w:val="20"/>
        </w:rPr>
        <w:t>Freising</w:t>
      </w:r>
      <w:proofErr w:type="spellEnd"/>
      <w:r w:rsidRPr="00AE78B1">
        <w:rPr>
          <w:rFonts w:ascii="Arial" w:hAnsi="Arial"/>
          <w:sz w:val="20"/>
          <w:szCs w:val="20"/>
        </w:rPr>
        <w:t>, Germany</w:t>
      </w:r>
    </w:p>
    <w:p w14:paraId="0968A9DE" w14:textId="77777777" w:rsidR="000451B9" w:rsidRPr="00AE78B1" w:rsidRDefault="000451B9" w:rsidP="000451B9">
      <w:pPr>
        <w:spacing w:before="240" w:after="240" w:line="48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  <w:vertAlign w:val="superscript"/>
        </w:rPr>
        <w:t>2</w:t>
      </w:r>
      <w:r w:rsidRPr="00AE78B1">
        <w:rPr>
          <w:rFonts w:ascii="Arial" w:hAnsi="Arial"/>
          <w:sz w:val="20"/>
          <w:szCs w:val="20"/>
        </w:rPr>
        <w:t xml:space="preserve"> Center for Integrated Protein Science Munich, Germany</w:t>
      </w:r>
    </w:p>
    <w:p w14:paraId="0F496944" w14:textId="77777777" w:rsidR="000451B9" w:rsidRPr="00AE78B1" w:rsidRDefault="000451B9" w:rsidP="000451B9">
      <w:pPr>
        <w:spacing w:before="240" w:after="240" w:line="48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  <w:vertAlign w:val="superscript"/>
        </w:rPr>
        <w:t>3</w:t>
      </w:r>
      <w:r w:rsidRPr="00AE78B1">
        <w:rPr>
          <w:rFonts w:ascii="Arial" w:hAnsi="Arial"/>
          <w:sz w:val="20"/>
          <w:szCs w:val="20"/>
        </w:rPr>
        <w:t xml:space="preserve"> German Consortium for Translational Cancer Research, Germany</w:t>
      </w:r>
    </w:p>
    <w:p w14:paraId="0E581159" w14:textId="77777777" w:rsidR="000451B9" w:rsidRPr="00AE78B1" w:rsidRDefault="000451B9" w:rsidP="000451B9">
      <w:pPr>
        <w:spacing w:before="240" w:after="240" w:line="48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  <w:vertAlign w:val="superscript"/>
        </w:rPr>
        <w:t>4</w:t>
      </w:r>
      <w:r w:rsidRPr="00AE78B1">
        <w:rPr>
          <w:rFonts w:ascii="Arial" w:hAnsi="Arial"/>
          <w:sz w:val="20"/>
          <w:szCs w:val="20"/>
        </w:rPr>
        <w:t xml:space="preserve"> Department of Biostatistics and Computational Biology, Dana-Farber Cancer Institute, Boston, MA02215, USA</w:t>
      </w:r>
    </w:p>
    <w:p w14:paraId="639E4D49" w14:textId="77777777" w:rsidR="000451B9" w:rsidRPr="00AE78B1" w:rsidRDefault="000451B9" w:rsidP="000451B9">
      <w:pPr>
        <w:spacing w:before="240" w:after="240" w:line="48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  <w:vertAlign w:val="superscript"/>
        </w:rPr>
        <w:t>5</w:t>
      </w:r>
      <w:r w:rsidRPr="00AE78B1">
        <w:rPr>
          <w:rFonts w:ascii="Arial" w:hAnsi="Arial"/>
          <w:sz w:val="20"/>
          <w:szCs w:val="20"/>
          <w:vertAlign w:val="superscript"/>
        </w:rPr>
        <w:t xml:space="preserve"> </w:t>
      </w:r>
      <w:r w:rsidRPr="00AE78B1">
        <w:rPr>
          <w:rFonts w:ascii="Arial" w:hAnsi="Arial"/>
          <w:sz w:val="20"/>
          <w:szCs w:val="20"/>
        </w:rPr>
        <w:t>Department of Biostatistics, Harvard School of Publi</w:t>
      </w:r>
      <w:r>
        <w:rPr>
          <w:rFonts w:ascii="Arial" w:hAnsi="Arial"/>
          <w:sz w:val="20"/>
          <w:szCs w:val="20"/>
        </w:rPr>
        <w:t>c Health, Boston, MA 02215, USA</w:t>
      </w:r>
    </w:p>
    <w:p w14:paraId="4B07CE13" w14:textId="1B86862A" w:rsidR="000451B9" w:rsidRDefault="000451B9" w:rsidP="000451B9">
      <w:pPr>
        <w:spacing w:before="240" w:after="240" w:line="480" w:lineRule="auto"/>
        <w:rPr>
          <w:rFonts w:cs="Calibri"/>
        </w:rPr>
      </w:pPr>
      <w:r w:rsidRPr="00AE78B1">
        <w:rPr>
          <w:rFonts w:ascii="Arial" w:hAnsi="Arial"/>
          <w:sz w:val="18"/>
          <w:szCs w:val="18"/>
        </w:rPr>
        <w:t>* To whom correspondence should be addressed. Tel:</w:t>
      </w:r>
      <w:r w:rsidRPr="00E37A2A">
        <w:rPr>
          <w:rFonts w:cs="Calibri"/>
        </w:rPr>
        <w:t xml:space="preserve"> </w:t>
      </w:r>
      <w:r>
        <w:rPr>
          <w:rFonts w:cs="Calibri"/>
        </w:rPr>
        <w:t>+49 8161 712065</w:t>
      </w:r>
      <w:r w:rsidRPr="00AE78B1">
        <w:rPr>
          <w:rFonts w:ascii="Arial" w:hAnsi="Arial"/>
          <w:sz w:val="18"/>
          <w:szCs w:val="18"/>
        </w:rPr>
        <w:t xml:space="preserve">; Fax: </w:t>
      </w:r>
      <w:r>
        <w:rPr>
          <w:rFonts w:cs="Calibri"/>
        </w:rPr>
        <w:t>+49 8161 71 5931</w:t>
      </w:r>
      <w:r w:rsidRPr="00AE78B1">
        <w:rPr>
          <w:rFonts w:ascii="Arial" w:hAnsi="Arial"/>
          <w:sz w:val="18"/>
          <w:szCs w:val="18"/>
        </w:rPr>
        <w:t>; Email:</w:t>
      </w:r>
      <w:r w:rsidRPr="00AE78B1">
        <w:rPr>
          <w:rFonts w:ascii="Arial" w:hAnsi="Arial"/>
          <w:color w:val="FF0000"/>
          <w:sz w:val="20"/>
          <w:szCs w:val="20"/>
        </w:rPr>
        <w:t xml:space="preserve"> </w:t>
      </w:r>
      <w:hyperlink r:id="rId6" w:history="1">
        <w:r w:rsidRPr="00750A57">
          <w:rPr>
            <w:rStyle w:val="Hyperlink"/>
            <w:rFonts w:cs="Calibri"/>
          </w:rPr>
          <w:t>amin@tum.de</w:t>
        </w:r>
      </w:hyperlink>
      <w:r>
        <w:rPr>
          <w:rFonts w:cs="Calibri"/>
        </w:rPr>
        <w:br w:type="page"/>
      </w:r>
    </w:p>
    <w:p w14:paraId="28BE3A3C" w14:textId="13B09FB4" w:rsidR="00022EBA" w:rsidRDefault="00FB3AAE" w:rsidP="00A72F95">
      <w:pPr>
        <w:jc w:val="center"/>
      </w:pPr>
      <w:r>
        <w:rPr>
          <w:noProof/>
          <w:lang w:val="de-DE" w:eastAsia="de-DE"/>
        </w:rPr>
        <w:lastRenderedPageBreak/>
        <w:drawing>
          <wp:inline distT="0" distB="0" distL="0" distR="0" wp14:anchorId="39DD9261" wp14:editId="4328EA48">
            <wp:extent cx="4943475" cy="4762500"/>
            <wp:effectExtent l="0" t="0" r="0" b="0"/>
            <wp:docPr id="16" name="Picture 16" descr="C:\Users\chen\Desktop\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n\Desktop\Pictur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CD376" w14:textId="111BCB85" w:rsidR="0097025E" w:rsidRDefault="00A72F95" w:rsidP="00A72F95">
      <w:pPr>
        <w:jc w:val="center"/>
      </w:pPr>
      <w:r>
        <w:rPr>
          <w:rFonts w:hint="eastAsia"/>
        </w:rPr>
        <w:t xml:space="preserve">         </w:t>
      </w:r>
    </w:p>
    <w:p w14:paraId="1625674C" w14:textId="324F25F5" w:rsidR="00E55B91" w:rsidRDefault="00CA532A" w:rsidP="006A1619">
      <w:r>
        <w:rPr>
          <w:b/>
        </w:rPr>
        <w:t>F</w:t>
      </w:r>
      <w:r w:rsidR="00A72F95" w:rsidRPr="000859B1">
        <w:rPr>
          <w:rFonts w:hint="eastAsia"/>
          <w:b/>
        </w:rPr>
        <w:t xml:space="preserve">igure </w:t>
      </w:r>
      <w:r>
        <w:rPr>
          <w:b/>
        </w:rPr>
        <w:t>S</w:t>
      </w:r>
      <w:r w:rsidR="00A72F95" w:rsidRPr="000859B1">
        <w:rPr>
          <w:rFonts w:hint="eastAsia"/>
          <w:b/>
        </w:rPr>
        <w:t>1</w:t>
      </w:r>
      <w:r w:rsidR="00E55B91">
        <w:rPr>
          <w:b/>
        </w:rPr>
        <w:t xml:space="preserve"> </w:t>
      </w:r>
      <w:r w:rsidR="006A1619">
        <w:rPr>
          <w:rFonts w:hint="eastAsia"/>
        </w:rPr>
        <w:t>Venn</w:t>
      </w:r>
      <w:r w:rsidR="00E55B91">
        <w:t xml:space="preserve"> </w:t>
      </w:r>
      <w:r w:rsidR="006A1619">
        <w:rPr>
          <w:rFonts w:hint="eastAsia"/>
        </w:rPr>
        <w:t xml:space="preserve">diagram </w:t>
      </w:r>
      <w:r w:rsidR="000451B9">
        <w:t xml:space="preserve">representing </w:t>
      </w:r>
      <w:r w:rsidR="006A1619">
        <w:t xml:space="preserve">the </w:t>
      </w:r>
      <w:r w:rsidR="006E2C60">
        <w:t>shared number of identified genes and proteins</w:t>
      </w:r>
      <w:r w:rsidR="00890EEC">
        <w:t xml:space="preserve"> in </w:t>
      </w:r>
      <w:r w:rsidR="005869BB">
        <w:t xml:space="preserve">the </w:t>
      </w:r>
      <w:r w:rsidR="00890EEC">
        <w:t>NCI-60 datasets</w:t>
      </w:r>
      <w:r w:rsidR="006E2C60">
        <w:t xml:space="preserve"> (</w:t>
      </w:r>
      <w:r w:rsidR="006A1619">
        <w:t xml:space="preserve">total </w:t>
      </w:r>
      <w:r w:rsidR="00C804B2">
        <w:t>17,805 genes</w:t>
      </w:r>
      <w:r w:rsidR="006E2C60">
        <w:t xml:space="preserve">). </w:t>
      </w:r>
    </w:p>
    <w:p w14:paraId="09FF21FB" w14:textId="77777777" w:rsidR="00E55B91" w:rsidRDefault="00E55B91">
      <w:r>
        <w:br w:type="page"/>
      </w:r>
    </w:p>
    <w:p w14:paraId="360ACACD" w14:textId="238413A8" w:rsidR="00990AF6" w:rsidRDefault="00D730EA" w:rsidP="00E55B91">
      <w:pPr>
        <w:jc w:val="center"/>
      </w:pPr>
      <w:r>
        <w:rPr>
          <w:noProof/>
          <w:lang w:val="de-DE" w:eastAsia="de-DE"/>
        </w:rPr>
        <w:lastRenderedPageBreak/>
        <w:drawing>
          <wp:inline distT="0" distB="0" distL="0" distR="0" wp14:anchorId="3CC42DAF" wp14:editId="1CF2CAF5">
            <wp:extent cx="3771900" cy="2743200"/>
            <wp:effectExtent l="0" t="0" r="0" b="0"/>
            <wp:docPr id="17" name="Picture 17" descr="C:\Users\chen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n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39EDE" w14:textId="217000F2" w:rsidR="00272076" w:rsidRDefault="00CA532A" w:rsidP="00990AF6">
      <w:r>
        <w:rPr>
          <w:b/>
        </w:rPr>
        <w:t>Figure</w:t>
      </w:r>
      <w:r w:rsidR="00990AF6" w:rsidRPr="000859B1">
        <w:rPr>
          <w:rFonts w:hint="eastAsia"/>
          <w:b/>
        </w:rPr>
        <w:t xml:space="preserve"> </w:t>
      </w:r>
      <w:r>
        <w:rPr>
          <w:b/>
        </w:rPr>
        <w:t>S</w:t>
      </w:r>
      <w:r w:rsidR="00990AF6">
        <w:rPr>
          <w:b/>
        </w:rPr>
        <w:t>2</w:t>
      </w:r>
      <w:r w:rsidR="00990AF6">
        <w:rPr>
          <w:rFonts w:hint="eastAsia"/>
        </w:rPr>
        <w:t xml:space="preserve"> Venn</w:t>
      </w:r>
      <w:r w:rsidR="00E55B91">
        <w:t xml:space="preserve"> </w:t>
      </w:r>
      <w:r w:rsidR="00990AF6">
        <w:rPr>
          <w:rFonts w:hint="eastAsia"/>
        </w:rPr>
        <w:t xml:space="preserve">diagram </w:t>
      </w:r>
      <w:r w:rsidR="00E55B91">
        <w:t>representing the</w:t>
      </w:r>
      <w:r w:rsidR="00F668FD">
        <w:t xml:space="preserve"> total </w:t>
      </w:r>
      <w:r w:rsidR="00C804B2">
        <w:t>20,869</w:t>
      </w:r>
      <w:r w:rsidR="00F668FD">
        <w:t xml:space="preserve"> </w:t>
      </w:r>
      <w:r w:rsidR="00024E43">
        <w:t xml:space="preserve">number of </w:t>
      </w:r>
      <w:r w:rsidR="00F668FD">
        <w:t>detected genes</w:t>
      </w:r>
      <w:r w:rsidR="00890EEC">
        <w:t xml:space="preserve"> in </w:t>
      </w:r>
      <w:r w:rsidR="005869BB">
        <w:t xml:space="preserve">the </w:t>
      </w:r>
      <w:r w:rsidR="00890EEC">
        <w:t>four ovarian datasets</w:t>
      </w:r>
      <w:r w:rsidR="00024E43">
        <w:t>.</w:t>
      </w:r>
    </w:p>
    <w:p w14:paraId="79519DA6" w14:textId="77777777" w:rsidR="00272076" w:rsidRDefault="00272076">
      <w:r>
        <w:br w:type="page"/>
      </w:r>
    </w:p>
    <w:p w14:paraId="5387D202" w14:textId="77777777" w:rsidR="00272076" w:rsidRDefault="00272076" w:rsidP="00272076">
      <w:pPr>
        <w:jc w:val="center"/>
        <w:rPr>
          <w:b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6B9483D9" wp14:editId="3B92FE10">
            <wp:extent cx="5943600" cy="4857750"/>
            <wp:effectExtent l="0" t="0" r="0" b="0"/>
            <wp:docPr id="20" name="Picture 20" descr="Y:\users_files\Chen\Projects\MCIA\nci60_hclust_lab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:\users_files\Chen\Projects\MCIA\nci60_hclust_labe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06C39" w14:textId="60E10EB1" w:rsidR="00272076" w:rsidRDefault="00272076" w:rsidP="00272076">
      <w:r>
        <w:rPr>
          <w:b/>
        </w:rPr>
        <w:t>F</w:t>
      </w:r>
      <w:r w:rsidRPr="000859B1">
        <w:rPr>
          <w:rFonts w:hint="eastAsia"/>
          <w:b/>
        </w:rPr>
        <w:t xml:space="preserve">igure </w:t>
      </w:r>
      <w:r>
        <w:rPr>
          <w:b/>
        </w:rPr>
        <w:t xml:space="preserve">S3 </w:t>
      </w:r>
      <w:r w:rsidRPr="005D0F84">
        <w:t xml:space="preserve">Hierarchical clustering of mRNA and protein expression profiles of </w:t>
      </w:r>
      <w:r w:rsidR="005869BB">
        <w:t xml:space="preserve">the </w:t>
      </w:r>
      <w:r w:rsidRPr="005D0F84">
        <w:t xml:space="preserve">NCI-60 dataset. </w:t>
      </w:r>
      <w:proofErr w:type="spellStart"/>
      <w:r>
        <w:t>Dendrograms</w:t>
      </w:r>
      <w:proofErr w:type="spellEnd"/>
      <w:r>
        <w:t xml:space="preserve"> showing the average linkage hierarchical clustering using Euclidean distance. The cell lines are colored as in Figure 1.</w:t>
      </w:r>
    </w:p>
    <w:p w14:paraId="21F3B17D" w14:textId="46129FC3" w:rsidR="00990AF6" w:rsidRDefault="00024E43" w:rsidP="00990AF6">
      <w:r>
        <w:br w:type="page"/>
      </w:r>
    </w:p>
    <w:p w14:paraId="09FD57BA" w14:textId="4A7AFBCC" w:rsidR="00990AF6" w:rsidRDefault="001A3371" w:rsidP="00990AF6">
      <w:pPr>
        <w:jc w:val="center"/>
      </w:pPr>
      <w:r>
        <w:rPr>
          <w:noProof/>
          <w:lang w:val="de-DE" w:eastAsia="de-DE"/>
        </w:rPr>
        <w:lastRenderedPageBreak/>
        <w:drawing>
          <wp:inline distT="0" distB="0" distL="0" distR="0" wp14:anchorId="63F78E25" wp14:editId="29B61CC8">
            <wp:extent cx="3019425" cy="3019425"/>
            <wp:effectExtent l="0" t="0" r="9525" b="9525"/>
            <wp:docPr id="1" name="Picture 1" descr="Y:\users_files\Chen\Projects\MCIA\Plots\NCI60_Eig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users_files\Chen\Projects\MCIA\Plots\NCI60_Eig.tif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F5580" w14:textId="658257CA" w:rsidR="00E55B91" w:rsidRDefault="00CA532A" w:rsidP="00884FA4">
      <w:pPr>
        <w:rPr>
          <w:rFonts w:ascii="Arial" w:hAnsi="Arial"/>
          <w:sz w:val="20"/>
          <w:szCs w:val="20"/>
        </w:rPr>
      </w:pPr>
      <w:r>
        <w:rPr>
          <w:b/>
        </w:rPr>
        <w:t>F</w:t>
      </w:r>
      <w:r w:rsidR="00990AF6" w:rsidRPr="000859B1">
        <w:rPr>
          <w:rFonts w:hint="eastAsia"/>
          <w:b/>
        </w:rPr>
        <w:t xml:space="preserve">igure </w:t>
      </w:r>
      <w:r>
        <w:rPr>
          <w:b/>
        </w:rPr>
        <w:t>S</w:t>
      </w:r>
      <w:r w:rsidR="00272076">
        <w:rPr>
          <w:b/>
        </w:rPr>
        <w:t>4</w:t>
      </w:r>
      <w:r w:rsidR="00990AF6">
        <w:rPr>
          <w:b/>
        </w:rPr>
        <w:t xml:space="preserve"> </w:t>
      </w:r>
      <w:r w:rsidR="00024E43">
        <w:t>P</w:t>
      </w:r>
      <w:r w:rsidR="00697062">
        <w:t>seudo-eigenvalue</w:t>
      </w:r>
      <w:r w:rsidR="005D0F84">
        <w:t>s</w:t>
      </w:r>
      <w:r w:rsidR="00697062">
        <w:t xml:space="preserve"> of the NCI-60 data</w:t>
      </w:r>
      <w:r w:rsidR="00890EEC">
        <w:t xml:space="preserve">, including four microarray datasets and </w:t>
      </w:r>
      <w:r w:rsidR="007D7808">
        <w:t xml:space="preserve">one </w:t>
      </w:r>
      <w:r w:rsidR="00890EEC">
        <w:t>proteomic data</w:t>
      </w:r>
      <w:r w:rsidR="00697062">
        <w:t xml:space="preserve">. </w:t>
      </w:r>
      <w:r w:rsidR="00884FA4">
        <w:t>Each pseudo-eigenvalue is associate</w:t>
      </w:r>
      <w:r w:rsidR="00D15D0B">
        <w:t>d</w:t>
      </w:r>
      <w:r w:rsidR="00884FA4">
        <w:t xml:space="preserve"> with a principal component (linearly uncorrelated variables defined by MCIA) </w:t>
      </w:r>
      <w:r w:rsidR="007D7808">
        <w:t xml:space="preserve">indicating </w:t>
      </w:r>
      <w:r w:rsidR="00884FA4">
        <w:t xml:space="preserve">the variance </w:t>
      </w:r>
      <w:r w:rsidR="00D15D0B">
        <w:t xml:space="preserve">explained by </w:t>
      </w:r>
      <w:r w:rsidR="007D7808">
        <w:t xml:space="preserve">each </w:t>
      </w:r>
      <w:r w:rsidR="00884FA4">
        <w:t xml:space="preserve">PC. </w:t>
      </w:r>
      <w:proofErr w:type="spellStart"/>
      <w:r w:rsidR="007D7808">
        <w:t>B</w:t>
      </w:r>
      <w:r w:rsidR="00884FA4">
        <w:t>arplot</w:t>
      </w:r>
      <w:proofErr w:type="spellEnd"/>
      <w:r w:rsidR="00884FA4">
        <w:t xml:space="preserve"> shows the pseudo-eigenvalues (left axis) and </w:t>
      </w:r>
      <w:r w:rsidR="00884FA4">
        <w:rPr>
          <w:rFonts w:ascii="Arial" w:hAnsi="Arial"/>
          <w:sz w:val="20"/>
          <w:szCs w:val="20"/>
        </w:rPr>
        <w:t>b</w:t>
      </w:r>
      <w:r w:rsidR="009D4482">
        <w:rPr>
          <w:rFonts w:ascii="Arial" w:hAnsi="Arial"/>
          <w:sz w:val="20"/>
          <w:szCs w:val="20"/>
        </w:rPr>
        <w:t xml:space="preserve">lue line </w:t>
      </w:r>
      <w:r w:rsidR="00890EEC">
        <w:rPr>
          <w:rFonts w:ascii="Arial" w:hAnsi="Arial"/>
          <w:sz w:val="20"/>
          <w:szCs w:val="20"/>
        </w:rPr>
        <w:t xml:space="preserve">corresponds </w:t>
      </w:r>
      <w:r w:rsidR="00D15D0B">
        <w:rPr>
          <w:rFonts w:ascii="Arial" w:hAnsi="Arial"/>
          <w:sz w:val="20"/>
          <w:szCs w:val="20"/>
        </w:rPr>
        <w:t xml:space="preserve">to </w:t>
      </w:r>
      <w:r w:rsidR="009D4482">
        <w:rPr>
          <w:rFonts w:ascii="Arial" w:hAnsi="Arial"/>
          <w:sz w:val="20"/>
          <w:szCs w:val="20"/>
        </w:rPr>
        <w:t>the percentage of variance</w:t>
      </w:r>
      <w:r w:rsidR="00884FA4">
        <w:rPr>
          <w:rFonts w:ascii="Arial" w:hAnsi="Arial"/>
          <w:sz w:val="20"/>
          <w:szCs w:val="20"/>
        </w:rPr>
        <w:t xml:space="preserve"> of each PC</w:t>
      </w:r>
      <w:r w:rsidR="009D4482">
        <w:rPr>
          <w:rFonts w:ascii="Arial" w:hAnsi="Arial"/>
          <w:sz w:val="20"/>
          <w:szCs w:val="20"/>
        </w:rPr>
        <w:t>, calculated as the eigenvalue divided by sum of all eigenvalues.</w:t>
      </w:r>
      <w:r w:rsidR="00884FA4">
        <w:rPr>
          <w:rFonts w:ascii="Arial" w:hAnsi="Arial"/>
          <w:sz w:val="20"/>
          <w:szCs w:val="20"/>
        </w:rPr>
        <w:t xml:space="preserve"> </w:t>
      </w:r>
      <w:r w:rsidR="00884FA4">
        <w:t>The first three PCs represent 17.6%, 14.2% and 9.7% of the total inertia.</w:t>
      </w:r>
    </w:p>
    <w:p w14:paraId="0BD97F75" w14:textId="4772FA90" w:rsidR="00E55B91" w:rsidRPr="00272076" w:rsidRDefault="00E55B91">
      <w:pPr>
        <w:rPr>
          <w:rFonts w:ascii="Arial" w:hAnsi="Arial"/>
          <w:sz w:val="20"/>
          <w:szCs w:val="20"/>
        </w:rPr>
      </w:pPr>
      <w:r>
        <w:br w:type="page"/>
      </w:r>
    </w:p>
    <w:p w14:paraId="745FB7F5" w14:textId="152D6E37" w:rsidR="00242811" w:rsidRDefault="00884FA4" w:rsidP="00946C68">
      <w:pPr>
        <w:jc w:val="center"/>
      </w:pPr>
      <w:r>
        <w:rPr>
          <w:noProof/>
          <w:lang w:val="de-DE" w:eastAsia="de-DE"/>
        </w:rPr>
        <w:lastRenderedPageBreak/>
        <w:drawing>
          <wp:inline distT="0" distB="0" distL="0" distR="0" wp14:anchorId="0AE9E237" wp14:editId="49980E3A">
            <wp:extent cx="4314825" cy="2914650"/>
            <wp:effectExtent l="0" t="0" r="9525" b="0"/>
            <wp:docPr id="3" name="Picture 3" descr="Y:\users_files\Chen\Projects\MCIA\NCI60_heatmap_m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users_files\Chen\Projects\MCIA\NCI60_heatmap_mod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13090" w14:textId="48BE26EC" w:rsidR="00130E3C" w:rsidRDefault="00242811" w:rsidP="00242811">
      <w:r>
        <w:rPr>
          <w:b/>
        </w:rPr>
        <w:t>F</w:t>
      </w:r>
      <w:r w:rsidRPr="000859B1">
        <w:rPr>
          <w:rFonts w:hint="eastAsia"/>
          <w:b/>
        </w:rPr>
        <w:t xml:space="preserve">igure </w:t>
      </w:r>
      <w:r>
        <w:rPr>
          <w:b/>
        </w:rPr>
        <w:t xml:space="preserve">S5 </w:t>
      </w:r>
      <w:proofErr w:type="spellStart"/>
      <w:r w:rsidR="005B24A5">
        <w:t>H</w:t>
      </w:r>
      <w:r>
        <w:t>eatmap</w:t>
      </w:r>
      <w:proofErr w:type="spellEnd"/>
      <w:r>
        <w:t xml:space="preserve"> shows the RV coefficients between each pair of normalized datasets</w:t>
      </w:r>
      <w:r w:rsidR="005B24A5">
        <w:t>, representing a high degree of overall similarity in the structure of transcriptomics and proteomic datasets.</w:t>
      </w:r>
    </w:p>
    <w:p w14:paraId="3F797F13" w14:textId="7C029764" w:rsidR="00242811" w:rsidRPr="00242811" w:rsidRDefault="00130E3C" w:rsidP="00242811">
      <w:r>
        <w:br w:type="page"/>
      </w:r>
    </w:p>
    <w:p w14:paraId="6F50AFD8" w14:textId="7CFE7882" w:rsidR="002E45E9" w:rsidRDefault="00551942" w:rsidP="002E45E9">
      <w:pPr>
        <w:jc w:val="center"/>
      </w:pPr>
      <w:r>
        <w:rPr>
          <w:noProof/>
          <w:lang w:val="de-DE" w:eastAsia="de-DE"/>
        </w:rPr>
        <w:lastRenderedPageBreak/>
        <w:drawing>
          <wp:inline distT="0" distB="0" distL="0" distR="0" wp14:anchorId="6438C4E2" wp14:editId="7BA82774">
            <wp:extent cx="3019425" cy="4676775"/>
            <wp:effectExtent l="0" t="0" r="9525" b="9525"/>
            <wp:docPr id="7" name="Picture 7" descr="Y:\users_files\Chen\Projects\MCIA\Dataset_space_rm0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users_files\Chen\Projects\MCIA\Dataset_space_rm0.tif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59D4A" w14:textId="14C44D9D" w:rsidR="00C246ED" w:rsidRDefault="00242811" w:rsidP="002E45E9">
      <w:r>
        <w:rPr>
          <w:b/>
        </w:rPr>
        <w:t>Figure S6</w:t>
      </w:r>
      <w:r w:rsidR="002E45E9">
        <w:t xml:space="preserve"> </w:t>
      </w:r>
      <w:r w:rsidR="005B24A5">
        <w:t>Show</w:t>
      </w:r>
      <w:r w:rsidR="00BA4179">
        <w:t xml:space="preserve">n are </w:t>
      </w:r>
      <w:r w:rsidR="005B24A5">
        <w:t xml:space="preserve">the </w:t>
      </w:r>
      <w:r w:rsidR="00130E3C">
        <w:t>p</w:t>
      </w:r>
      <w:r w:rsidR="002E45E9" w:rsidRPr="002E45E9">
        <w:t xml:space="preserve">seudo-eigenvalue space of </w:t>
      </w:r>
      <w:r w:rsidR="005B24A5">
        <w:t xml:space="preserve">the </w:t>
      </w:r>
      <w:r w:rsidR="002E45E9" w:rsidRPr="002E45E9">
        <w:t>NCI60 data represent</w:t>
      </w:r>
      <w:r w:rsidR="005B24A5">
        <w:t>ing</w:t>
      </w:r>
      <w:r w:rsidR="002E45E9" w:rsidRPr="002E45E9">
        <w:t xml:space="preserve"> the contribution of each dataset</w:t>
      </w:r>
      <w:r w:rsidR="00130E3C">
        <w:t xml:space="preserve"> to</w:t>
      </w:r>
      <w:r w:rsidR="002E45E9" w:rsidRPr="002E45E9">
        <w:t xml:space="preserve"> </w:t>
      </w:r>
      <w:r w:rsidR="005C1C29">
        <w:t xml:space="preserve">the </w:t>
      </w:r>
      <w:r w:rsidR="002E45E9" w:rsidRPr="002E45E9">
        <w:t>f</w:t>
      </w:r>
      <w:r w:rsidR="006116A1">
        <w:t>i</w:t>
      </w:r>
      <w:r w:rsidR="002E45E9" w:rsidRPr="002E45E9">
        <w:t xml:space="preserve">rst </w:t>
      </w:r>
      <w:r w:rsidR="008659E1">
        <w:t>principal component</w:t>
      </w:r>
      <w:r w:rsidR="005C1C29">
        <w:t xml:space="preserve"> </w:t>
      </w:r>
      <w:r w:rsidR="005B24A5">
        <w:t xml:space="preserve">(top) </w:t>
      </w:r>
      <w:r w:rsidR="002E45E9">
        <w:t xml:space="preserve">and </w:t>
      </w:r>
      <w:r w:rsidR="008659E1">
        <w:t>second principal component</w:t>
      </w:r>
      <w:r w:rsidR="005B24A5">
        <w:t xml:space="preserve"> </w:t>
      </w:r>
      <w:r w:rsidR="005C1C29">
        <w:t>(</w:t>
      </w:r>
      <w:r w:rsidR="005B24A5">
        <w:t>b</w:t>
      </w:r>
      <w:r w:rsidR="00BA3E4D">
        <w:t>ottom</w:t>
      </w:r>
      <w:r w:rsidR="002E45E9" w:rsidRPr="002E45E9">
        <w:t>)</w:t>
      </w:r>
      <w:r w:rsidR="005B24A5">
        <w:t xml:space="preserve">. </w:t>
      </w:r>
      <w:r w:rsidR="00130E3C">
        <w:t xml:space="preserve"> In both case</w:t>
      </w:r>
      <w:r w:rsidR="002E45E9">
        <w:t>s</w:t>
      </w:r>
      <w:r w:rsidR="002E45E9" w:rsidRPr="002E45E9">
        <w:t xml:space="preserve"> filtering out missing values in the proteom</w:t>
      </w:r>
      <w:r w:rsidR="00CF0568">
        <w:t>e</w:t>
      </w:r>
      <w:r w:rsidR="002E45E9" w:rsidRPr="002E45E9">
        <w:t xml:space="preserve"> data increased the variance. </w:t>
      </w:r>
    </w:p>
    <w:p w14:paraId="49E23250" w14:textId="77777777" w:rsidR="00C246ED" w:rsidRDefault="00C246ED">
      <w:r>
        <w:br w:type="page"/>
      </w:r>
    </w:p>
    <w:p w14:paraId="3985DD16" w14:textId="58E19BF0" w:rsidR="00C246ED" w:rsidRDefault="00C246ED" w:rsidP="00C246ED"/>
    <w:p w14:paraId="34D13BB4" w14:textId="707C302E" w:rsidR="00095EC6" w:rsidRDefault="00095EC6" w:rsidP="00C246ED">
      <w:r>
        <w:rPr>
          <w:noProof/>
          <w:lang w:val="de-DE" w:eastAsia="de-DE"/>
        </w:rPr>
        <w:drawing>
          <wp:inline distT="0" distB="0" distL="0" distR="0" wp14:anchorId="04E29575" wp14:editId="564A03AF">
            <wp:extent cx="5943600" cy="3962400"/>
            <wp:effectExtent l="0" t="0" r="0" b="0"/>
            <wp:docPr id="31" name="Picture 31" descr="C:\Users\chen\Desktop\Pictur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en\Desktop\Picture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B7C08" w14:textId="57A2FF57" w:rsidR="00C246ED" w:rsidRDefault="00C246ED" w:rsidP="00C246ED">
      <w:r>
        <w:rPr>
          <w:b/>
        </w:rPr>
        <w:t>Figure S7</w:t>
      </w:r>
      <w:r w:rsidRPr="00C57096">
        <w:t xml:space="preserve"> </w:t>
      </w:r>
      <w:r w:rsidR="00D45676">
        <w:t>Comparison of three optimization</w:t>
      </w:r>
      <w:r w:rsidR="00342256">
        <w:t xml:space="preserve"> criteria </w:t>
      </w:r>
      <w:r w:rsidR="00E93462">
        <w:t xml:space="preserve">for </w:t>
      </w:r>
      <w:r w:rsidR="002F2ABE">
        <w:t>RGCCA with MCIA</w:t>
      </w:r>
      <w:r w:rsidR="00E93462">
        <w:t xml:space="preserve"> using the described</w:t>
      </w:r>
      <w:r w:rsidR="00AE646E">
        <w:t xml:space="preserve"> NCI-60 data</w:t>
      </w:r>
      <w:r w:rsidR="00E93462">
        <w:t>sets</w:t>
      </w:r>
      <w:r w:rsidR="002F2ABE">
        <w:t>. The sample space of each dataset is plotted separately</w:t>
      </w:r>
      <w:r w:rsidR="00AE646E">
        <w:t xml:space="preserve"> (columns)</w:t>
      </w:r>
      <w:r w:rsidR="002F2ABE">
        <w:t xml:space="preserve">. </w:t>
      </w:r>
      <w:r w:rsidR="00E93462">
        <w:t xml:space="preserve">The following three </w:t>
      </w:r>
      <w:r w:rsidR="00AE646E">
        <w:t xml:space="preserve">RGCCA optimization criteria </w:t>
      </w:r>
      <w:r w:rsidR="00342256">
        <w:t xml:space="preserve">(rows) </w:t>
      </w:r>
      <w:r w:rsidR="00E93462">
        <w:t>were compared:</w:t>
      </w:r>
      <w:r w:rsidR="00AE646E">
        <w:t xml:space="preserve"> </w:t>
      </w:r>
      <w:r w:rsidR="00D90AA3">
        <w:t>sum of absolute correlation (SABS</w:t>
      </w:r>
      <w:r w:rsidR="00AE646E">
        <w:t xml:space="preserve">COR), sum of squared correlation (SSQCOR) and sum of correlation (SUMCOR). SABSCOR and SSQCOR maximize the absolute </w:t>
      </w:r>
      <w:r w:rsidR="00D90AA3">
        <w:t>value and</w:t>
      </w:r>
      <w:r w:rsidR="00AE646E">
        <w:t xml:space="preserve"> square of correlations between axes, therefore, axes could be either negatively or positively corre</w:t>
      </w:r>
      <w:r w:rsidR="00D90AA3">
        <w:t>lated, as shown by the inverted</w:t>
      </w:r>
      <w:r w:rsidR="00AE646E">
        <w:t xml:space="preserve"> axes across datasets. </w:t>
      </w:r>
      <w:r w:rsidR="00E93462">
        <w:t>In contrast, t</w:t>
      </w:r>
      <w:r w:rsidR="00AE646E">
        <w:t xml:space="preserve">he SUMCOR </w:t>
      </w:r>
      <w:r w:rsidR="00D90AA3">
        <w:t xml:space="preserve">method </w:t>
      </w:r>
      <w:r w:rsidR="00AE646E">
        <w:t xml:space="preserve">identifies </w:t>
      </w:r>
      <w:r w:rsidR="00AE646E" w:rsidRPr="00AE646E">
        <w:t>positively correlated components</w:t>
      </w:r>
      <w:r w:rsidR="00342256">
        <w:t>, which is closest</w:t>
      </w:r>
      <w:r w:rsidR="00AE646E">
        <w:t xml:space="preserve"> to the MCIA. </w:t>
      </w:r>
      <w:r w:rsidR="00D90AA3">
        <w:t xml:space="preserve">In all cases of </w:t>
      </w:r>
      <w:r w:rsidR="00342256">
        <w:t>R</w:t>
      </w:r>
      <w:r w:rsidR="00D90AA3">
        <w:t>GCCA, o</w:t>
      </w:r>
      <w:r w:rsidR="00750413">
        <w:t>nly complete design</w:t>
      </w:r>
      <w:r w:rsidR="00342256">
        <w:t xml:space="preserve"> </w:t>
      </w:r>
      <w:r w:rsidR="00E93462">
        <w:t xml:space="preserve">was </w:t>
      </w:r>
      <w:r w:rsidR="00750413">
        <w:t xml:space="preserve">considered and </w:t>
      </w:r>
      <w:r w:rsidR="00E93462">
        <w:t xml:space="preserve">the </w:t>
      </w:r>
      <w:r w:rsidR="00750413">
        <w:t>s</w:t>
      </w:r>
      <w:r w:rsidR="002F2ABE" w:rsidRPr="00AE646E">
        <w:t xml:space="preserve">hrinkage parameter </w:t>
      </w:r>
      <w:r w:rsidR="00E93462">
        <w:t xml:space="preserve">was set to </w:t>
      </w:r>
      <w:r w:rsidR="002F2ABE" w:rsidRPr="00AE646E">
        <w:t xml:space="preserve">т = 1 </w:t>
      </w:r>
      <w:r w:rsidR="00750413">
        <w:t>in all cases (</w:t>
      </w:r>
      <w:r w:rsidR="00E93462">
        <w:t>r</w:t>
      </w:r>
      <w:r w:rsidR="00750413">
        <w:t xml:space="preserve">esults </w:t>
      </w:r>
      <w:r w:rsidR="00634FC7">
        <w:t xml:space="preserve">were </w:t>
      </w:r>
      <w:r w:rsidR="00750413">
        <w:t>generated by R package “RGCCA”</w:t>
      </w:r>
      <w:r w:rsidR="002F2ABE" w:rsidRPr="00AE646E">
        <w:t>).</w:t>
      </w:r>
    </w:p>
    <w:p w14:paraId="0903C4AD" w14:textId="77777777" w:rsidR="00C246ED" w:rsidRDefault="00C246ED">
      <w:r>
        <w:br w:type="page"/>
      </w:r>
    </w:p>
    <w:p w14:paraId="709CD598" w14:textId="6BBCE054" w:rsidR="00C246ED" w:rsidRDefault="00095EC6" w:rsidP="00C246ED">
      <w:r>
        <w:rPr>
          <w:noProof/>
          <w:lang w:val="de-DE" w:eastAsia="de-DE"/>
        </w:rPr>
        <w:lastRenderedPageBreak/>
        <w:drawing>
          <wp:inline distT="0" distB="0" distL="0" distR="0" wp14:anchorId="175CCFBC" wp14:editId="06CC0460">
            <wp:extent cx="5943600" cy="3019425"/>
            <wp:effectExtent l="0" t="0" r="0" b="9525"/>
            <wp:docPr id="32" name="Picture 32" descr="C:\Users\chen\Desktop\Pictur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en\Desktop\Picture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B71DA" w14:textId="38CADD9C" w:rsidR="00C246ED" w:rsidRDefault="00C246ED" w:rsidP="00C246ED">
      <w:r>
        <w:rPr>
          <w:b/>
        </w:rPr>
        <w:t>Figure S8</w:t>
      </w:r>
      <w:r w:rsidRPr="00C57096">
        <w:t xml:space="preserve"> </w:t>
      </w:r>
      <w:r w:rsidR="00AE646E">
        <w:t>Comparison of different shrinkage parameter</w:t>
      </w:r>
      <w:r w:rsidR="00342256">
        <w:t>s</w:t>
      </w:r>
      <w:r w:rsidR="004A4FB3">
        <w:t xml:space="preserve"> (</w:t>
      </w:r>
      <w:r w:rsidR="004A4FB3" w:rsidRPr="00342256">
        <w:t>т</w:t>
      </w:r>
      <w:r w:rsidR="00AE646E">
        <w:t xml:space="preserve">) </w:t>
      </w:r>
      <w:r w:rsidR="003B1B4D">
        <w:t xml:space="preserve">for </w:t>
      </w:r>
      <w:r w:rsidR="00AE646E">
        <w:t xml:space="preserve">RGCCA </w:t>
      </w:r>
      <w:r w:rsidR="003B1B4D">
        <w:t xml:space="preserve">as well as </w:t>
      </w:r>
      <w:r w:rsidR="00AE646E">
        <w:t>MCIA</w:t>
      </w:r>
      <w:r w:rsidR="00C94BF9">
        <w:t xml:space="preserve"> using </w:t>
      </w:r>
      <w:r w:rsidR="003B1B4D">
        <w:t xml:space="preserve">the </w:t>
      </w:r>
      <w:r w:rsidR="00C94BF9">
        <w:t>NCI-60 data</w:t>
      </w:r>
      <w:r w:rsidR="00AE646E">
        <w:t>.</w:t>
      </w:r>
      <w:r w:rsidR="0016163B">
        <w:t xml:space="preserve"> </w:t>
      </w:r>
      <w:r w:rsidR="004A4FB3">
        <w:t xml:space="preserve">The sample space of each dataset is plotted separately (columns). When </w:t>
      </w:r>
      <w:r w:rsidR="004A4FB3" w:rsidRPr="00342256">
        <w:t>т</w:t>
      </w:r>
      <w:r w:rsidR="00634FC7">
        <w:t xml:space="preserve"> =</w:t>
      </w:r>
      <w:r w:rsidR="004A4FB3" w:rsidRPr="00342256">
        <w:t xml:space="preserve"> 0, the </w:t>
      </w:r>
      <w:r w:rsidR="00095EC6" w:rsidRPr="00342256">
        <w:t xml:space="preserve">components </w:t>
      </w:r>
      <w:r w:rsidR="00634FC7">
        <w:t xml:space="preserve">of all datasets </w:t>
      </w:r>
      <w:r w:rsidR="00095EC6" w:rsidRPr="00342256">
        <w:t xml:space="preserve">are perfectly </w:t>
      </w:r>
      <w:r w:rsidR="00342256">
        <w:t>correlated</w:t>
      </w:r>
      <w:r w:rsidR="00095EC6" w:rsidRPr="00342256">
        <w:t xml:space="preserve">. When </w:t>
      </w:r>
      <w:r w:rsidR="00634FC7" w:rsidRPr="00342256">
        <w:t>т</w:t>
      </w:r>
      <w:r w:rsidR="00EE50D7" w:rsidRPr="00342256">
        <w:t xml:space="preserve"> = 1, the result is comparable with MCIA. </w:t>
      </w:r>
      <w:r w:rsidR="00634FC7">
        <w:t xml:space="preserve">In all cases, </w:t>
      </w:r>
      <w:r w:rsidR="00EE50D7">
        <w:t>complete design</w:t>
      </w:r>
      <w:r w:rsidR="00634FC7">
        <w:t xml:space="preserve"> and the SUMCOR method were used (</w:t>
      </w:r>
      <w:r w:rsidR="003B1B4D">
        <w:t xml:space="preserve">results </w:t>
      </w:r>
      <w:r w:rsidR="00634FC7">
        <w:t>were generated by R package “RGCCA”)</w:t>
      </w:r>
      <w:r w:rsidR="00EE50D7">
        <w:t>.</w:t>
      </w:r>
    </w:p>
    <w:p w14:paraId="05AAFE0E" w14:textId="77777777" w:rsidR="00C246ED" w:rsidRDefault="00C246ED">
      <w:r>
        <w:br w:type="page"/>
      </w:r>
    </w:p>
    <w:p w14:paraId="0BE11197" w14:textId="77777777" w:rsidR="00C246ED" w:rsidRDefault="00C246ED" w:rsidP="00C246ED"/>
    <w:p w14:paraId="546C91AA" w14:textId="77777777" w:rsidR="00C246ED" w:rsidRDefault="00C246ED" w:rsidP="00EE50D7">
      <w:pPr>
        <w:jc w:val="center"/>
      </w:pPr>
      <w:r>
        <w:rPr>
          <w:noProof/>
          <w:lang w:val="de-DE" w:eastAsia="de-DE"/>
        </w:rPr>
        <w:drawing>
          <wp:inline distT="0" distB="0" distL="0" distR="0" wp14:anchorId="25617677" wp14:editId="270A7E89">
            <wp:extent cx="3971619" cy="5054206"/>
            <wp:effectExtent l="0" t="0" r="0" b="0"/>
            <wp:docPr id="6" name="Picture 6" descr="C:\Users\chen\Desktop\Pictur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n\Desktop\Picture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988" cy="505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D0F5B" w14:textId="66F888C5" w:rsidR="00C246ED" w:rsidRDefault="00C246ED" w:rsidP="00C246ED">
      <w:r>
        <w:rPr>
          <w:b/>
        </w:rPr>
        <w:t xml:space="preserve">Figure </w:t>
      </w:r>
      <w:r w:rsidRPr="00C57096">
        <w:rPr>
          <w:b/>
        </w:rPr>
        <w:t>S9</w:t>
      </w:r>
      <w:r w:rsidRPr="00C57096">
        <w:t xml:space="preserve"> </w:t>
      </w:r>
      <w:r w:rsidR="00C066F1">
        <w:t>The scatterplots and c</w:t>
      </w:r>
      <w:r w:rsidR="004A4FB3">
        <w:t>orrelati</w:t>
      </w:r>
      <w:r w:rsidR="00A80F80">
        <w:t>on</w:t>
      </w:r>
      <w:r w:rsidR="00C066F1">
        <w:t xml:space="preserve"> coefficients</w:t>
      </w:r>
      <w:r w:rsidR="00A80F80">
        <w:t xml:space="preserve"> of</w:t>
      </w:r>
      <w:r w:rsidR="00EF5897">
        <w:t xml:space="preserve"> </w:t>
      </w:r>
      <w:r w:rsidR="002B7307">
        <w:t>RGCCA and MCIA</w:t>
      </w:r>
      <w:r w:rsidR="00EF5897">
        <w:t xml:space="preserve"> for first and second PC. </w:t>
      </w:r>
      <w:r w:rsidR="002B7307">
        <w:t>The</w:t>
      </w:r>
      <w:r w:rsidR="00A80F80">
        <w:t xml:space="preserve"> first </w:t>
      </w:r>
      <w:r w:rsidR="002B7307">
        <w:t xml:space="preserve">PC </w:t>
      </w:r>
      <w:r w:rsidR="008244A8">
        <w:t>(</w:t>
      </w:r>
      <w:r w:rsidR="002B7307">
        <w:t xml:space="preserve">PC1, </w:t>
      </w:r>
      <w:r w:rsidR="008244A8">
        <w:t xml:space="preserve">left column) </w:t>
      </w:r>
      <w:r w:rsidR="00A80F80">
        <w:t xml:space="preserve">and second </w:t>
      </w:r>
      <w:r w:rsidR="002B7307">
        <w:t xml:space="preserve">PC </w:t>
      </w:r>
      <w:r w:rsidR="008244A8">
        <w:t>(</w:t>
      </w:r>
      <w:r w:rsidR="002B7307">
        <w:t xml:space="preserve">PC2, </w:t>
      </w:r>
      <w:r w:rsidR="008244A8">
        <w:t xml:space="preserve">right column) across </w:t>
      </w:r>
      <w:r w:rsidR="00C94BF9">
        <w:t xml:space="preserve">five NCI-60 </w:t>
      </w:r>
      <w:r w:rsidR="008244A8">
        <w:t xml:space="preserve">datasets </w:t>
      </w:r>
      <w:r w:rsidR="002B7307">
        <w:t xml:space="preserve">were </w:t>
      </w:r>
      <w:r w:rsidR="008244A8">
        <w:t xml:space="preserve">generated by RGCCA with </w:t>
      </w:r>
      <w:r w:rsidR="008244A8" w:rsidRPr="008244A8">
        <w:t>т</w:t>
      </w:r>
      <w:r w:rsidR="008244A8">
        <w:t xml:space="preserve"> = 0 (top row)</w:t>
      </w:r>
      <w:proofErr w:type="gramStart"/>
      <w:r w:rsidR="00D47331">
        <w:t xml:space="preserve">;  </w:t>
      </w:r>
      <w:r w:rsidR="008244A8">
        <w:t>RGCCA</w:t>
      </w:r>
      <w:proofErr w:type="gramEnd"/>
      <w:r w:rsidR="008244A8">
        <w:t xml:space="preserve"> with </w:t>
      </w:r>
      <w:r w:rsidR="008244A8" w:rsidRPr="008244A8">
        <w:t>т</w:t>
      </w:r>
      <w:r w:rsidR="008244A8">
        <w:t xml:space="preserve"> = 1 (middle row)</w:t>
      </w:r>
      <w:r w:rsidR="00D47331">
        <w:t>;</w:t>
      </w:r>
      <w:r w:rsidR="008244A8">
        <w:t xml:space="preserve"> and MCIA (bottom row)</w:t>
      </w:r>
      <w:r w:rsidR="00C94BF9">
        <w:t xml:space="preserve">. When </w:t>
      </w:r>
      <w:r w:rsidR="00C94BF9" w:rsidRPr="008244A8">
        <w:t>т</w:t>
      </w:r>
      <w:r w:rsidR="00C94BF9">
        <w:t xml:space="preserve"> = 0, t</w:t>
      </w:r>
      <w:r w:rsidR="00A80F80" w:rsidRPr="008244A8">
        <w:t>he correlation</w:t>
      </w:r>
      <w:r w:rsidR="008244A8">
        <w:t>s coefficients are always</w:t>
      </w:r>
      <w:r w:rsidR="00A80F80" w:rsidRPr="008244A8">
        <w:t xml:space="preserve"> 1. If т = 1, the </w:t>
      </w:r>
      <w:r w:rsidR="00C94BF9">
        <w:t>axes are</w:t>
      </w:r>
      <w:r w:rsidR="008244A8">
        <w:t xml:space="preserve"> also well correlated but the </w:t>
      </w:r>
      <w:r w:rsidR="00A80F80" w:rsidRPr="008244A8">
        <w:t xml:space="preserve">correlation </w:t>
      </w:r>
      <w:r w:rsidR="008244A8">
        <w:t>coefficients are</w:t>
      </w:r>
      <w:r w:rsidR="00A80F80" w:rsidRPr="008244A8">
        <w:t xml:space="preserve"> less than 1.</w:t>
      </w:r>
      <w:r w:rsidR="008244A8">
        <w:t xml:space="preserve"> The correlations of MCIA axes are closer to the case of RGCCA with </w:t>
      </w:r>
      <w:r w:rsidR="008244A8" w:rsidRPr="008244A8">
        <w:t>т = 1</w:t>
      </w:r>
      <w:r w:rsidR="008244A8">
        <w:t>.</w:t>
      </w:r>
    </w:p>
    <w:p w14:paraId="49E305C7" w14:textId="77777777" w:rsidR="00C246ED" w:rsidRPr="00C96F6F" w:rsidRDefault="00C246ED" w:rsidP="00C246ED"/>
    <w:p w14:paraId="04024A55" w14:textId="13CB9F4D" w:rsidR="002E45E9" w:rsidRDefault="00E55B91" w:rsidP="00C246ED">
      <w:r>
        <w:br w:type="page"/>
      </w:r>
    </w:p>
    <w:p w14:paraId="29783926" w14:textId="77777777" w:rsidR="00B85DD5" w:rsidRDefault="00B85DD5" w:rsidP="00B85DD5">
      <w:pPr>
        <w:jc w:val="center"/>
      </w:pPr>
      <w:r>
        <w:rPr>
          <w:noProof/>
          <w:lang w:val="de-DE" w:eastAsia="de-DE"/>
        </w:rPr>
        <w:lastRenderedPageBreak/>
        <w:drawing>
          <wp:inline distT="0" distB="0" distL="0" distR="0" wp14:anchorId="08E4184A" wp14:editId="31849624">
            <wp:extent cx="3019425" cy="3019425"/>
            <wp:effectExtent l="0" t="0" r="9525" b="9525"/>
            <wp:docPr id="4" name="Picture 4" descr="Y:\users_files\Chen\Projects\MCIA\Plots\Ovar_Eig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users_files\Chen\Projects\MCIA\Plots\Ovar_Eig.tif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5394E" w14:textId="1366B826" w:rsidR="00B85DD5" w:rsidRDefault="00B85DD5" w:rsidP="00B85DD5">
      <w:r>
        <w:rPr>
          <w:b/>
        </w:rPr>
        <w:t>Figure S</w:t>
      </w:r>
      <w:r w:rsidR="00C246ED">
        <w:rPr>
          <w:b/>
        </w:rPr>
        <w:t>10</w:t>
      </w:r>
      <w:r>
        <w:t xml:space="preserve"> The </w:t>
      </w:r>
      <w:r w:rsidR="00BA4179">
        <w:t xml:space="preserve">figure represents </w:t>
      </w:r>
      <w:r>
        <w:t>pseudo-eigenvalue of the ovarian data, including two microarray and two RNA sequencing data. Each pseudo-eigenvalue is associate</w:t>
      </w:r>
      <w:r w:rsidR="005869BB">
        <w:t>d</w:t>
      </w:r>
      <w:r>
        <w:t xml:space="preserve"> with a principal component </w:t>
      </w:r>
      <w:r w:rsidR="007D7808">
        <w:t xml:space="preserve">representing </w:t>
      </w:r>
      <w:r>
        <w:t xml:space="preserve">the </w:t>
      </w:r>
      <w:r w:rsidR="007D7808">
        <w:t xml:space="preserve">explained </w:t>
      </w:r>
      <w:r>
        <w:t xml:space="preserve">variance </w:t>
      </w:r>
      <w:r w:rsidR="007D7808">
        <w:t xml:space="preserve">by each </w:t>
      </w:r>
      <w:r>
        <w:t>PC. The scree plot shows the pseudo-eigenvalues (left axis)</w:t>
      </w:r>
      <w:r w:rsidR="007D7808">
        <w:t xml:space="preserve">; </w:t>
      </w:r>
      <w:r w:rsidRPr="007D7808">
        <w:t xml:space="preserve">blue line indicates the percentage of variance of each PC. </w:t>
      </w:r>
      <w:r>
        <w:t>The first three PCs represent 19.3%, 10.63% and 8.5% of the total inertia.</w:t>
      </w:r>
      <w:r w:rsidDel="00966A03">
        <w:t xml:space="preserve"> </w:t>
      </w:r>
    </w:p>
    <w:p w14:paraId="36F9D54A" w14:textId="4680B2F4" w:rsidR="00B85DD5" w:rsidRDefault="00B85DD5">
      <w:r>
        <w:br w:type="page"/>
      </w:r>
    </w:p>
    <w:p w14:paraId="525E063E" w14:textId="77777777" w:rsidR="00B85DD5" w:rsidRDefault="00B85DD5" w:rsidP="002E45E9"/>
    <w:p w14:paraId="07DDC4DA" w14:textId="5FA22068" w:rsidR="006F3FB3" w:rsidRDefault="00EF62B1" w:rsidP="00F668FD">
      <w:pPr>
        <w:jc w:val="center"/>
      </w:pPr>
      <w:r w:rsidRPr="006F3FB3">
        <w:rPr>
          <w:noProof/>
          <w:lang w:val="de-DE" w:eastAsia="de-DE"/>
        </w:rPr>
        <w:drawing>
          <wp:inline distT="0" distB="0" distL="0" distR="0" wp14:anchorId="69C20F8B" wp14:editId="71446882">
            <wp:extent cx="3933825" cy="1940560"/>
            <wp:effectExtent l="0" t="0" r="9525" b="2540"/>
            <wp:docPr id="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13" t="49106"/>
                    <a:stretch/>
                  </pic:blipFill>
                  <pic:spPr bwMode="auto">
                    <a:xfrm>
                      <a:off x="0" y="0"/>
                      <a:ext cx="3933825" cy="194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3FB3" w:rsidRPr="006F3FB3">
        <w:rPr>
          <w:noProof/>
          <w:lang w:val="de-DE" w:eastAsia="de-DE"/>
        </w:rPr>
        <w:drawing>
          <wp:inline distT="0" distB="0" distL="0" distR="0" wp14:anchorId="646D87E0" wp14:editId="30CB3137">
            <wp:extent cx="952500" cy="1940560"/>
            <wp:effectExtent l="0" t="0" r="0" b="2540"/>
            <wp:docPr id="1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5" t="49106" r="74199"/>
                    <a:stretch/>
                  </pic:blipFill>
                  <pic:spPr bwMode="auto">
                    <a:xfrm>
                      <a:off x="0" y="0"/>
                      <a:ext cx="952500" cy="194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8EDFCA" w14:textId="66B33BC8" w:rsidR="00E55984" w:rsidRPr="00F34E0D" w:rsidRDefault="00B85DD5">
      <w:pPr>
        <w:rPr>
          <w:rFonts w:ascii="Arial" w:hAnsi="Arial"/>
          <w:sz w:val="20"/>
          <w:szCs w:val="20"/>
        </w:rPr>
      </w:pPr>
      <w:r>
        <w:rPr>
          <w:b/>
        </w:rPr>
        <w:t>Figure S</w:t>
      </w:r>
      <w:r w:rsidR="00C246ED">
        <w:rPr>
          <w:b/>
        </w:rPr>
        <w:t>11</w:t>
      </w:r>
      <w:r w:rsidR="006F3FB3">
        <w:t xml:space="preserve"> </w:t>
      </w:r>
      <w:r w:rsidR="007D7808">
        <w:t>The figure s</w:t>
      </w:r>
      <w:r w:rsidR="008168BB">
        <w:t>how</w:t>
      </w:r>
      <w:r w:rsidR="005869BB">
        <w:t xml:space="preserve">s that </w:t>
      </w:r>
      <w:r w:rsidR="008168BB">
        <w:t xml:space="preserve">filtering out missing values in the RNA sequencing data increases the co-structure between microarray and RNA sequencing data. </w:t>
      </w:r>
      <w:r w:rsidR="00AE1414">
        <w:t>In the RNA sequencing data, g</w:t>
      </w:r>
      <w:r w:rsidR="00AE1414" w:rsidRPr="007D7808">
        <w:t xml:space="preserve">enes </w:t>
      </w:r>
      <w:r w:rsidR="0082093B" w:rsidRPr="007D7808">
        <w:t xml:space="preserve">with the amount of missing data over the range of 0-90% </w:t>
      </w:r>
      <w:r w:rsidR="00AE1414" w:rsidRPr="007D7808">
        <w:t>are excluded. The eigenvalue associated with PC1</w:t>
      </w:r>
      <w:r w:rsidR="0082093B" w:rsidRPr="007D7808">
        <w:t xml:space="preserve"> (left) and </w:t>
      </w:r>
      <w:r w:rsidR="00AE1414" w:rsidRPr="007D7808">
        <w:t>PC2</w:t>
      </w:r>
      <w:r w:rsidR="0082093B" w:rsidRPr="007D7808">
        <w:t xml:space="preserve"> (right</w:t>
      </w:r>
      <w:r w:rsidR="00AE1414" w:rsidRPr="007D7808">
        <w:t xml:space="preserve">) are compared. </w:t>
      </w:r>
      <w:r w:rsidR="0082093B" w:rsidRPr="007D7808">
        <w:t xml:space="preserve">Plot shows that </w:t>
      </w:r>
      <w:r w:rsidR="00AE1414" w:rsidRPr="007D7808">
        <w:t xml:space="preserve">when filtering out genes with more than 27 </w:t>
      </w:r>
      <w:r w:rsidR="0082093B" w:rsidRPr="007D7808">
        <w:t xml:space="preserve">missing values </w:t>
      </w:r>
      <w:r w:rsidR="00AE1414" w:rsidRPr="007D7808">
        <w:t xml:space="preserve">(10%), the eigenvalues </w:t>
      </w:r>
      <w:r w:rsidR="005869BB" w:rsidRPr="007D7808">
        <w:t>of</w:t>
      </w:r>
      <w:r w:rsidR="00AE1414" w:rsidRPr="007D7808">
        <w:t xml:space="preserve"> the four platforms </w:t>
      </w:r>
      <w:r w:rsidR="005869BB" w:rsidRPr="007D7808">
        <w:t xml:space="preserve">become more </w:t>
      </w:r>
      <w:r w:rsidR="0005553B" w:rsidRPr="007D7808">
        <w:t>similar</w:t>
      </w:r>
      <w:r w:rsidR="00AE1414" w:rsidRPr="007D7808">
        <w:t>.</w:t>
      </w:r>
      <w:r w:rsidR="00AE1414" w:rsidRPr="00AE1414">
        <w:rPr>
          <w:rFonts w:ascii="Arial" w:hAnsi="Arial"/>
          <w:sz w:val="20"/>
          <w:szCs w:val="20"/>
        </w:rPr>
        <w:t xml:space="preserve"> </w:t>
      </w:r>
      <w:r w:rsidR="00E55B91">
        <w:rPr>
          <w:rFonts w:ascii="Arial" w:hAnsi="Arial"/>
          <w:sz w:val="20"/>
          <w:szCs w:val="20"/>
        </w:rPr>
        <w:br w:type="page"/>
      </w:r>
    </w:p>
    <w:p w14:paraId="74A7E509" w14:textId="3AD0AA98" w:rsidR="00884FA4" w:rsidRDefault="00B05712" w:rsidP="00C96F6F">
      <w:pPr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  <w:lang w:val="de-DE" w:eastAsia="de-DE"/>
        </w:rPr>
        <w:lastRenderedPageBreak/>
        <w:drawing>
          <wp:inline distT="0" distB="0" distL="0" distR="0" wp14:anchorId="68E29F85" wp14:editId="64C02823">
            <wp:extent cx="5219700" cy="4314825"/>
            <wp:effectExtent l="0" t="0" r="0" b="9525"/>
            <wp:docPr id="8" name="Picture 8" descr="Y:\users_files\Chen\Projects\MCIA\ovar_4_sep_data_pseudoeig_1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users_files\Chen\Projects\MCIA\ovar_4_sep_data_pseudoeig_1_1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BEC0D" w14:textId="0509476B" w:rsidR="00BD572E" w:rsidRDefault="00BD572E" w:rsidP="00BD572E">
      <w:r>
        <w:rPr>
          <w:b/>
        </w:rPr>
        <w:t xml:space="preserve">Figure </w:t>
      </w:r>
      <w:r w:rsidRPr="00C57096">
        <w:rPr>
          <w:b/>
        </w:rPr>
        <w:t>S</w:t>
      </w:r>
      <w:r w:rsidR="00C246ED">
        <w:rPr>
          <w:b/>
        </w:rPr>
        <w:t>12</w:t>
      </w:r>
      <w:r w:rsidRPr="00C57096">
        <w:t xml:space="preserve"> </w:t>
      </w:r>
      <w:proofErr w:type="spellStart"/>
      <w:r w:rsidR="00BA4179" w:rsidRPr="00C57096">
        <w:t>Barplot</w:t>
      </w:r>
      <w:proofErr w:type="spellEnd"/>
      <w:r w:rsidR="00BA4179" w:rsidRPr="00C57096">
        <w:t xml:space="preserve"> representing </w:t>
      </w:r>
      <w:r w:rsidR="009333B1" w:rsidRPr="00C57096">
        <w:t xml:space="preserve">the </w:t>
      </w:r>
      <w:r w:rsidR="0094748D" w:rsidRPr="00C57096">
        <w:t>first 10</w:t>
      </w:r>
      <w:r w:rsidRPr="00C57096">
        <w:t xml:space="preserve"> pseudo-eigenvalue</w:t>
      </w:r>
      <w:r w:rsidR="0094748D" w:rsidRPr="00C57096">
        <w:t>s</w:t>
      </w:r>
      <w:r w:rsidRPr="00C57096">
        <w:t xml:space="preserve"> of </w:t>
      </w:r>
      <w:r w:rsidR="007D7808">
        <w:t xml:space="preserve">ovarian </w:t>
      </w:r>
      <w:r w:rsidR="00AC0982">
        <w:t xml:space="preserve">transcriptome </w:t>
      </w:r>
      <w:r w:rsidR="009333B1" w:rsidRPr="00C57096">
        <w:t>on the MCIA space</w:t>
      </w:r>
      <w:r w:rsidRPr="00C57096">
        <w:t>.</w:t>
      </w:r>
      <w:r>
        <w:t xml:space="preserve"> </w:t>
      </w:r>
      <w:r w:rsidR="00C96F6F">
        <w:t xml:space="preserve">The plot shows that </w:t>
      </w:r>
      <w:proofErr w:type="spellStart"/>
      <w:r w:rsidR="00C96F6F" w:rsidRPr="00C96F6F">
        <w:t>RNASeq</w:t>
      </w:r>
      <w:proofErr w:type="spellEnd"/>
      <w:r w:rsidR="00C96F6F" w:rsidRPr="00C96F6F">
        <w:t xml:space="preserve"> was slightly more </w:t>
      </w:r>
      <w:r w:rsidR="00AC0982">
        <w:t xml:space="preserve">informative </w:t>
      </w:r>
      <w:r w:rsidR="00C96F6F" w:rsidRPr="00C96F6F">
        <w:t>than RNASeqV2 on PC1-5</w:t>
      </w:r>
      <w:r w:rsidR="00B05712">
        <w:t xml:space="preserve"> </w:t>
      </w:r>
      <w:r w:rsidR="00AC0982">
        <w:t xml:space="preserve">whereas </w:t>
      </w:r>
      <w:proofErr w:type="spellStart"/>
      <w:r w:rsidR="009D16D7">
        <w:t>Affymetrix</w:t>
      </w:r>
      <w:proofErr w:type="spellEnd"/>
      <w:r w:rsidR="009D16D7">
        <w:t xml:space="preserve"> </w:t>
      </w:r>
      <w:r w:rsidR="00AC0982">
        <w:t xml:space="preserve">gene expression </w:t>
      </w:r>
      <w:r w:rsidR="009D16D7">
        <w:t>profile</w:t>
      </w:r>
      <w:r w:rsidR="00B05712" w:rsidRPr="00B05712">
        <w:t xml:space="preserve"> </w:t>
      </w:r>
      <w:r w:rsidR="00AC0982">
        <w:t xml:space="preserve">represented </w:t>
      </w:r>
      <w:r w:rsidR="00B05712" w:rsidRPr="00B05712">
        <w:t xml:space="preserve">more variant on </w:t>
      </w:r>
      <w:r w:rsidR="00AC0982">
        <w:t>the first three PCs.</w:t>
      </w:r>
    </w:p>
    <w:p w14:paraId="7BC72F31" w14:textId="7E4E3690" w:rsidR="00A4148A" w:rsidRDefault="00A4148A"/>
    <w:sectPr w:rsidR="00A4148A" w:rsidSect="006718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C4B"/>
    <w:rsid w:val="00022EBA"/>
    <w:rsid w:val="00024E43"/>
    <w:rsid w:val="000451B9"/>
    <w:rsid w:val="0005553B"/>
    <w:rsid w:val="00056D7A"/>
    <w:rsid w:val="00064EF9"/>
    <w:rsid w:val="00084168"/>
    <w:rsid w:val="000859B1"/>
    <w:rsid w:val="00095EC6"/>
    <w:rsid w:val="000969D1"/>
    <w:rsid w:val="000C1102"/>
    <w:rsid w:val="000D303C"/>
    <w:rsid w:val="000E26EB"/>
    <w:rsid w:val="000F15CD"/>
    <w:rsid w:val="00115AEA"/>
    <w:rsid w:val="00130AEE"/>
    <w:rsid w:val="00130E3C"/>
    <w:rsid w:val="00146DA4"/>
    <w:rsid w:val="0015201A"/>
    <w:rsid w:val="0016163B"/>
    <w:rsid w:val="00164CED"/>
    <w:rsid w:val="0019285F"/>
    <w:rsid w:val="001A036E"/>
    <w:rsid w:val="001A19EE"/>
    <w:rsid w:val="001A3371"/>
    <w:rsid w:val="001B07E4"/>
    <w:rsid w:val="001B71EE"/>
    <w:rsid w:val="001C2208"/>
    <w:rsid w:val="002160BE"/>
    <w:rsid w:val="002165F0"/>
    <w:rsid w:val="00230924"/>
    <w:rsid w:val="00240482"/>
    <w:rsid w:val="00242811"/>
    <w:rsid w:val="00266554"/>
    <w:rsid w:val="002677AC"/>
    <w:rsid w:val="00272076"/>
    <w:rsid w:val="002775BB"/>
    <w:rsid w:val="002818E2"/>
    <w:rsid w:val="002B7307"/>
    <w:rsid w:val="002D1793"/>
    <w:rsid w:val="002E0D4B"/>
    <w:rsid w:val="002E45E9"/>
    <w:rsid w:val="002F2ABE"/>
    <w:rsid w:val="002F5436"/>
    <w:rsid w:val="0030342E"/>
    <w:rsid w:val="003345F9"/>
    <w:rsid w:val="00342256"/>
    <w:rsid w:val="003508C7"/>
    <w:rsid w:val="003705FE"/>
    <w:rsid w:val="003A15ED"/>
    <w:rsid w:val="003B1B4D"/>
    <w:rsid w:val="003D569E"/>
    <w:rsid w:val="003E1D98"/>
    <w:rsid w:val="003F3035"/>
    <w:rsid w:val="003F44D7"/>
    <w:rsid w:val="003F452B"/>
    <w:rsid w:val="003F7536"/>
    <w:rsid w:val="0040207E"/>
    <w:rsid w:val="0044719A"/>
    <w:rsid w:val="00462863"/>
    <w:rsid w:val="004657CC"/>
    <w:rsid w:val="00492F02"/>
    <w:rsid w:val="004A4FB3"/>
    <w:rsid w:val="004F48E5"/>
    <w:rsid w:val="00506610"/>
    <w:rsid w:val="005270D5"/>
    <w:rsid w:val="00551942"/>
    <w:rsid w:val="00553C65"/>
    <w:rsid w:val="005853C3"/>
    <w:rsid w:val="005869BB"/>
    <w:rsid w:val="005A0ABF"/>
    <w:rsid w:val="005B24A5"/>
    <w:rsid w:val="005C1C29"/>
    <w:rsid w:val="005C1C71"/>
    <w:rsid w:val="005D0F84"/>
    <w:rsid w:val="005E28AB"/>
    <w:rsid w:val="005F0784"/>
    <w:rsid w:val="006116A1"/>
    <w:rsid w:val="00634FC7"/>
    <w:rsid w:val="006531FE"/>
    <w:rsid w:val="0067163E"/>
    <w:rsid w:val="006718D2"/>
    <w:rsid w:val="00693417"/>
    <w:rsid w:val="00696789"/>
    <w:rsid w:val="00696962"/>
    <w:rsid w:val="00697062"/>
    <w:rsid w:val="006A1619"/>
    <w:rsid w:val="006A6600"/>
    <w:rsid w:val="006B15A9"/>
    <w:rsid w:val="006E2C60"/>
    <w:rsid w:val="006F3FB3"/>
    <w:rsid w:val="00732CF0"/>
    <w:rsid w:val="00750413"/>
    <w:rsid w:val="00755392"/>
    <w:rsid w:val="0079224B"/>
    <w:rsid w:val="007A64FA"/>
    <w:rsid w:val="007B12CE"/>
    <w:rsid w:val="007B1859"/>
    <w:rsid w:val="007B425F"/>
    <w:rsid w:val="007D55A7"/>
    <w:rsid w:val="007D7808"/>
    <w:rsid w:val="008168BB"/>
    <w:rsid w:val="0082093B"/>
    <w:rsid w:val="008244A8"/>
    <w:rsid w:val="00844563"/>
    <w:rsid w:val="00846CEC"/>
    <w:rsid w:val="008659E1"/>
    <w:rsid w:val="0087152C"/>
    <w:rsid w:val="0087487E"/>
    <w:rsid w:val="00884FA4"/>
    <w:rsid w:val="00890EEC"/>
    <w:rsid w:val="0089118C"/>
    <w:rsid w:val="008976B6"/>
    <w:rsid w:val="008A0581"/>
    <w:rsid w:val="008A40C6"/>
    <w:rsid w:val="008D4B29"/>
    <w:rsid w:val="008E2DBB"/>
    <w:rsid w:val="008F7796"/>
    <w:rsid w:val="009333B1"/>
    <w:rsid w:val="009335A3"/>
    <w:rsid w:val="00933837"/>
    <w:rsid w:val="00946C68"/>
    <w:rsid w:val="0094748D"/>
    <w:rsid w:val="00966A03"/>
    <w:rsid w:val="0097025E"/>
    <w:rsid w:val="00975BAE"/>
    <w:rsid w:val="00976D20"/>
    <w:rsid w:val="00990AF6"/>
    <w:rsid w:val="009B315A"/>
    <w:rsid w:val="009C0FC3"/>
    <w:rsid w:val="009C4507"/>
    <w:rsid w:val="009D16D7"/>
    <w:rsid w:val="009D4482"/>
    <w:rsid w:val="009F1B93"/>
    <w:rsid w:val="00A4148A"/>
    <w:rsid w:val="00A42CB1"/>
    <w:rsid w:val="00A72F95"/>
    <w:rsid w:val="00A80F80"/>
    <w:rsid w:val="00AA2190"/>
    <w:rsid w:val="00AC0982"/>
    <w:rsid w:val="00AE1414"/>
    <w:rsid w:val="00AE45BC"/>
    <w:rsid w:val="00AE646E"/>
    <w:rsid w:val="00AF5A3C"/>
    <w:rsid w:val="00B05712"/>
    <w:rsid w:val="00B16E09"/>
    <w:rsid w:val="00B31EDF"/>
    <w:rsid w:val="00B34F71"/>
    <w:rsid w:val="00B53358"/>
    <w:rsid w:val="00B536D5"/>
    <w:rsid w:val="00B85DD5"/>
    <w:rsid w:val="00BA3E4D"/>
    <w:rsid w:val="00BA4179"/>
    <w:rsid w:val="00BA6E5C"/>
    <w:rsid w:val="00BB02B7"/>
    <w:rsid w:val="00BD572E"/>
    <w:rsid w:val="00BF0466"/>
    <w:rsid w:val="00C0214E"/>
    <w:rsid w:val="00C066F1"/>
    <w:rsid w:val="00C246ED"/>
    <w:rsid w:val="00C47C4B"/>
    <w:rsid w:val="00C57096"/>
    <w:rsid w:val="00C7454A"/>
    <w:rsid w:val="00C804B2"/>
    <w:rsid w:val="00C94A85"/>
    <w:rsid w:val="00C94BF9"/>
    <w:rsid w:val="00C96352"/>
    <w:rsid w:val="00C96F6F"/>
    <w:rsid w:val="00CA532A"/>
    <w:rsid w:val="00CD5835"/>
    <w:rsid w:val="00CE31BC"/>
    <w:rsid w:val="00CF0568"/>
    <w:rsid w:val="00CF4B29"/>
    <w:rsid w:val="00D03E99"/>
    <w:rsid w:val="00D12D57"/>
    <w:rsid w:val="00D15D0B"/>
    <w:rsid w:val="00D173C6"/>
    <w:rsid w:val="00D33349"/>
    <w:rsid w:val="00D33990"/>
    <w:rsid w:val="00D3491A"/>
    <w:rsid w:val="00D45676"/>
    <w:rsid w:val="00D47331"/>
    <w:rsid w:val="00D500D3"/>
    <w:rsid w:val="00D730EA"/>
    <w:rsid w:val="00D90AA3"/>
    <w:rsid w:val="00D91658"/>
    <w:rsid w:val="00DA1796"/>
    <w:rsid w:val="00DA5351"/>
    <w:rsid w:val="00DD64A3"/>
    <w:rsid w:val="00DD70E7"/>
    <w:rsid w:val="00E15B5D"/>
    <w:rsid w:val="00E326F1"/>
    <w:rsid w:val="00E41C96"/>
    <w:rsid w:val="00E551B9"/>
    <w:rsid w:val="00E55338"/>
    <w:rsid w:val="00E55984"/>
    <w:rsid w:val="00E55B91"/>
    <w:rsid w:val="00E61C55"/>
    <w:rsid w:val="00E93462"/>
    <w:rsid w:val="00EA7499"/>
    <w:rsid w:val="00EB21BC"/>
    <w:rsid w:val="00ED3817"/>
    <w:rsid w:val="00EE17F6"/>
    <w:rsid w:val="00EE50D7"/>
    <w:rsid w:val="00EE7F4B"/>
    <w:rsid w:val="00EF5897"/>
    <w:rsid w:val="00EF62B1"/>
    <w:rsid w:val="00F34E0D"/>
    <w:rsid w:val="00F575E6"/>
    <w:rsid w:val="00F629FD"/>
    <w:rsid w:val="00F668FD"/>
    <w:rsid w:val="00F802C1"/>
    <w:rsid w:val="00F817F0"/>
    <w:rsid w:val="00F847A2"/>
    <w:rsid w:val="00FA3592"/>
    <w:rsid w:val="00FB3AAE"/>
    <w:rsid w:val="00FF0A9D"/>
    <w:rsid w:val="00FF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042C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8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C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94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E4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33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3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33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349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E28A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E28AB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451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451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8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C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94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E4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33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3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33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349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E28A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E28AB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451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451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tiff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amin@tum.de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tif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D1F65-4298-425F-82C6-9265D832C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710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TUM</Company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Gholami, Amin (external)</cp:lastModifiedBy>
  <cp:revision>8</cp:revision>
  <cp:lastPrinted>2014-04-19T04:28:00Z</cp:lastPrinted>
  <dcterms:created xsi:type="dcterms:W3CDTF">2014-04-06T10:31:00Z</dcterms:created>
  <dcterms:modified xsi:type="dcterms:W3CDTF">2014-04-19T04:28:00Z</dcterms:modified>
</cp:coreProperties>
</file>