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EC5" w:rsidRDefault="006C1EC5" w:rsidP="006C1EC5">
      <w:pPr>
        <w:tabs>
          <w:tab w:val="left" w:pos="90"/>
        </w:tabs>
        <w:spacing w:line="480" w:lineRule="auto"/>
        <w:rPr>
          <w:rFonts w:ascii="Arial" w:hAnsi="Arial" w:cs="Arial"/>
        </w:rPr>
      </w:pPr>
      <w:r w:rsidRPr="005F75D8">
        <w:rPr>
          <w:rFonts w:ascii="Arial" w:hAnsi="Arial" w:cs="Arial"/>
        </w:rPr>
        <w:t xml:space="preserve">Table </w:t>
      </w:r>
      <w:r>
        <w:rPr>
          <w:rFonts w:ascii="Arial" w:hAnsi="Arial" w:cs="Arial"/>
        </w:rPr>
        <w:t>S2</w:t>
      </w:r>
      <w:r w:rsidRPr="005F75D8">
        <w:rPr>
          <w:rFonts w:ascii="Arial" w:hAnsi="Arial" w:cs="Arial"/>
        </w:rPr>
        <w:t>. Results (</w:t>
      </w:r>
      <w:r>
        <w:rPr>
          <w:rFonts w:ascii="Arial" w:hAnsi="Arial" w:cs="Arial"/>
        </w:rPr>
        <w:t>p</w:t>
      </w:r>
      <w:r w:rsidRPr="005F75D8">
        <w:rPr>
          <w:rFonts w:ascii="Arial" w:hAnsi="Arial" w:cs="Arial"/>
        </w:rPr>
        <w:t xml:space="preserve">-values) of </w:t>
      </w:r>
      <w:r>
        <w:rPr>
          <w:rFonts w:ascii="Arial" w:hAnsi="Arial" w:cs="Arial"/>
        </w:rPr>
        <w:t xml:space="preserve">nonparametric </w:t>
      </w:r>
      <w:r w:rsidRPr="005F75D8">
        <w:rPr>
          <w:rFonts w:ascii="Arial" w:hAnsi="Arial" w:cs="Arial"/>
        </w:rPr>
        <w:t xml:space="preserve">null hypothesis tests for form differences between </w:t>
      </w:r>
      <w:r w:rsidRPr="005F75D8">
        <w:rPr>
          <w:rFonts w:ascii="Arial" w:hAnsi="Arial" w:cs="Arial"/>
          <w:i/>
        </w:rPr>
        <w:t>Fgfr2</w:t>
      </w:r>
      <w:r w:rsidRPr="005F75D8">
        <w:rPr>
          <w:rFonts w:ascii="Arial" w:hAnsi="Arial" w:cs="Arial"/>
          <w:i/>
          <w:vertAlign w:val="superscript"/>
        </w:rPr>
        <w:t>+/S252W</w:t>
      </w:r>
      <w:r w:rsidRPr="005F75D8">
        <w:rPr>
          <w:rFonts w:ascii="Arial" w:hAnsi="Arial" w:cs="Arial"/>
          <w:i/>
        </w:rPr>
        <w:t xml:space="preserve"> and Fgfr2</w:t>
      </w:r>
      <w:r w:rsidRPr="005F75D8">
        <w:rPr>
          <w:rFonts w:ascii="Arial" w:hAnsi="Arial" w:cs="Arial"/>
          <w:i/>
          <w:vertAlign w:val="superscript"/>
        </w:rPr>
        <w:t>+/P253R</w:t>
      </w:r>
      <w:r w:rsidRPr="005F75D8">
        <w:rPr>
          <w:rFonts w:ascii="Arial" w:hAnsi="Arial" w:cs="Arial"/>
        </w:rPr>
        <w:t xml:space="preserve"> mutant mice and </w:t>
      </w:r>
      <w:r>
        <w:rPr>
          <w:rFonts w:ascii="Arial" w:hAnsi="Arial" w:cs="Arial"/>
        </w:rPr>
        <w:t xml:space="preserve">their respective </w:t>
      </w:r>
      <w:r w:rsidRPr="005F75D8">
        <w:rPr>
          <w:rFonts w:ascii="Arial" w:hAnsi="Arial" w:cs="Arial"/>
        </w:rPr>
        <w:t xml:space="preserve">unaffected </w:t>
      </w:r>
      <w:r>
        <w:rPr>
          <w:rFonts w:ascii="Arial" w:hAnsi="Arial" w:cs="Arial"/>
        </w:rPr>
        <w:t xml:space="preserve">littermates </w:t>
      </w:r>
      <w:r w:rsidRPr="005F75D8">
        <w:rPr>
          <w:rFonts w:ascii="Arial" w:hAnsi="Arial" w:cs="Arial"/>
        </w:rPr>
        <w:t>at E17.5</w:t>
      </w:r>
      <w:r>
        <w:rPr>
          <w:rFonts w:ascii="Arial" w:hAnsi="Arial" w:cs="Arial"/>
        </w:rPr>
        <w:t xml:space="preserve"> and P0</w:t>
      </w:r>
      <w:r w:rsidRPr="005F75D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 p-value of 0.05 or less was considered statistically significant enabling rejection of the null hypothesis of similarity in shape.</w:t>
      </w:r>
      <w:r w:rsidRPr="005F75D8">
        <w:rPr>
          <w:rFonts w:ascii="Arial" w:hAnsi="Arial" w:cs="Arial"/>
        </w:rPr>
        <w:t xml:space="preserve"> Landmark subsets for anatomical regions are defined in Table </w:t>
      </w:r>
      <w:r>
        <w:rPr>
          <w:rFonts w:ascii="Arial" w:hAnsi="Arial" w:cs="Arial"/>
        </w:rPr>
        <w:t>S1</w:t>
      </w:r>
      <w:r w:rsidRPr="005F75D8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816"/>
        <w:gridCol w:w="1532"/>
        <w:gridCol w:w="1350"/>
        <w:gridCol w:w="1620"/>
        <w:gridCol w:w="1440"/>
      </w:tblGrid>
      <w:tr w:rsidR="006C1EC5" w:rsidRPr="005D06ED" w:rsidTr="00EF4F3A">
        <w:tc>
          <w:tcPr>
            <w:tcW w:w="1816" w:type="dxa"/>
          </w:tcPr>
          <w:p w:rsidR="006C1EC5" w:rsidRPr="005D06ED" w:rsidRDefault="006C1EC5" w:rsidP="00EF4F3A">
            <w:pPr>
              <w:spacing w:after="0" w:line="480" w:lineRule="auto"/>
              <w:rPr>
                <w:rFonts w:ascii="Arial" w:hAnsi="Arial" w:cs="Arial"/>
              </w:rPr>
            </w:pPr>
          </w:p>
        </w:tc>
        <w:tc>
          <w:tcPr>
            <w:tcW w:w="2882" w:type="dxa"/>
            <w:gridSpan w:val="2"/>
          </w:tcPr>
          <w:p w:rsidR="006C1EC5" w:rsidRPr="005D06ED" w:rsidRDefault="006C1EC5" w:rsidP="00EF4F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06ED">
              <w:rPr>
                <w:rFonts w:ascii="Arial" w:hAnsi="Arial" w:cs="Arial"/>
                <w:b/>
                <w:i/>
              </w:rPr>
              <w:t>Fgfr2</w:t>
            </w:r>
            <w:r w:rsidRPr="005D06ED">
              <w:rPr>
                <w:rFonts w:ascii="Arial" w:hAnsi="Arial" w:cs="Arial"/>
                <w:b/>
                <w:i/>
                <w:vertAlign w:val="superscript"/>
              </w:rPr>
              <w:t>+/S252W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060" w:type="dxa"/>
            <w:gridSpan w:val="2"/>
          </w:tcPr>
          <w:p w:rsidR="006C1EC5" w:rsidRPr="005D06ED" w:rsidRDefault="006C1EC5" w:rsidP="00EF4F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D06ED">
              <w:rPr>
                <w:rFonts w:ascii="Arial" w:hAnsi="Arial" w:cs="Arial"/>
                <w:b/>
                <w:i/>
              </w:rPr>
              <w:t>Fgfr2</w:t>
            </w:r>
            <w:r w:rsidRPr="005D06ED">
              <w:rPr>
                <w:rFonts w:ascii="Arial" w:hAnsi="Arial" w:cs="Arial"/>
                <w:b/>
                <w:i/>
                <w:vertAlign w:val="superscript"/>
              </w:rPr>
              <w:t xml:space="preserve">+/P253R </w:t>
            </w:r>
          </w:p>
        </w:tc>
      </w:tr>
      <w:tr w:rsidR="006C1EC5" w:rsidRPr="005D06ED" w:rsidTr="00EF4F3A">
        <w:tc>
          <w:tcPr>
            <w:tcW w:w="1816" w:type="dxa"/>
          </w:tcPr>
          <w:p w:rsidR="006C1EC5" w:rsidRPr="005D06ED" w:rsidRDefault="006C1EC5" w:rsidP="00EF4F3A">
            <w:pPr>
              <w:spacing w:after="0"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Landmark subset</w:t>
            </w:r>
          </w:p>
        </w:tc>
        <w:tc>
          <w:tcPr>
            <w:tcW w:w="1532" w:type="dxa"/>
            <w:vAlign w:val="center"/>
          </w:tcPr>
          <w:p w:rsidR="006C1EC5" w:rsidRPr="008B7378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  <w:b/>
              </w:rPr>
            </w:pPr>
            <w:r w:rsidRPr="008B7378">
              <w:rPr>
                <w:rFonts w:ascii="Arial" w:hAnsi="Arial" w:cs="Arial"/>
                <w:b/>
              </w:rPr>
              <w:t>E17.5</w:t>
            </w:r>
          </w:p>
        </w:tc>
        <w:tc>
          <w:tcPr>
            <w:tcW w:w="1350" w:type="dxa"/>
            <w:vAlign w:val="center"/>
          </w:tcPr>
          <w:p w:rsidR="006C1EC5" w:rsidRPr="008B7378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  <w:b/>
              </w:rPr>
            </w:pPr>
            <w:r w:rsidRPr="008B7378">
              <w:rPr>
                <w:rFonts w:ascii="Arial" w:hAnsi="Arial" w:cs="Arial"/>
                <w:b/>
              </w:rPr>
              <w:t>P0</w:t>
            </w:r>
          </w:p>
        </w:tc>
        <w:tc>
          <w:tcPr>
            <w:tcW w:w="1620" w:type="dxa"/>
            <w:vAlign w:val="center"/>
          </w:tcPr>
          <w:p w:rsidR="006C1EC5" w:rsidRPr="008B7378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  <w:b/>
              </w:rPr>
            </w:pPr>
            <w:r w:rsidRPr="008B7378">
              <w:rPr>
                <w:rFonts w:ascii="Arial" w:hAnsi="Arial" w:cs="Arial"/>
                <w:b/>
              </w:rPr>
              <w:t>E17.5</w:t>
            </w:r>
          </w:p>
        </w:tc>
        <w:tc>
          <w:tcPr>
            <w:tcW w:w="1440" w:type="dxa"/>
            <w:vAlign w:val="center"/>
          </w:tcPr>
          <w:p w:rsidR="006C1EC5" w:rsidRPr="008B7378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  <w:b/>
              </w:rPr>
            </w:pPr>
            <w:r w:rsidRPr="008B7378">
              <w:rPr>
                <w:rFonts w:ascii="Arial" w:hAnsi="Arial" w:cs="Arial"/>
                <w:b/>
              </w:rPr>
              <w:t>P0</w:t>
            </w:r>
          </w:p>
        </w:tc>
      </w:tr>
      <w:tr w:rsidR="006C1EC5" w:rsidRPr="005D06ED" w:rsidTr="00EF4F3A">
        <w:tc>
          <w:tcPr>
            <w:tcW w:w="1816" w:type="dxa"/>
          </w:tcPr>
          <w:p w:rsidR="006C1EC5" w:rsidRPr="005D06ED" w:rsidRDefault="006C1EC5" w:rsidP="00EF4F3A">
            <w:pPr>
              <w:spacing w:after="0"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Global skull</w:t>
            </w:r>
          </w:p>
        </w:tc>
        <w:tc>
          <w:tcPr>
            <w:tcW w:w="1532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17</w:t>
            </w:r>
          </w:p>
        </w:tc>
        <w:tc>
          <w:tcPr>
            <w:tcW w:w="1350" w:type="dxa"/>
          </w:tcPr>
          <w:p w:rsidR="006C1EC5" w:rsidRPr="00012A51" w:rsidRDefault="006C1EC5" w:rsidP="00EF4F3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12A51">
              <w:rPr>
                <w:rFonts w:ascii="Arial" w:hAnsi="Arial" w:cs="Arial"/>
              </w:rPr>
              <w:t>0.001</w:t>
            </w:r>
          </w:p>
        </w:tc>
        <w:tc>
          <w:tcPr>
            <w:tcW w:w="1620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440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0.001</w:t>
            </w:r>
          </w:p>
        </w:tc>
      </w:tr>
      <w:tr w:rsidR="006C1EC5" w:rsidRPr="005D06ED" w:rsidTr="00EF4F3A">
        <w:tc>
          <w:tcPr>
            <w:tcW w:w="1816" w:type="dxa"/>
          </w:tcPr>
          <w:p w:rsidR="006C1EC5" w:rsidRPr="005D06ED" w:rsidRDefault="006C1EC5" w:rsidP="00EF4F3A">
            <w:pPr>
              <w:spacing w:after="0"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Cranial base</w:t>
            </w:r>
          </w:p>
        </w:tc>
        <w:tc>
          <w:tcPr>
            <w:tcW w:w="1532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01</w:t>
            </w:r>
          </w:p>
        </w:tc>
        <w:tc>
          <w:tcPr>
            <w:tcW w:w="1350" w:type="dxa"/>
          </w:tcPr>
          <w:p w:rsidR="006C1EC5" w:rsidRPr="00012A51" w:rsidRDefault="006C1EC5" w:rsidP="00EF4F3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12A51">
              <w:rPr>
                <w:rFonts w:ascii="Arial" w:hAnsi="Arial" w:cs="Arial"/>
              </w:rPr>
              <w:t>0.001</w:t>
            </w:r>
          </w:p>
        </w:tc>
        <w:tc>
          <w:tcPr>
            <w:tcW w:w="1620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0.002</w:t>
            </w:r>
          </w:p>
        </w:tc>
        <w:tc>
          <w:tcPr>
            <w:tcW w:w="1440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0.001</w:t>
            </w:r>
          </w:p>
        </w:tc>
      </w:tr>
      <w:tr w:rsidR="006C1EC5" w:rsidRPr="005D06ED" w:rsidTr="00EF4F3A">
        <w:tc>
          <w:tcPr>
            <w:tcW w:w="1816" w:type="dxa"/>
          </w:tcPr>
          <w:p w:rsidR="006C1EC5" w:rsidRPr="005D06ED" w:rsidRDefault="006C1EC5" w:rsidP="00EF4F3A">
            <w:pPr>
              <w:spacing w:after="0"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Facial skeleton</w:t>
            </w:r>
          </w:p>
        </w:tc>
        <w:tc>
          <w:tcPr>
            <w:tcW w:w="1532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0.001</w:t>
            </w:r>
          </w:p>
        </w:tc>
        <w:tc>
          <w:tcPr>
            <w:tcW w:w="1350" w:type="dxa"/>
          </w:tcPr>
          <w:p w:rsidR="006C1EC5" w:rsidRPr="00012A51" w:rsidRDefault="006C1EC5" w:rsidP="00EF4F3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12A51">
              <w:rPr>
                <w:rFonts w:ascii="Arial" w:hAnsi="Arial" w:cs="Arial"/>
              </w:rPr>
              <w:t>0.001</w:t>
            </w:r>
          </w:p>
        </w:tc>
        <w:tc>
          <w:tcPr>
            <w:tcW w:w="1620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440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0.001</w:t>
            </w:r>
          </w:p>
        </w:tc>
      </w:tr>
      <w:tr w:rsidR="006C1EC5" w:rsidRPr="005D06ED" w:rsidTr="00EF4F3A">
        <w:tc>
          <w:tcPr>
            <w:tcW w:w="1816" w:type="dxa"/>
          </w:tcPr>
          <w:p w:rsidR="006C1EC5" w:rsidRPr="005D06ED" w:rsidRDefault="006C1EC5" w:rsidP="00EF4F3A">
            <w:pPr>
              <w:spacing w:after="0"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Cranial Vault</w:t>
            </w:r>
          </w:p>
        </w:tc>
        <w:tc>
          <w:tcPr>
            <w:tcW w:w="1532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122</w:t>
            </w:r>
          </w:p>
        </w:tc>
        <w:tc>
          <w:tcPr>
            <w:tcW w:w="1350" w:type="dxa"/>
          </w:tcPr>
          <w:p w:rsidR="006C1EC5" w:rsidRPr="00012A51" w:rsidRDefault="006C1EC5" w:rsidP="00EF4F3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012A51">
              <w:rPr>
                <w:rFonts w:ascii="Arial" w:hAnsi="Arial" w:cs="Arial"/>
              </w:rPr>
              <w:t>0.001</w:t>
            </w:r>
          </w:p>
        </w:tc>
        <w:tc>
          <w:tcPr>
            <w:tcW w:w="1620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29</w:t>
            </w:r>
          </w:p>
        </w:tc>
        <w:tc>
          <w:tcPr>
            <w:tcW w:w="1440" w:type="dxa"/>
          </w:tcPr>
          <w:p w:rsidR="006C1EC5" w:rsidRPr="005D06E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0.001</w:t>
            </w:r>
          </w:p>
        </w:tc>
      </w:tr>
      <w:tr w:rsidR="006C1EC5" w:rsidRPr="005D06ED" w:rsidTr="00EF4F3A">
        <w:tc>
          <w:tcPr>
            <w:tcW w:w="1816" w:type="dxa"/>
          </w:tcPr>
          <w:p w:rsidR="006C1EC5" w:rsidRPr="005D06ED" w:rsidRDefault="006C1EC5" w:rsidP="00EF4F3A">
            <w:pPr>
              <w:spacing w:after="0" w:line="480" w:lineRule="auto"/>
              <w:rPr>
                <w:rFonts w:ascii="Arial" w:hAnsi="Arial" w:cs="Arial"/>
              </w:rPr>
            </w:pPr>
            <w:r w:rsidRPr="005D06ED">
              <w:rPr>
                <w:rFonts w:ascii="Arial" w:hAnsi="Arial" w:cs="Arial"/>
              </w:rPr>
              <w:t>Palate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32" w:type="dxa"/>
          </w:tcPr>
          <w:p w:rsidR="006C1EC5" w:rsidRPr="0013554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13554D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350" w:type="dxa"/>
          </w:tcPr>
          <w:p w:rsidR="006C1EC5" w:rsidRPr="0013554D" w:rsidRDefault="006C1EC5" w:rsidP="00EF4F3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13554D">
              <w:rPr>
                <w:rFonts w:ascii="Arial" w:hAnsi="Arial" w:cs="Arial"/>
              </w:rPr>
              <w:t>0.001</w:t>
            </w:r>
          </w:p>
        </w:tc>
        <w:tc>
          <w:tcPr>
            <w:tcW w:w="1620" w:type="dxa"/>
          </w:tcPr>
          <w:p w:rsidR="006C1EC5" w:rsidRPr="0013554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13554D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78</w:t>
            </w:r>
          </w:p>
        </w:tc>
        <w:tc>
          <w:tcPr>
            <w:tcW w:w="1440" w:type="dxa"/>
          </w:tcPr>
          <w:p w:rsidR="006C1EC5" w:rsidRPr="0013554D" w:rsidRDefault="006C1EC5" w:rsidP="00EF4F3A">
            <w:pPr>
              <w:spacing w:after="0" w:line="480" w:lineRule="auto"/>
              <w:jc w:val="center"/>
              <w:rPr>
                <w:rFonts w:ascii="Arial" w:hAnsi="Arial" w:cs="Arial"/>
              </w:rPr>
            </w:pPr>
            <w:r w:rsidRPr="0013554D">
              <w:rPr>
                <w:rFonts w:ascii="Arial" w:hAnsi="Arial" w:cs="Arial"/>
              </w:rPr>
              <w:t>0.02</w:t>
            </w:r>
          </w:p>
        </w:tc>
      </w:tr>
    </w:tbl>
    <w:p w:rsidR="006C1EC5" w:rsidRDefault="006C1EC5" w:rsidP="006C1EC5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294B71" w:rsidRDefault="00294B71">
      <w:bookmarkStart w:id="0" w:name="_GoBack"/>
      <w:bookmarkEnd w:id="0"/>
    </w:p>
    <w:sectPr w:rsidR="00294B71" w:rsidSect="000D62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EC5"/>
    <w:rsid w:val="000D627B"/>
    <w:rsid w:val="00294B71"/>
    <w:rsid w:val="006C1EC5"/>
    <w:rsid w:val="009D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79CE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EC5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1EC5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EC5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1EC5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Macintosh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jrichtsmeier</dc:creator>
  <cp:keywords/>
  <dc:description/>
  <cp:lastModifiedBy>jrichtsmeier</cp:lastModifiedBy>
  <cp:revision>1</cp:revision>
  <dcterms:created xsi:type="dcterms:W3CDTF">2013-11-04T10:10:00Z</dcterms:created>
  <dcterms:modified xsi:type="dcterms:W3CDTF">2013-11-04T10:10:00Z</dcterms:modified>
</cp:coreProperties>
</file>