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BD" w:rsidRPr="005F75D8" w:rsidRDefault="002F30BD" w:rsidP="002F30BD">
      <w:pPr>
        <w:spacing w:line="48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Table S3</w:t>
      </w:r>
      <w:r w:rsidRPr="005F75D8">
        <w:rPr>
          <w:rFonts w:ascii="Arial" w:hAnsi="Arial" w:cs="Arial"/>
        </w:rPr>
        <w:t xml:space="preserve">. </w:t>
      </w:r>
      <w:proofErr w:type="gramStart"/>
      <w:r w:rsidRPr="005F75D8">
        <w:rPr>
          <w:rFonts w:ascii="Arial" w:hAnsi="Arial" w:cs="Arial"/>
        </w:rPr>
        <w:t xml:space="preserve">Results of null hypothesis testing for differences in growth between </w:t>
      </w:r>
      <w:r w:rsidRPr="005F75D8">
        <w:rPr>
          <w:rFonts w:ascii="Arial" w:hAnsi="Arial" w:cs="Arial"/>
          <w:i/>
        </w:rPr>
        <w:t>Fgfr2</w:t>
      </w:r>
      <w:r w:rsidRPr="005F75D8">
        <w:rPr>
          <w:rFonts w:ascii="Arial" w:hAnsi="Arial" w:cs="Arial"/>
          <w:i/>
          <w:vertAlign w:val="superscript"/>
        </w:rPr>
        <w:t>+/S252W</w:t>
      </w:r>
      <w:r w:rsidRPr="005F75D8">
        <w:rPr>
          <w:rFonts w:ascii="Arial" w:hAnsi="Arial" w:cs="Arial"/>
          <w:i/>
        </w:rPr>
        <w:t xml:space="preserve"> and Fgfr2</w:t>
      </w:r>
      <w:r w:rsidRPr="005F75D8">
        <w:rPr>
          <w:rFonts w:ascii="Arial" w:hAnsi="Arial" w:cs="Arial"/>
          <w:i/>
          <w:vertAlign w:val="superscript"/>
        </w:rPr>
        <w:t>+/P253R</w:t>
      </w:r>
      <w:r w:rsidRPr="005F75D8">
        <w:rPr>
          <w:rFonts w:ascii="Arial" w:hAnsi="Arial" w:cs="Arial"/>
        </w:rPr>
        <w:t xml:space="preserve"> mutant mice and unaffected littermates</w:t>
      </w:r>
      <w:r>
        <w:rPr>
          <w:rFonts w:ascii="Arial" w:hAnsi="Arial" w:cs="Arial"/>
        </w:rPr>
        <w:t>.</w:t>
      </w:r>
      <w:proofErr w:type="gramEnd"/>
      <w:r w:rsidRPr="003D5E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p-value of 0.05 or less was considered statistically significant enabling rejection of the null hypothesis of similarity in growth pattern between samples. </w:t>
      </w:r>
      <w:r w:rsidRPr="005F75D8">
        <w:rPr>
          <w:rFonts w:ascii="Arial" w:hAnsi="Arial" w:cs="Arial"/>
        </w:rPr>
        <w:t xml:space="preserve">Landmark subsets for anatomical regions are defined in Table </w:t>
      </w:r>
      <w:r>
        <w:rPr>
          <w:rFonts w:ascii="Arial" w:hAnsi="Arial" w:cs="Arial"/>
        </w:rPr>
        <w:t>S1</w:t>
      </w:r>
      <w:r w:rsidRPr="005F75D8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53"/>
        <w:gridCol w:w="2575"/>
        <w:gridCol w:w="2520"/>
        <w:gridCol w:w="2340"/>
      </w:tblGrid>
      <w:tr w:rsidR="002F30BD" w:rsidRPr="005D06ED" w:rsidTr="00FC4AB9">
        <w:tc>
          <w:tcPr>
            <w:tcW w:w="1853" w:type="dxa"/>
          </w:tcPr>
          <w:p w:rsidR="002F30BD" w:rsidRPr="005D06ED" w:rsidRDefault="002F30BD" w:rsidP="00FC4AB9">
            <w:pPr>
              <w:rPr>
                <w:rFonts w:ascii="Arial" w:hAnsi="Arial" w:cs="Arial"/>
              </w:rPr>
            </w:pPr>
          </w:p>
        </w:tc>
        <w:tc>
          <w:tcPr>
            <w:tcW w:w="2575" w:type="dxa"/>
          </w:tcPr>
          <w:p w:rsidR="002F30BD" w:rsidRPr="005D06ED" w:rsidRDefault="002F30BD" w:rsidP="00FC4AB9">
            <w:pPr>
              <w:jc w:val="center"/>
              <w:rPr>
                <w:rFonts w:ascii="Arial" w:hAnsi="Arial" w:cs="Arial"/>
                <w:b/>
              </w:rPr>
            </w:pPr>
            <w:r w:rsidRPr="005D06ED">
              <w:rPr>
                <w:rFonts w:ascii="Arial" w:hAnsi="Arial" w:cs="Arial"/>
              </w:rPr>
              <w:t xml:space="preserve">Growth of </w:t>
            </w:r>
            <w:r w:rsidRPr="005D06ED">
              <w:rPr>
                <w:rFonts w:ascii="Arial" w:hAnsi="Arial" w:cs="Arial"/>
                <w:i/>
              </w:rPr>
              <w:t>Fgfr2</w:t>
            </w:r>
            <w:r w:rsidRPr="005D06ED">
              <w:rPr>
                <w:rFonts w:ascii="Arial" w:hAnsi="Arial" w:cs="Arial"/>
                <w:i/>
                <w:vertAlign w:val="superscript"/>
              </w:rPr>
              <w:t>+/S252W</w:t>
            </w:r>
            <w:r w:rsidRPr="005D06ED">
              <w:rPr>
                <w:rFonts w:ascii="Arial" w:hAnsi="Arial" w:cs="Arial"/>
              </w:rPr>
              <w:t xml:space="preserve"> compared to </w:t>
            </w:r>
            <w:r>
              <w:rPr>
                <w:rFonts w:ascii="Arial" w:hAnsi="Arial" w:cs="Arial"/>
              </w:rPr>
              <w:t xml:space="preserve">growth of </w:t>
            </w:r>
            <w:r w:rsidRPr="005D06ED">
              <w:rPr>
                <w:rFonts w:ascii="Arial" w:hAnsi="Arial" w:cs="Arial"/>
              </w:rPr>
              <w:t>unaffected littermate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520" w:type="dxa"/>
          </w:tcPr>
          <w:p w:rsidR="002F30BD" w:rsidRPr="005D06ED" w:rsidRDefault="002F30BD" w:rsidP="00FC4AB9">
            <w:pPr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 xml:space="preserve">Growth of </w:t>
            </w:r>
            <w:r w:rsidRPr="005D06ED">
              <w:rPr>
                <w:rFonts w:ascii="Arial" w:hAnsi="Arial" w:cs="Arial"/>
                <w:i/>
              </w:rPr>
              <w:t>Fgfr2</w:t>
            </w:r>
            <w:r w:rsidRPr="005D06ED">
              <w:rPr>
                <w:rFonts w:ascii="Arial" w:hAnsi="Arial" w:cs="Arial"/>
                <w:i/>
                <w:vertAlign w:val="superscript"/>
              </w:rPr>
              <w:t xml:space="preserve">+/P253R </w:t>
            </w:r>
            <w:r w:rsidRPr="005D06ED">
              <w:rPr>
                <w:rFonts w:ascii="Arial" w:hAnsi="Arial" w:cs="Arial"/>
              </w:rPr>
              <w:t xml:space="preserve"> compared to </w:t>
            </w:r>
            <w:r>
              <w:rPr>
                <w:rFonts w:ascii="Arial" w:hAnsi="Arial" w:cs="Arial"/>
              </w:rPr>
              <w:t xml:space="preserve">growth of </w:t>
            </w:r>
            <w:r w:rsidRPr="005D06ED">
              <w:rPr>
                <w:rFonts w:ascii="Arial" w:hAnsi="Arial" w:cs="Arial"/>
              </w:rPr>
              <w:t>unaffected littermate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340" w:type="dxa"/>
          </w:tcPr>
          <w:p w:rsidR="002F30BD" w:rsidRPr="005D06ED" w:rsidRDefault="002F30BD" w:rsidP="00FC4AB9">
            <w:pPr>
              <w:jc w:val="center"/>
              <w:rPr>
                <w:rFonts w:ascii="Arial" w:hAnsi="Arial" w:cs="Arial"/>
                <w:i/>
              </w:rPr>
            </w:pPr>
            <w:r w:rsidRPr="004A5B81">
              <w:rPr>
                <w:rFonts w:ascii="Arial" w:hAnsi="Arial" w:cs="Arial"/>
              </w:rPr>
              <w:t>Growth of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D06ED">
              <w:rPr>
                <w:rFonts w:ascii="Arial" w:hAnsi="Arial" w:cs="Arial"/>
                <w:i/>
              </w:rPr>
              <w:t>Fgfr2</w:t>
            </w:r>
            <w:r w:rsidRPr="005D06ED">
              <w:rPr>
                <w:rFonts w:ascii="Arial" w:hAnsi="Arial" w:cs="Arial"/>
                <w:i/>
                <w:vertAlign w:val="superscript"/>
              </w:rPr>
              <w:t xml:space="preserve">+/P253R </w:t>
            </w:r>
            <w:r w:rsidRPr="005D06ED">
              <w:rPr>
                <w:rFonts w:ascii="Arial" w:hAnsi="Arial" w:cs="Arial"/>
              </w:rPr>
              <w:t>compared</w:t>
            </w:r>
            <w:r w:rsidRPr="005D06ED">
              <w:rPr>
                <w:rFonts w:ascii="Arial" w:hAnsi="Arial" w:cs="Arial"/>
                <w:i/>
              </w:rPr>
              <w:t xml:space="preserve"> </w:t>
            </w:r>
            <w:r w:rsidRPr="004A5B81">
              <w:rPr>
                <w:rFonts w:ascii="Arial" w:hAnsi="Arial" w:cs="Arial"/>
              </w:rPr>
              <w:t>with growth of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D06ED">
              <w:rPr>
                <w:rFonts w:ascii="Arial" w:hAnsi="Arial" w:cs="Arial"/>
                <w:i/>
              </w:rPr>
              <w:t>Fgfr2</w:t>
            </w:r>
            <w:r w:rsidRPr="005D06ED">
              <w:rPr>
                <w:rFonts w:ascii="Arial" w:hAnsi="Arial" w:cs="Arial"/>
                <w:i/>
                <w:vertAlign w:val="superscript"/>
              </w:rPr>
              <w:t>+/S252W</w:t>
            </w:r>
            <w:r w:rsidRPr="005D06ED">
              <w:rPr>
                <w:rFonts w:ascii="Arial" w:hAnsi="Arial" w:cs="Arial"/>
              </w:rPr>
              <w:t xml:space="preserve"> </w:t>
            </w:r>
          </w:p>
        </w:tc>
      </w:tr>
      <w:tr w:rsidR="002F30BD" w:rsidRPr="005D06ED" w:rsidTr="00FC4AB9">
        <w:tc>
          <w:tcPr>
            <w:tcW w:w="1853" w:type="dxa"/>
          </w:tcPr>
          <w:p w:rsidR="002F30BD" w:rsidRPr="005D06ED" w:rsidRDefault="002F30BD" w:rsidP="00FC4AB9">
            <w:pPr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Landmark subset</w:t>
            </w:r>
          </w:p>
        </w:tc>
        <w:tc>
          <w:tcPr>
            <w:tcW w:w="2575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P-Value</w:t>
            </w:r>
          </w:p>
        </w:tc>
        <w:tc>
          <w:tcPr>
            <w:tcW w:w="252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P-Value</w:t>
            </w:r>
          </w:p>
        </w:tc>
        <w:tc>
          <w:tcPr>
            <w:tcW w:w="234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P-value</w:t>
            </w:r>
          </w:p>
        </w:tc>
      </w:tr>
      <w:tr w:rsidR="002F30BD" w:rsidRPr="005D06ED" w:rsidTr="00FC4AB9">
        <w:tc>
          <w:tcPr>
            <w:tcW w:w="1853" w:type="dxa"/>
          </w:tcPr>
          <w:p w:rsidR="002F30BD" w:rsidRPr="005D06ED" w:rsidRDefault="002F30BD" w:rsidP="00FC4AB9">
            <w:pPr>
              <w:spacing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Global skull</w:t>
            </w:r>
          </w:p>
        </w:tc>
        <w:tc>
          <w:tcPr>
            <w:tcW w:w="2575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92</w:t>
            </w:r>
          </w:p>
        </w:tc>
        <w:tc>
          <w:tcPr>
            <w:tcW w:w="252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53</w:t>
            </w:r>
          </w:p>
        </w:tc>
        <w:tc>
          <w:tcPr>
            <w:tcW w:w="234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21</w:t>
            </w:r>
          </w:p>
        </w:tc>
      </w:tr>
      <w:tr w:rsidR="002F30BD" w:rsidRPr="005D06ED" w:rsidTr="00FC4AB9">
        <w:tc>
          <w:tcPr>
            <w:tcW w:w="1853" w:type="dxa"/>
          </w:tcPr>
          <w:p w:rsidR="002F30BD" w:rsidRPr="005D06ED" w:rsidRDefault="002F30BD" w:rsidP="00FC4AB9">
            <w:pPr>
              <w:spacing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Cranial base</w:t>
            </w:r>
          </w:p>
        </w:tc>
        <w:tc>
          <w:tcPr>
            <w:tcW w:w="2575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52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179</w:t>
            </w:r>
          </w:p>
        </w:tc>
        <w:tc>
          <w:tcPr>
            <w:tcW w:w="234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668</w:t>
            </w:r>
          </w:p>
        </w:tc>
      </w:tr>
      <w:tr w:rsidR="002F30BD" w:rsidRPr="005D06ED" w:rsidTr="00FC4AB9">
        <w:tc>
          <w:tcPr>
            <w:tcW w:w="1853" w:type="dxa"/>
          </w:tcPr>
          <w:p w:rsidR="002F30BD" w:rsidRPr="005D06ED" w:rsidRDefault="002F30BD" w:rsidP="00FC4AB9">
            <w:pPr>
              <w:spacing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Facial skeleton</w:t>
            </w:r>
          </w:p>
        </w:tc>
        <w:tc>
          <w:tcPr>
            <w:tcW w:w="2575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0.001</w:t>
            </w:r>
          </w:p>
        </w:tc>
        <w:tc>
          <w:tcPr>
            <w:tcW w:w="252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154</w:t>
            </w:r>
          </w:p>
        </w:tc>
      </w:tr>
      <w:tr w:rsidR="002F30BD" w:rsidRPr="005D06ED" w:rsidTr="00FC4AB9">
        <w:tc>
          <w:tcPr>
            <w:tcW w:w="1853" w:type="dxa"/>
          </w:tcPr>
          <w:p w:rsidR="002F30BD" w:rsidRPr="005D06ED" w:rsidRDefault="002F30BD" w:rsidP="00FC4AB9">
            <w:pPr>
              <w:spacing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Cranial Vault</w:t>
            </w:r>
          </w:p>
        </w:tc>
        <w:tc>
          <w:tcPr>
            <w:tcW w:w="2575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021</w:t>
            </w:r>
          </w:p>
        </w:tc>
        <w:tc>
          <w:tcPr>
            <w:tcW w:w="252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095</w:t>
            </w:r>
          </w:p>
        </w:tc>
        <w:tc>
          <w:tcPr>
            <w:tcW w:w="234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0.1</w:t>
            </w:r>
            <w:r>
              <w:rPr>
                <w:rFonts w:ascii="Arial" w:hAnsi="Arial" w:cs="Arial"/>
              </w:rPr>
              <w:t>14</w:t>
            </w:r>
          </w:p>
        </w:tc>
      </w:tr>
      <w:tr w:rsidR="002F30BD" w:rsidRPr="005D06ED" w:rsidTr="00FC4AB9">
        <w:tc>
          <w:tcPr>
            <w:tcW w:w="1853" w:type="dxa"/>
          </w:tcPr>
          <w:p w:rsidR="002F30BD" w:rsidRPr="005D06ED" w:rsidRDefault="002F30BD" w:rsidP="00FC4AB9">
            <w:pPr>
              <w:spacing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Palate</w:t>
            </w:r>
          </w:p>
        </w:tc>
        <w:tc>
          <w:tcPr>
            <w:tcW w:w="2575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52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340" w:type="dxa"/>
          </w:tcPr>
          <w:p w:rsidR="002F30BD" w:rsidRPr="005D06ED" w:rsidRDefault="002F30BD" w:rsidP="00FC4A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107</w:t>
            </w:r>
          </w:p>
        </w:tc>
      </w:tr>
    </w:tbl>
    <w:p w:rsidR="00277E69" w:rsidRDefault="000C5DC4"/>
    <w:sectPr w:rsidR="00277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0BD"/>
    <w:rsid w:val="000C5DC4"/>
    <w:rsid w:val="0014689B"/>
    <w:rsid w:val="0016009D"/>
    <w:rsid w:val="002B3832"/>
    <w:rsid w:val="002F30BD"/>
    <w:rsid w:val="003423C5"/>
    <w:rsid w:val="004D1F8B"/>
    <w:rsid w:val="009A4CB6"/>
    <w:rsid w:val="00C4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0B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30B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0B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30B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M. Motch-Perrine</dc:creator>
  <cp:lastModifiedBy>Susan M. Motch-Perrine</cp:lastModifiedBy>
  <cp:revision>2</cp:revision>
  <dcterms:created xsi:type="dcterms:W3CDTF">2014-01-24T17:07:00Z</dcterms:created>
  <dcterms:modified xsi:type="dcterms:W3CDTF">2014-01-24T17:07:00Z</dcterms:modified>
</cp:coreProperties>
</file>