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Default Extension="jpeg" ContentType="image/jpeg"/>
  <Default Extension="png" ContentType="image/png"/>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C004C0" w:rsidRDefault="00582D76" w:rsidP="00D74219">
      <w:pPr>
        <w:spacing w:line="480" w:lineRule="auto"/>
        <w:rPr>
          <w:rFonts w:ascii="Arial" w:hAnsi="Arial"/>
          <w:b/>
        </w:rPr>
        <w:sectPr w:rsidR="00C004C0">
          <w:pgSz w:w="15840" w:h="12240" w:orient="landscape"/>
          <w:pgMar w:top="1800" w:right="1440" w:bottom="1800" w:left="1440" w:gutter="0"/>
        </w:sectPr>
      </w:pPr>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8225155" cy="2768600"/>
            <wp:effectExtent l="25400" t="0" r="4445" b="0"/>
            <wp:wrapTight wrapText="bothSides">
              <wp:wrapPolygon edited="0">
                <wp:start x="-67" y="0"/>
                <wp:lineTo x="-67" y="21402"/>
                <wp:lineTo x="21612" y="21402"/>
                <wp:lineTo x="21612" y="0"/>
                <wp:lineTo x="-67" y="0"/>
              </wp:wrapPolygon>
            </wp:wrapTight>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srcRect/>
                    <a:stretch>
                      <a:fillRect/>
                    </a:stretch>
                  </pic:blipFill>
                  <pic:spPr bwMode="auto">
                    <a:xfrm>
                      <a:off x="0" y="0"/>
                      <a:ext cx="8225155" cy="2768600"/>
                    </a:xfrm>
                    <a:prstGeom prst="rect">
                      <a:avLst/>
                    </a:prstGeom>
                    <a:noFill/>
                  </pic:spPr>
                </pic:pic>
              </a:graphicData>
            </a:graphic>
          </wp:anchor>
        </w:drawing>
      </w:r>
    </w:p>
    <w:p w:rsidR="00C004C0" w:rsidRDefault="00C004C0" w:rsidP="00D74219">
      <w:pPr>
        <w:spacing w:line="480" w:lineRule="auto"/>
        <w:rPr>
          <w:rFonts w:ascii="Arial" w:hAnsi="Arial"/>
        </w:rPr>
      </w:pPr>
      <w:r w:rsidRPr="00EE477C">
        <w:rPr>
          <w:rFonts w:ascii="Arial" w:hAnsi="Arial"/>
          <w:b/>
        </w:rPr>
        <w:t>Table S1.</w:t>
      </w:r>
      <w:r w:rsidRPr="00EE477C">
        <w:rPr>
          <w:rFonts w:ascii="Arial" w:hAnsi="Arial"/>
        </w:rPr>
        <w:t xml:space="preserve"> </w:t>
      </w:r>
      <w:proofErr w:type="gramStart"/>
      <w:r w:rsidRPr="00EE477C">
        <w:rPr>
          <w:rFonts w:ascii="Arial" w:hAnsi="Arial"/>
        </w:rPr>
        <w:t>Developmental staging as compared to zebrafish.</w:t>
      </w:r>
      <w:proofErr w:type="gramEnd"/>
      <w:r w:rsidRPr="00EE477C">
        <w:rPr>
          <w:rFonts w:ascii="Arial" w:hAnsi="Arial"/>
        </w:rPr>
        <w:t xml:space="preserve"> Zeb</w:t>
      </w:r>
      <w:r>
        <w:rPr>
          <w:rFonts w:ascii="Arial" w:hAnsi="Arial"/>
        </w:rPr>
        <w:t xml:space="preserve">rafish staging was based on </w:t>
      </w:r>
      <w:r w:rsidR="001B626A">
        <w:rPr>
          <w:rFonts w:ascii="Arial" w:hAnsi="Arial"/>
        </w:rPr>
        <w:fldChar w:fldCharType="begin"/>
      </w:r>
      <w:r>
        <w:rPr>
          <w:rFonts w:ascii="Arial" w:hAnsi="Arial"/>
        </w:rPr>
        <w:instrText xml:space="preserve"> ADDIN EN.CITE &lt;EndNote&gt;&lt;Cite&gt;&lt;Author&gt;Schilling TF&lt;/Author&gt;&lt;Year&gt;1997&lt;/Year&gt;&lt;RecNum&gt;20&lt;/RecNum&gt;&lt;record&gt;&lt;rec-number&gt;20&lt;/rec-number&gt;&lt;foreign-keys&gt;&lt;key app="EN" db-id="vsvr0zsv25vv23esvxk5awvffertfxstfpxt"&gt;20&lt;/key&gt;&lt;/foreign-keys&gt;&lt;ref-type name="Journal Article"&gt;17&lt;/ref-type&gt;&lt;contributors&gt;&lt;authors&gt;&lt;author&gt;Schilling TF, Kimmel CB. &lt;/author&gt;&lt;/authors&gt;&lt;/contributors&gt;&lt;titles&gt;&lt;title&gt;Musculoskeletal patterning in the pharyngeal segments of the zebrafish embryo&lt;/title&gt;&lt;secondary-title&gt;Development&lt;/secondary-title&gt;&lt;/titles&gt;&lt;periodical&gt;&lt;full-title&gt;Development&lt;/full-title&gt;&lt;/periodical&gt;&lt;pages&gt;2945-60&lt;/pages&gt;&lt;volume&gt;124&lt;/volume&gt;&lt;dates&gt;&lt;year&gt;1997&lt;/year&gt;&lt;/dates&gt;&lt;urls&gt;&lt;/urls&gt;&lt;/record&gt;&lt;/Cite&gt;&lt;/EndNote&gt;</w:instrText>
      </w:r>
      <w:r w:rsidR="001B626A">
        <w:rPr>
          <w:rFonts w:ascii="Arial" w:hAnsi="Arial"/>
        </w:rPr>
        <w:fldChar w:fldCharType="separate"/>
      </w:r>
      <w:r>
        <w:rPr>
          <w:rFonts w:ascii="Arial" w:hAnsi="Arial"/>
          <w:noProof/>
        </w:rPr>
        <w:t>(19)</w:t>
      </w:r>
      <w:r w:rsidR="001B626A">
        <w:rPr>
          <w:rFonts w:ascii="Arial" w:hAnsi="Arial"/>
        </w:rPr>
        <w:fldChar w:fldCharType="end"/>
      </w:r>
      <w:r w:rsidRPr="00EE477C">
        <w:rPr>
          <w:rFonts w:ascii="Arial" w:hAnsi="Arial"/>
        </w:rPr>
        <w:t xml:space="preserve"> and personal observations. </w:t>
      </w:r>
      <w:r>
        <w:rPr>
          <w:rFonts w:ascii="Arial" w:hAnsi="Arial"/>
        </w:rPr>
        <w:t xml:space="preserve">Because of their unique evolutionary history and the environment in which they develop (e.g., cold and constant dark), notothenioids have evolved modifications to many structures and organ systems making comparisons to tropical zebrafish difficult. We were thus mainly limited to the developmental sequence and timing of pharyngeal cartilage development. Aside from slight sequence changes in the timing of development of the anterior (i.e., </w:t>
      </w:r>
      <w:proofErr w:type="spellStart"/>
      <w:r>
        <w:rPr>
          <w:rFonts w:ascii="Arial" w:hAnsi="Arial"/>
        </w:rPr>
        <w:t>Meckel’s</w:t>
      </w:r>
      <w:proofErr w:type="spellEnd"/>
      <w:r>
        <w:rPr>
          <w:rFonts w:ascii="Arial" w:hAnsi="Arial"/>
        </w:rPr>
        <w:t xml:space="preserve"> cartilage) and posterior (i.e., cb5) most elements, we found development of pharyngeal skeleton to be largely conserved compared to zebrafish and other </w:t>
      </w:r>
      <w:proofErr w:type="spellStart"/>
      <w:r>
        <w:rPr>
          <w:rFonts w:ascii="Arial" w:hAnsi="Arial"/>
        </w:rPr>
        <w:t>teleost</w:t>
      </w:r>
      <w:proofErr w:type="spellEnd"/>
      <w:r>
        <w:rPr>
          <w:rFonts w:ascii="Arial" w:hAnsi="Arial"/>
        </w:rPr>
        <w:t xml:space="preserve"> species (e.g., stickleback, cichlids, data not shown). We feel confident that our staging system provides a framework in which to make appropriate comparisons of craniofacial development in these species. </w:t>
      </w:r>
    </w:p>
    <w:p w:rsidR="00C004C0" w:rsidRDefault="00C004C0" w:rsidP="00D74219">
      <w:pPr>
        <w:spacing w:line="480" w:lineRule="auto"/>
        <w:rPr>
          <w:rFonts w:ascii="Arial" w:hAnsi="Arial"/>
          <w:i/>
        </w:rPr>
      </w:pPr>
    </w:p>
    <w:p w:rsidR="00C004C0" w:rsidRDefault="00C004C0" w:rsidP="00D74219">
      <w:pPr>
        <w:spacing w:line="480" w:lineRule="auto"/>
        <w:rPr>
          <w:rFonts w:ascii="Arial" w:hAnsi="Arial"/>
        </w:rPr>
      </w:pPr>
      <w:r w:rsidRPr="00EE477C">
        <w:rPr>
          <w:rFonts w:ascii="Arial" w:hAnsi="Arial"/>
          <w:i/>
        </w:rPr>
        <w:t xml:space="preserve">C. </w:t>
      </w:r>
      <w:proofErr w:type="spellStart"/>
      <w:proofErr w:type="gramStart"/>
      <w:r w:rsidRPr="00EE477C">
        <w:rPr>
          <w:rFonts w:ascii="Arial" w:hAnsi="Arial"/>
          <w:i/>
        </w:rPr>
        <w:t>aceratus</w:t>
      </w:r>
      <w:proofErr w:type="spellEnd"/>
      <w:proofErr w:type="gramEnd"/>
      <w:r w:rsidRPr="00EE477C">
        <w:rPr>
          <w:rFonts w:ascii="Arial" w:hAnsi="Arial"/>
          <w:i/>
        </w:rPr>
        <w:t xml:space="preserve"> </w:t>
      </w:r>
      <w:r w:rsidRPr="00EE477C">
        <w:rPr>
          <w:rFonts w:ascii="Arial" w:hAnsi="Arial"/>
        </w:rPr>
        <w:t xml:space="preserve">larvae were reared in aquaria and sampled periodically for ~40 days. Based on the presence and absence of structures we were able to stage </w:t>
      </w:r>
      <w:r w:rsidRPr="00EE477C">
        <w:rPr>
          <w:rFonts w:ascii="Arial" w:hAnsi="Arial"/>
          <w:i/>
        </w:rPr>
        <w:t xml:space="preserve">C. </w:t>
      </w:r>
      <w:proofErr w:type="spellStart"/>
      <w:r w:rsidRPr="00EE477C">
        <w:rPr>
          <w:rFonts w:ascii="Arial" w:hAnsi="Arial"/>
          <w:i/>
        </w:rPr>
        <w:t>aceratus</w:t>
      </w:r>
      <w:proofErr w:type="spellEnd"/>
      <w:r w:rsidRPr="00EE477C">
        <w:rPr>
          <w:rFonts w:ascii="Arial" w:hAnsi="Arial"/>
        </w:rPr>
        <w:t xml:space="preserve"> samples collected on June 30 and July 08, 2001 as being equivalent to zebrafish stages ~52 </w:t>
      </w:r>
      <w:proofErr w:type="spellStart"/>
      <w:r w:rsidRPr="00EE477C">
        <w:rPr>
          <w:rFonts w:ascii="Arial" w:hAnsi="Arial"/>
        </w:rPr>
        <w:t>hpf</w:t>
      </w:r>
      <w:proofErr w:type="spellEnd"/>
      <w:r w:rsidRPr="00EE477C">
        <w:rPr>
          <w:rFonts w:ascii="Arial" w:hAnsi="Arial"/>
        </w:rPr>
        <w:t xml:space="preserve"> and ~74 </w:t>
      </w:r>
      <w:proofErr w:type="spellStart"/>
      <w:r w:rsidRPr="00EE477C">
        <w:rPr>
          <w:rFonts w:ascii="Arial" w:hAnsi="Arial"/>
        </w:rPr>
        <w:t>hpf</w:t>
      </w:r>
      <w:proofErr w:type="spellEnd"/>
      <w:r w:rsidRPr="00EE477C">
        <w:rPr>
          <w:rFonts w:ascii="Arial" w:hAnsi="Arial"/>
        </w:rPr>
        <w:t xml:space="preserve">, respectively. This allowed us to apply a developmental ‘clock’ to other samples. </w:t>
      </w:r>
      <w:r w:rsidRPr="00EE477C">
        <w:rPr>
          <w:rFonts w:ascii="Arial" w:hAnsi="Arial"/>
          <w:i/>
        </w:rPr>
        <w:t xml:space="preserve">P. </w:t>
      </w:r>
      <w:proofErr w:type="spellStart"/>
      <w:proofErr w:type="gramStart"/>
      <w:r w:rsidRPr="00EE477C">
        <w:rPr>
          <w:rFonts w:ascii="Arial" w:hAnsi="Arial"/>
          <w:i/>
        </w:rPr>
        <w:t>antarcticum</w:t>
      </w:r>
      <w:proofErr w:type="spellEnd"/>
      <w:proofErr w:type="gramEnd"/>
      <w:r w:rsidRPr="00EE477C">
        <w:rPr>
          <w:rFonts w:ascii="Arial" w:hAnsi="Arial"/>
        </w:rPr>
        <w:t xml:space="preserve"> larva fixed on November 07 and 27, 2005, were collected </w:t>
      </w:r>
      <w:r w:rsidRPr="00EE477C">
        <w:rPr>
          <w:rFonts w:ascii="Arial" w:hAnsi="Arial"/>
          <w:szCs w:val="22"/>
        </w:rPr>
        <w:t>beneath the sea ice in Terra Nova Bay, Antarctica, as described</w:t>
      </w:r>
      <w:r>
        <w:rPr>
          <w:rFonts w:ascii="Arial" w:hAnsi="Arial"/>
          <w:szCs w:val="22"/>
        </w:rPr>
        <w:t xml:space="preserve"> </w:t>
      </w:r>
      <w:r w:rsidR="001B626A">
        <w:rPr>
          <w:rFonts w:ascii="Arial" w:hAnsi="Arial"/>
          <w:szCs w:val="22"/>
        </w:rPr>
        <w:fldChar w:fldCharType="begin"/>
      </w:r>
      <w:r>
        <w:rPr>
          <w:rFonts w:ascii="Arial" w:hAnsi="Arial"/>
          <w:szCs w:val="22"/>
        </w:rPr>
        <w:instrText xml:space="preserve"> ADDIN EN.CITE &lt;EndNote&gt;&lt;Cite&gt;&lt;Author&gt;Bottaro&lt;/Author&gt;&lt;Year&gt;2009&lt;/Year&gt;&lt;RecNum&gt;75&lt;/RecNum&gt;&lt;record&gt;&lt;rec-number&gt;75&lt;/rec-number&gt;&lt;foreign-keys&gt;&lt;key app="EN" db-id="vsvr0zsv25vv23esvxk5awvffertfxstfpxt"&gt;75&lt;/key&gt;&lt;/foreign-keys&gt;&lt;ref-type name="Journal Article"&gt;17&lt;/ref-type&gt;&lt;contributors&gt;&lt;authors&gt;&lt;author&gt;Bottaro, M., et al&lt;/author&gt;&lt;/authors&gt;&lt;/contributors&gt;&lt;titles&gt;&lt;title&gt;Born among the ice: first morphological observations on two developmental stages of the Antarctic silverfish Pleuragramma antarcticum, a key species of the Southern Ocean &lt;/title&gt;&lt;secondary-title&gt;Rev. Fish Biol. Fisheries &lt;/secondary-title&gt;&lt;/titles&gt;&lt;periodical&gt;&lt;full-title&gt;Rev. Fish Biol. Fisheries&lt;/full-title&gt;&lt;/periodical&gt;&lt;dates&gt;&lt;year&gt;2009&lt;/year&gt;&lt;/dates&gt;&lt;urls&gt;&lt;/urls&gt;&lt;/record&gt;&lt;/Cite&gt;&lt;/EndNote&gt;</w:instrText>
      </w:r>
      <w:r w:rsidR="001B626A">
        <w:rPr>
          <w:rFonts w:ascii="Arial" w:hAnsi="Arial"/>
          <w:szCs w:val="22"/>
        </w:rPr>
        <w:fldChar w:fldCharType="separate"/>
      </w:r>
      <w:r>
        <w:rPr>
          <w:rFonts w:ascii="Arial" w:hAnsi="Arial"/>
          <w:noProof/>
          <w:szCs w:val="22"/>
        </w:rPr>
        <w:t>(63)</w:t>
      </w:r>
      <w:r w:rsidR="001B626A">
        <w:rPr>
          <w:rFonts w:ascii="Arial" w:hAnsi="Arial"/>
          <w:szCs w:val="22"/>
        </w:rPr>
        <w:fldChar w:fldCharType="end"/>
      </w:r>
      <w:r w:rsidRPr="00EE477C">
        <w:rPr>
          <w:rFonts w:ascii="Arial" w:hAnsi="Arial"/>
        </w:rPr>
        <w:t xml:space="preserve"> and therefore showed a range of developmental stages. Nevertheless, we were able to confidently stage these samples to a relatively narrow range of equivalent zebrafish stages.</w:t>
      </w:r>
    </w:p>
    <w:p w:rsidR="00C004C0" w:rsidRDefault="00C004C0" w:rsidP="005132E9">
      <w:pPr>
        <w:spacing w:line="480" w:lineRule="auto"/>
        <w:jc w:val="center"/>
        <w:rPr>
          <w:rFonts w:ascii="Arial" w:hAnsi="Arial"/>
        </w:rPr>
      </w:pPr>
      <w:r>
        <w:rPr>
          <w:rFonts w:ascii="Arial" w:hAnsi="Arial"/>
        </w:rPr>
        <w:br w:type="page"/>
      </w:r>
      <w:r w:rsidR="00582D76">
        <w:rPr>
          <w:rFonts w:ascii="Arial" w:hAnsi="Arial"/>
          <w:noProof/>
        </w:rPr>
        <w:drawing>
          <wp:inline distT="0" distB="0" distL="0" distR="0">
            <wp:extent cx="5486400" cy="6146800"/>
            <wp:effectExtent l="25400" t="0" r="0" b="0"/>
            <wp:docPr id="1" name="Picture 0" descr="Sup Fi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up Fig 1.jpg"/>
                    <pic:cNvPicPr>
                      <a:picLocks noChangeAspect="1" noChangeArrowheads="1"/>
                    </pic:cNvPicPr>
                  </pic:nvPicPr>
                  <pic:blipFill>
                    <a:blip r:embed="rId6"/>
                    <a:srcRect/>
                    <a:stretch>
                      <a:fillRect/>
                    </a:stretch>
                  </pic:blipFill>
                  <pic:spPr bwMode="auto">
                    <a:xfrm>
                      <a:off x="0" y="0"/>
                      <a:ext cx="5486400" cy="6146800"/>
                    </a:xfrm>
                    <a:prstGeom prst="rect">
                      <a:avLst/>
                    </a:prstGeom>
                    <a:noFill/>
                    <a:ln w="9525">
                      <a:noFill/>
                      <a:miter lim="800000"/>
                      <a:headEnd/>
                      <a:tailEnd/>
                    </a:ln>
                  </pic:spPr>
                </pic:pic>
              </a:graphicData>
            </a:graphic>
          </wp:inline>
        </w:drawing>
      </w:r>
    </w:p>
    <w:p w:rsidR="00C004C0" w:rsidRDefault="00C004C0" w:rsidP="00450BD9">
      <w:pPr>
        <w:spacing w:line="480" w:lineRule="auto"/>
        <w:rPr>
          <w:rFonts w:ascii="Arial" w:hAnsi="Arial"/>
        </w:rPr>
      </w:pPr>
      <w:r>
        <w:rPr>
          <w:rFonts w:ascii="Arial" w:hAnsi="Arial"/>
          <w:b/>
        </w:rPr>
        <w:t>Fig. S1</w:t>
      </w:r>
      <w:r w:rsidRPr="00EE477C">
        <w:rPr>
          <w:rFonts w:ascii="Arial" w:hAnsi="Arial"/>
          <w:b/>
        </w:rPr>
        <w:t>.</w:t>
      </w:r>
      <w:r w:rsidRPr="00EE477C">
        <w:rPr>
          <w:rFonts w:ascii="Arial" w:hAnsi="Arial"/>
        </w:rPr>
        <w:t xml:space="preserve"> </w:t>
      </w:r>
      <w:proofErr w:type="gramStart"/>
      <w:r w:rsidRPr="00EE477C">
        <w:rPr>
          <w:rFonts w:ascii="Arial" w:hAnsi="Arial"/>
        </w:rPr>
        <w:t xml:space="preserve">Developmental stages of </w:t>
      </w:r>
      <w:r w:rsidRPr="00EE477C">
        <w:rPr>
          <w:rFonts w:ascii="Arial" w:hAnsi="Arial"/>
          <w:i/>
        </w:rPr>
        <w:t xml:space="preserve">P. </w:t>
      </w:r>
      <w:proofErr w:type="spellStart"/>
      <w:r w:rsidRPr="00EE477C">
        <w:rPr>
          <w:rFonts w:ascii="Arial" w:hAnsi="Arial"/>
          <w:i/>
        </w:rPr>
        <w:t>antarcticum</w:t>
      </w:r>
      <w:proofErr w:type="spellEnd"/>
      <w:r w:rsidRPr="00EE477C">
        <w:rPr>
          <w:rFonts w:ascii="Arial" w:hAnsi="Arial"/>
        </w:rPr>
        <w:t xml:space="preserve"> (A-C) and </w:t>
      </w:r>
      <w:r w:rsidRPr="00EE477C">
        <w:rPr>
          <w:rFonts w:ascii="Arial" w:hAnsi="Arial"/>
          <w:i/>
        </w:rPr>
        <w:t xml:space="preserve">C. </w:t>
      </w:r>
      <w:proofErr w:type="spellStart"/>
      <w:r w:rsidRPr="00EE477C">
        <w:rPr>
          <w:rFonts w:ascii="Arial" w:hAnsi="Arial"/>
          <w:i/>
        </w:rPr>
        <w:t>aceratus</w:t>
      </w:r>
      <w:proofErr w:type="spellEnd"/>
      <w:r w:rsidRPr="00EE477C">
        <w:rPr>
          <w:rFonts w:ascii="Arial" w:hAnsi="Arial"/>
        </w:rPr>
        <w:t xml:space="preserve"> (D-F).</w:t>
      </w:r>
      <w:proofErr w:type="gramEnd"/>
      <w:r w:rsidRPr="00EE477C">
        <w:rPr>
          <w:rFonts w:ascii="Arial" w:hAnsi="Arial"/>
        </w:rPr>
        <w:t xml:space="preserve"> (A, C) </w:t>
      </w:r>
      <w:proofErr w:type="spellStart"/>
      <w:r w:rsidRPr="00EE477C">
        <w:rPr>
          <w:rFonts w:ascii="Arial" w:hAnsi="Arial"/>
        </w:rPr>
        <w:t>Prehatching</w:t>
      </w:r>
      <w:proofErr w:type="spellEnd"/>
      <w:r w:rsidRPr="00EE477C">
        <w:rPr>
          <w:rFonts w:ascii="Arial" w:hAnsi="Arial"/>
        </w:rPr>
        <w:t xml:space="preserve"> stages, equivalent to stages ~60 </w:t>
      </w:r>
      <w:proofErr w:type="spellStart"/>
      <w:r w:rsidRPr="00EE477C">
        <w:rPr>
          <w:rFonts w:ascii="Arial" w:hAnsi="Arial"/>
        </w:rPr>
        <w:t>hpf</w:t>
      </w:r>
      <w:proofErr w:type="spellEnd"/>
      <w:r w:rsidRPr="00EE477C">
        <w:rPr>
          <w:rFonts w:ascii="Arial" w:hAnsi="Arial"/>
        </w:rPr>
        <w:t xml:space="preserve"> and ~52 </w:t>
      </w:r>
      <w:proofErr w:type="spellStart"/>
      <w:r w:rsidRPr="00EE477C">
        <w:rPr>
          <w:rFonts w:ascii="Arial" w:hAnsi="Arial"/>
        </w:rPr>
        <w:t>hpf</w:t>
      </w:r>
      <w:proofErr w:type="spellEnd"/>
      <w:r w:rsidRPr="00EE477C">
        <w:rPr>
          <w:rFonts w:ascii="Arial" w:hAnsi="Arial"/>
        </w:rPr>
        <w:t>, respectively, of</w:t>
      </w:r>
      <w:r>
        <w:rPr>
          <w:rFonts w:ascii="Arial" w:hAnsi="Arial"/>
        </w:rPr>
        <w:t xml:space="preserve"> the zebrafish hatching period </w:t>
      </w:r>
      <w:r w:rsidR="001B626A">
        <w:rPr>
          <w:rFonts w:ascii="Arial" w:hAnsi="Arial"/>
        </w:rPr>
        <w:fldChar w:fldCharType="begin"/>
      </w:r>
      <w:r>
        <w:rPr>
          <w:rFonts w:ascii="Arial" w:hAnsi="Arial"/>
        </w:rPr>
        <w:instrText xml:space="preserve"> ADDIN EN.CITE &lt;EndNote&gt;&lt;Cite&gt;&lt;Author&gt;Schilling TF&lt;/Author&gt;&lt;Year&gt;1997&lt;/Year&gt;&lt;RecNum&gt;20&lt;/RecNum&gt;&lt;record&gt;&lt;rec-number&gt;20&lt;/rec-number&gt;&lt;foreign-keys&gt;&lt;key app="EN" db-id="vsvr0zsv25vv23esvxk5awvffertfxstfpxt"&gt;20&lt;/key&gt;&lt;/foreign-keys&gt;&lt;ref-type name="Journal Article"&gt;17&lt;/ref-type&gt;&lt;contributors&gt;&lt;authors&gt;&lt;author&gt;Schilling TF, Kimmel CB. &lt;/author&gt;&lt;/authors&gt;&lt;/contributors&gt;&lt;titles&gt;&lt;title&gt;Musculoskeletal patterning in the pharyngeal segments of the zebrafish embryo&lt;/title&gt;&lt;secondary-title&gt;Development&lt;/secondary-title&gt;&lt;/titles&gt;&lt;periodical&gt;&lt;full-title&gt;Development&lt;/full-title&gt;&lt;/periodical&gt;&lt;pages&gt;2945-60&lt;/pages&gt;&lt;volume&gt;124&lt;/volume&gt;&lt;dates&gt;&lt;year&gt;1997&lt;/year&gt;&lt;/dates&gt;&lt;urls&gt;&lt;/urls&gt;&lt;/record&gt;&lt;/Cite&gt;&lt;/EndNote&gt;</w:instrText>
      </w:r>
      <w:r w:rsidR="001B626A">
        <w:rPr>
          <w:rFonts w:ascii="Arial" w:hAnsi="Arial"/>
        </w:rPr>
        <w:fldChar w:fldCharType="separate"/>
      </w:r>
      <w:r>
        <w:rPr>
          <w:rFonts w:ascii="Arial" w:hAnsi="Arial"/>
          <w:noProof/>
        </w:rPr>
        <w:t>(19)</w:t>
      </w:r>
      <w:r w:rsidR="001B626A">
        <w:rPr>
          <w:rFonts w:ascii="Arial" w:hAnsi="Arial"/>
        </w:rPr>
        <w:fldChar w:fldCharType="end"/>
      </w:r>
      <w:r w:rsidRPr="00EE477C">
        <w:rPr>
          <w:rFonts w:ascii="Arial" w:hAnsi="Arial"/>
        </w:rPr>
        <w:t>. (B, E) Early-larvae stages</w:t>
      </w:r>
      <w:r>
        <w:rPr>
          <w:rFonts w:ascii="Arial" w:hAnsi="Arial"/>
        </w:rPr>
        <w:t xml:space="preserve">, equivalent to ~74-90 </w:t>
      </w:r>
      <w:proofErr w:type="spellStart"/>
      <w:proofErr w:type="gramStart"/>
      <w:r>
        <w:rPr>
          <w:rFonts w:ascii="Arial" w:hAnsi="Arial"/>
        </w:rPr>
        <w:t>hpf</w:t>
      </w:r>
      <w:proofErr w:type="spellEnd"/>
      <w:proofErr w:type="gramEnd"/>
      <w:r w:rsidRPr="00EE477C">
        <w:rPr>
          <w:rFonts w:ascii="Arial" w:hAnsi="Arial"/>
        </w:rPr>
        <w:t xml:space="preserve"> of the zebrafish larval period. Since </w:t>
      </w:r>
      <w:r w:rsidRPr="00EE477C">
        <w:rPr>
          <w:rFonts w:ascii="Arial" w:hAnsi="Arial"/>
          <w:i/>
        </w:rPr>
        <w:t xml:space="preserve">C. </w:t>
      </w:r>
      <w:proofErr w:type="spellStart"/>
      <w:r w:rsidRPr="00EE477C">
        <w:rPr>
          <w:rFonts w:ascii="Arial" w:hAnsi="Arial"/>
          <w:i/>
        </w:rPr>
        <w:t>aceratus</w:t>
      </w:r>
      <w:proofErr w:type="spellEnd"/>
      <w:r w:rsidRPr="00EE477C">
        <w:rPr>
          <w:rFonts w:ascii="Arial" w:hAnsi="Arial"/>
          <w:i/>
        </w:rPr>
        <w:t xml:space="preserve"> </w:t>
      </w:r>
      <w:r w:rsidRPr="00EE477C">
        <w:rPr>
          <w:rFonts w:ascii="Arial" w:hAnsi="Arial"/>
        </w:rPr>
        <w:t xml:space="preserve">specimens were systematically collected from a single clutch over the course of ~40 day, staging was a bit more straightforward. The </w:t>
      </w:r>
      <w:r w:rsidRPr="00EE477C">
        <w:rPr>
          <w:rFonts w:ascii="Arial" w:hAnsi="Arial"/>
          <w:i/>
        </w:rPr>
        <w:t xml:space="preserve">C. </w:t>
      </w:r>
      <w:proofErr w:type="spellStart"/>
      <w:r w:rsidRPr="00EE477C">
        <w:rPr>
          <w:rFonts w:ascii="Arial" w:hAnsi="Arial"/>
          <w:i/>
        </w:rPr>
        <w:t>aceratus</w:t>
      </w:r>
      <w:proofErr w:type="spellEnd"/>
      <w:r w:rsidRPr="00EE477C">
        <w:rPr>
          <w:rFonts w:ascii="Arial" w:hAnsi="Arial"/>
          <w:i/>
        </w:rPr>
        <w:t xml:space="preserve"> </w:t>
      </w:r>
      <w:r w:rsidRPr="00EE477C">
        <w:rPr>
          <w:rFonts w:ascii="Arial" w:hAnsi="Arial"/>
        </w:rPr>
        <w:t>specimen in (E) is 8 day</w:t>
      </w:r>
      <w:r>
        <w:rPr>
          <w:rFonts w:ascii="Arial" w:hAnsi="Arial"/>
        </w:rPr>
        <w:t>s older than that depicted in (D</w:t>
      </w:r>
      <w:r w:rsidRPr="00EE477C">
        <w:rPr>
          <w:rFonts w:ascii="Arial" w:hAnsi="Arial"/>
        </w:rPr>
        <w:t xml:space="preserve">); it also corresponds to approximately zebrafish stage ~74 </w:t>
      </w:r>
      <w:proofErr w:type="spellStart"/>
      <w:proofErr w:type="gramStart"/>
      <w:r w:rsidRPr="00EE477C">
        <w:rPr>
          <w:rFonts w:ascii="Arial" w:hAnsi="Arial"/>
        </w:rPr>
        <w:t>hpf</w:t>
      </w:r>
      <w:proofErr w:type="spellEnd"/>
      <w:proofErr w:type="gramEnd"/>
      <w:r w:rsidRPr="00EE477C">
        <w:rPr>
          <w:rFonts w:ascii="Arial" w:hAnsi="Arial"/>
        </w:rPr>
        <w:t>. This is the protruding mouth stage in zebrafish and is characterized by the anterior extension of the jaw just past the eye. Based on these two time-points</w:t>
      </w:r>
      <w:r>
        <w:rPr>
          <w:rFonts w:ascii="Arial" w:hAnsi="Arial"/>
        </w:rPr>
        <w:t xml:space="preserve"> (i.e., D and E)</w:t>
      </w:r>
      <w:r w:rsidRPr="00EE477C">
        <w:rPr>
          <w:rFonts w:ascii="Arial" w:hAnsi="Arial"/>
        </w:rPr>
        <w:t xml:space="preserve">, we inferred that each day of development in notothenioids (at </w:t>
      </w:r>
      <w:r w:rsidRPr="00EE477C">
        <w:rPr>
          <w:rFonts w:ascii="Arial" w:hAnsi="Arial" w:cs="Arial"/>
        </w:rPr>
        <w:t>–</w:t>
      </w:r>
      <w:r w:rsidRPr="00EE477C">
        <w:rPr>
          <w:rFonts w:ascii="Arial" w:hAnsi="Arial"/>
        </w:rPr>
        <w:t xml:space="preserve">1.5 ° C) corresponds to 2.5 hrs of development in zebrafish (at 28.5° C). (C, F) Mid-larvae stages, equivalent to zebrafish stage 5-6 </w:t>
      </w:r>
      <w:proofErr w:type="spellStart"/>
      <w:r w:rsidRPr="00EE477C">
        <w:rPr>
          <w:rFonts w:ascii="Arial" w:hAnsi="Arial"/>
        </w:rPr>
        <w:t>dpf</w:t>
      </w:r>
      <w:proofErr w:type="spellEnd"/>
      <w:r w:rsidRPr="00EE477C">
        <w:rPr>
          <w:rFonts w:ascii="Arial" w:hAnsi="Arial"/>
        </w:rPr>
        <w:t xml:space="preserve">. The specimen in (F) is 24 days older that (E), and should therefore be at a similar stage as a 6 </w:t>
      </w:r>
      <w:proofErr w:type="spellStart"/>
      <w:r w:rsidRPr="00EE477C">
        <w:rPr>
          <w:rFonts w:ascii="Arial" w:hAnsi="Arial"/>
        </w:rPr>
        <w:t>dpf</w:t>
      </w:r>
      <w:proofErr w:type="spellEnd"/>
      <w:r w:rsidRPr="00EE477C">
        <w:rPr>
          <w:rFonts w:ascii="Arial" w:hAnsi="Arial"/>
        </w:rPr>
        <w:t xml:space="preserve"> zebrafish larvae. This is consistent with the presence of teeth in </w:t>
      </w:r>
      <w:r w:rsidRPr="00EE477C">
        <w:rPr>
          <w:rFonts w:ascii="Arial" w:hAnsi="Arial"/>
          <w:i/>
        </w:rPr>
        <w:t xml:space="preserve">C. </w:t>
      </w:r>
      <w:proofErr w:type="spellStart"/>
      <w:r w:rsidRPr="00EE477C">
        <w:rPr>
          <w:rFonts w:ascii="Arial" w:hAnsi="Arial"/>
          <w:i/>
        </w:rPr>
        <w:t>aceratus</w:t>
      </w:r>
      <w:proofErr w:type="spellEnd"/>
      <w:r w:rsidRPr="00EE477C">
        <w:rPr>
          <w:rFonts w:ascii="Arial" w:hAnsi="Arial"/>
          <w:i/>
        </w:rPr>
        <w:t xml:space="preserve"> </w:t>
      </w:r>
      <w:r w:rsidRPr="00EE477C">
        <w:rPr>
          <w:rFonts w:ascii="Arial" w:hAnsi="Arial"/>
        </w:rPr>
        <w:t xml:space="preserve">larvae at this stage. Staging of </w:t>
      </w:r>
      <w:r w:rsidRPr="00EE477C">
        <w:rPr>
          <w:rFonts w:ascii="Arial" w:hAnsi="Arial"/>
          <w:i/>
        </w:rPr>
        <w:t xml:space="preserve">P. </w:t>
      </w:r>
      <w:proofErr w:type="spellStart"/>
      <w:r w:rsidRPr="00EE477C">
        <w:rPr>
          <w:rFonts w:ascii="Arial" w:hAnsi="Arial"/>
          <w:i/>
        </w:rPr>
        <w:t>antarcticum</w:t>
      </w:r>
      <w:proofErr w:type="spellEnd"/>
      <w:r w:rsidRPr="00EE477C">
        <w:rPr>
          <w:rFonts w:ascii="Arial" w:hAnsi="Arial"/>
        </w:rPr>
        <w:t xml:space="preserve"> was less straight forward, as samples represented natural </w:t>
      </w:r>
      <w:r>
        <w:rPr>
          <w:rFonts w:ascii="Arial" w:hAnsi="Arial"/>
        </w:rPr>
        <w:t>populations</w:t>
      </w:r>
      <w:r w:rsidRPr="00EE477C">
        <w:rPr>
          <w:rFonts w:ascii="Arial" w:hAnsi="Arial"/>
        </w:rPr>
        <w:t xml:space="preserve"> of embryos co</w:t>
      </w:r>
      <w:r>
        <w:rPr>
          <w:rFonts w:ascii="Arial" w:hAnsi="Arial"/>
        </w:rPr>
        <w:t xml:space="preserve">llected beneath the sea ice </w:t>
      </w:r>
      <w:r w:rsidR="001B626A">
        <w:rPr>
          <w:rFonts w:ascii="Arial" w:hAnsi="Arial"/>
        </w:rPr>
        <w:fldChar w:fldCharType="begin"/>
      </w:r>
      <w:r>
        <w:rPr>
          <w:rFonts w:ascii="Arial" w:hAnsi="Arial"/>
        </w:rPr>
        <w:instrText xml:space="preserve"> ADDIN EN.CITE &lt;EndNote&gt;&lt;Cite&gt;&lt;Author&gt;Bottaro&lt;/Author&gt;&lt;Year&gt;2009&lt;/Year&gt;&lt;RecNum&gt;75&lt;/RecNum&gt;&lt;record&gt;&lt;rec-number&gt;75&lt;/rec-number&gt;&lt;foreign-keys&gt;&lt;key app="EN" db-id="vsvr0zsv25vv23esvxk5awvffertfxstfpxt"&gt;75&lt;/key&gt;&lt;/foreign-keys&gt;&lt;ref-type name="Journal Article"&gt;17&lt;/ref-type&gt;&lt;contributors&gt;&lt;authors&gt;&lt;author&gt;Bottaro, M., et al&lt;/author&gt;&lt;/authors&gt;&lt;/contributors&gt;&lt;titles&gt;&lt;title&gt;Born among the ice: first morphological observations on two developmental stages of the Antarctic silverfish Pleuragramma antarcticum, a key species of the Southern Ocean &lt;/title&gt;&lt;secondary-title&gt;Rev. Fish Biol. Fisheries &lt;/secondary-title&gt;&lt;/titles&gt;&lt;periodical&gt;&lt;full-title&gt;Rev. Fish Biol. Fisheries&lt;/full-title&gt;&lt;/periodical&gt;&lt;dates&gt;&lt;year&gt;2009&lt;/year&gt;&lt;/dates&gt;&lt;urls&gt;&lt;/urls&gt;&lt;/record&gt;&lt;/Cite&gt;&lt;/EndNote&gt;</w:instrText>
      </w:r>
      <w:r w:rsidR="001B626A">
        <w:rPr>
          <w:rFonts w:ascii="Arial" w:hAnsi="Arial"/>
        </w:rPr>
        <w:fldChar w:fldCharType="separate"/>
      </w:r>
      <w:r>
        <w:rPr>
          <w:rFonts w:ascii="Arial" w:hAnsi="Arial"/>
          <w:noProof/>
        </w:rPr>
        <w:t>(63)</w:t>
      </w:r>
      <w:r w:rsidR="001B626A">
        <w:rPr>
          <w:rFonts w:ascii="Arial" w:hAnsi="Arial"/>
        </w:rPr>
        <w:fldChar w:fldCharType="end"/>
      </w:r>
      <w:r w:rsidRPr="00EE477C">
        <w:rPr>
          <w:rFonts w:ascii="Arial" w:hAnsi="Arial"/>
        </w:rPr>
        <w:t>. The sample in (A) was collected from Terra Nova Bay, Antarctica, on November 7, 2005, and was determined to be e</w:t>
      </w:r>
      <w:r>
        <w:rPr>
          <w:rFonts w:ascii="Arial" w:hAnsi="Arial"/>
        </w:rPr>
        <w:t>quivalent to zebrafish stage ~60</w:t>
      </w:r>
      <w:r w:rsidRPr="00EE477C">
        <w:rPr>
          <w:rFonts w:ascii="Arial" w:hAnsi="Arial"/>
        </w:rPr>
        <w:t xml:space="preserve"> </w:t>
      </w:r>
      <w:proofErr w:type="spellStart"/>
      <w:proofErr w:type="gramStart"/>
      <w:r w:rsidRPr="00EE477C">
        <w:rPr>
          <w:rFonts w:ascii="Arial" w:hAnsi="Arial"/>
        </w:rPr>
        <w:t>hpf</w:t>
      </w:r>
      <w:proofErr w:type="spellEnd"/>
      <w:proofErr w:type="gramEnd"/>
      <w:r w:rsidRPr="00EE477C">
        <w:rPr>
          <w:rFonts w:ascii="Arial" w:hAnsi="Arial"/>
        </w:rPr>
        <w:t>. The sample in (B) was collected 20 days later, but there was clearly a range of developmental stages prese</w:t>
      </w:r>
      <w:r>
        <w:rPr>
          <w:rFonts w:ascii="Arial" w:hAnsi="Arial"/>
        </w:rPr>
        <w:t>n</w:t>
      </w:r>
      <w:r w:rsidRPr="00EE477C">
        <w:rPr>
          <w:rFonts w:ascii="Arial" w:hAnsi="Arial"/>
        </w:rPr>
        <w:t xml:space="preserve">t in this collection. In particular, there were differences in the degree of mouth protrusion. This particular fish represented one of the younger samples, and based on the presence and absence of </w:t>
      </w:r>
      <w:r>
        <w:rPr>
          <w:rFonts w:ascii="Arial" w:hAnsi="Arial"/>
        </w:rPr>
        <w:t>individual skeletal</w:t>
      </w:r>
      <w:r w:rsidRPr="00EE477C">
        <w:rPr>
          <w:rFonts w:ascii="Arial" w:hAnsi="Arial"/>
        </w:rPr>
        <w:t xml:space="preserve"> structures (Table </w:t>
      </w:r>
      <w:r>
        <w:rPr>
          <w:rFonts w:ascii="Arial" w:hAnsi="Arial"/>
        </w:rPr>
        <w:t>S</w:t>
      </w:r>
      <w:r w:rsidRPr="00EE477C">
        <w:rPr>
          <w:rFonts w:ascii="Arial" w:hAnsi="Arial"/>
        </w:rPr>
        <w:t xml:space="preserve">1), was determined to be at approximately the same stage as </w:t>
      </w:r>
      <w:r w:rsidRPr="00EE477C">
        <w:rPr>
          <w:rFonts w:ascii="Arial" w:hAnsi="Arial"/>
          <w:i/>
        </w:rPr>
        <w:t xml:space="preserve">C. </w:t>
      </w:r>
      <w:proofErr w:type="spellStart"/>
      <w:r w:rsidRPr="00EE477C">
        <w:rPr>
          <w:rFonts w:ascii="Arial" w:hAnsi="Arial"/>
          <w:i/>
        </w:rPr>
        <w:t>aceratus</w:t>
      </w:r>
      <w:proofErr w:type="spellEnd"/>
      <w:r w:rsidRPr="00EE477C">
        <w:rPr>
          <w:rFonts w:ascii="Arial" w:hAnsi="Arial"/>
          <w:i/>
        </w:rPr>
        <w:t xml:space="preserve"> </w:t>
      </w:r>
      <w:r w:rsidRPr="00EE477C">
        <w:rPr>
          <w:rFonts w:ascii="Arial" w:hAnsi="Arial"/>
        </w:rPr>
        <w:t xml:space="preserve">in panel (E). Fish collected on November 27 were subsequently reared for another 16 days in aquaria, and, based on the developmental “clock” applied to </w:t>
      </w:r>
      <w:r w:rsidRPr="00EE477C">
        <w:rPr>
          <w:rFonts w:ascii="Arial" w:hAnsi="Arial"/>
          <w:i/>
        </w:rPr>
        <w:t xml:space="preserve">C. </w:t>
      </w:r>
      <w:proofErr w:type="spellStart"/>
      <w:r w:rsidRPr="00EE477C">
        <w:rPr>
          <w:rFonts w:ascii="Arial" w:hAnsi="Arial"/>
          <w:i/>
        </w:rPr>
        <w:t>aceratus</w:t>
      </w:r>
      <w:proofErr w:type="spellEnd"/>
      <w:r w:rsidRPr="00EE477C">
        <w:rPr>
          <w:rFonts w:ascii="Arial" w:hAnsi="Arial"/>
        </w:rPr>
        <w:t xml:space="preserve">, these fish should be equivalent to zebrafish stage ~5 </w:t>
      </w:r>
      <w:proofErr w:type="spellStart"/>
      <w:r w:rsidRPr="00EE477C">
        <w:rPr>
          <w:rFonts w:ascii="Arial" w:hAnsi="Arial"/>
        </w:rPr>
        <w:t>dpf</w:t>
      </w:r>
      <w:proofErr w:type="spellEnd"/>
      <w:r w:rsidRPr="00EE477C">
        <w:rPr>
          <w:rFonts w:ascii="Arial" w:hAnsi="Arial"/>
        </w:rPr>
        <w:t xml:space="preserve">. </w:t>
      </w:r>
      <w:proofErr w:type="gramStart"/>
      <w:r w:rsidRPr="00EE477C">
        <w:rPr>
          <w:rFonts w:ascii="Arial" w:hAnsi="Arial"/>
        </w:rPr>
        <w:t>As before, this collection contained a range of stages, and the specimen depicted in panel (C) was one of the older individuals equival</w:t>
      </w:r>
      <w:r>
        <w:rPr>
          <w:rFonts w:ascii="Arial" w:hAnsi="Arial"/>
        </w:rPr>
        <w:t xml:space="preserve">ent to zebrafish stage ~5.5 </w:t>
      </w:r>
      <w:proofErr w:type="spellStart"/>
      <w:r>
        <w:rPr>
          <w:rFonts w:ascii="Arial" w:hAnsi="Arial"/>
        </w:rPr>
        <w:t>dpf</w:t>
      </w:r>
      <w:proofErr w:type="spellEnd"/>
      <w:r w:rsidRPr="00EE477C">
        <w:rPr>
          <w:rFonts w:ascii="Arial" w:hAnsi="Arial"/>
        </w:rPr>
        <w:t>.</w:t>
      </w:r>
      <w:proofErr w:type="gramEnd"/>
      <w:r w:rsidRPr="00EE477C">
        <w:rPr>
          <w:rFonts w:ascii="Arial" w:hAnsi="Arial"/>
        </w:rPr>
        <w:t xml:space="preserve"> </w:t>
      </w:r>
    </w:p>
    <w:p w:rsidR="00C004C0" w:rsidRDefault="00C004C0" w:rsidP="00450BD9">
      <w:pPr>
        <w:spacing w:line="480" w:lineRule="auto"/>
        <w:rPr>
          <w:rFonts w:ascii="Arial" w:hAnsi="Arial"/>
        </w:rPr>
      </w:pPr>
    </w:p>
    <w:p w:rsidR="00C004C0" w:rsidRDefault="00C004C0" w:rsidP="00450BD9">
      <w:pPr>
        <w:spacing w:line="480" w:lineRule="auto"/>
        <w:rPr>
          <w:rFonts w:ascii="Arial" w:hAnsi="Arial"/>
        </w:rPr>
      </w:pPr>
      <w:r>
        <w:rPr>
          <w:rFonts w:ascii="Arial" w:hAnsi="Arial"/>
        </w:rPr>
        <w:t>Beyond specific developmental stages, it is important to note that the yolk sac was nearly absorbed in the oldest notothenioid specimens sampled, marking the onset of exogenous feed</w:t>
      </w:r>
      <w:r>
        <w:rPr>
          <w:rFonts w:ascii="Arial" w:hAnsi="Arial"/>
        </w:rPr>
        <w:t>ing</w:t>
      </w:r>
      <w:r>
        <w:rPr>
          <w:rFonts w:ascii="Arial" w:hAnsi="Arial"/>
        </w:rPr>
        <w:t xml:space="preserve">. In both zebrafish and stickleback, and indeed most </w:t>
      </w:r>
      <w:proofErr w:type="spellStart"/>
      <w:r>
        <w:rPr>
          <w:rFonts w:ascii="Arial" w:hAnsi="Arial"/>
        </w:rPr>
        <w:t>teleost</w:t>
      </w:r>
      <w:proofErr w:type="spellEnd"/>
      <w:r>
        <w:rPr>
          <w:rFonts w:ascii="Arial" w:hAnsi="Arial"/>
        </w:rPr>
        <w:t xml:space="preserve"> species, the craniofacial skeleton is well mineralized by this developmental event to accommodate the functional demands of feeding. The observation that </w:t>
      </w:r>
      <w:r w:rsidR="00582D76" w:rsidRPr="00582D76">
        <w:rPr>
          <w:rFonts w:ascii="Arial" w:hAnsi="Arial"/>
        </w:rPr>
        <w:t xml:space="preserve">notothenioids lack this mineralization at hatching </w:t>
      </w:r>
      <w:r>
        <w:rPr>
          <w:rFonts w:ascii="Arial" w:hAnsi="Arial"/>
        </w:rPr>
        <w:t xml:space="preserve">is significant and supports our conclusion that the </w:t>
      </w:r>
      <w:proofErr w:type="spellStart"/>
      <w:r>
        <w:rPr>
          <w:rFonts w:ascii="Arial" w:hAnsi="Arial"/>
        </w:rPr>
        <w:t>osteogenic</w:t>
      </w:r>
      <w:proofErr w:type="spellEnd"/>
      <w:r>
        <w:rPr>
          <w:rFonts w:ascii="Arial" w:hAnsi="Arial"/>
        </w:rPr>
        <w:t xml:space="preserve"> developmental program is delayed in these species. </w:t>
      </w:r>
      <w:r w:rsidRPr="00EE477C">
        <w:rPr>
          <w:rFonts w:ascii="Arial" w:hAnsi="Arial"/>
        </w:rPr>
        <w:t xml:space="preserve">Abbreviations: </w:t>
      </w:r>
      <w:proofErr w:type="spellStart"/>
      <w:r w:rsidRPr="00EE477C">
        <w:rPr>
          <w:rFonts w:ascii="Arial" w:hAnsi="Arial"/>
        </w:rPr>
        <w:t>abc</w:t>
      </w:r>
      <w:proofErr w:type="spellEnd"/>
      <w:r w:rsidRPr="00EE477C">
        <w:rPr>
          <w:rFonts w:ascii="Arial" w:hAnsi="Arial"/>
        </w:rPr>
        <w:t xml:space="preserve">, anterior </w:t>
      </w:r>
      <w:proofErr w:type="spellStart"/>
      <w:r w:rsidRPr="00EE477C">
        <w:rPr>
          <w:rFonts w:ascii="Arial" w:hAnsi="Arial"/>
        </w:rPr>
        <w:t>basicranial</w:t>
      </w:r>
      <w:proofErr w:type="spellEnd"/>
      <w:r w:rsidRPr="00EE477C">
        <w:rPr>
          <w:rFonts w:ascii="Arial" w:hAnsi="Arial"/>
        </w:rPr>
        <w:t xml:space="preserve"> </w:t>
      </w:r>
      <w:proofErr w:type="spellStart"/>
      <w:r w:rsidRPr="00EE477C">
        <w:rPr>
          <w:rFonts w:ascii="Arial" w:hAnsi="Arial"/>
        </w:rPr>
        <w:t>commissure</w:t>
      </w:r>
      <w:proofErr w:type="spellEnd"/>
      <w:r w:rsidRPr="00EE477C">
        <w:rPr>
          <w:rFonts w:ascii="Arial" w:hAnsi="Arial"/>
        </w:rPr>
        <w:t xml:space="preserve">; </w:t>
      </w:r>
      <w:proofErr w:type="spellStart"/>
      <w:r w:rsidRPr="00EE477C">
        <w:rPr>
          <w:rFonts w:ascii="Arial" w:hAnsi="Arial"/>
        </w:rPr>
        <w:t>ch</w:t>
      </w:r>
      <w:proofErr w:type="spellEnd"/>
      <w:r w:rsidRPr="00EE477C">
        <w:rPr>
          <w:rFonts w:ascii="Arial" w:hAnsi="Arial"/>
        </w:rPr>
        <w:t xml:space="preserve">, </w:t>
      </w:r>
      <w:proofErr w:type="spellStart"/>
      <w:r w:rsidRPr="00EE477C">
        <w:rPr>
          <w:rFonts w:ascii="Arial" w:hAnsi="Arial"/>
        </w:rPr>
        <w:t>ceratohyal</w:t>
      </w:r>
      <w:proofErr w:type="spellEnd"/>
      <w:r w:rsidRPr="00EE477C">
        <w:rPr>
          <w:rFonts w:ascii="Arial" w:hAnsi="Arial"/>
        </w:rPr>
        <w:t xml:space="preserve">; </w:t>
      </w:r>
      <w:proofErr w:type="spellStart"/>
      <w:r w:rsidRPr="00EE477C">
        <w:rPr>
          <w:rFonts w:ascii="Arial" w:hAnsi="Arial"/>
        </w:rPr>
        <w:t>hs</w:t>
      </w:r>
      <w:proofErr w:type="spellEnd"/>
      <w:r w:rsidRPr="00EE477C">
        <w:rPr>
          <w:rFonts w:ascii="Arial" w:hAnsi="Arial"/>
        </w:rPr>
        <w:t xml:space="preserve">, </w:t>
      </w:r>
      <w:proofErr w:type="spellStart"/>
      <w:r w:rsidRPr="00EE477C">
        <w:rPr>
          <w:rFonts w:ascii="Arial" w:hAnsi="Arial"/>
        </w:rPr>
        <w:t>hyosymplectic</w:t>
      </w:r>
      <w:proofErr w:type="spellEnd"/>
      <w:r w:rsidRPr="00EE477C">
        <w:rPr>
          <w:rFonts w:ascii="Arial" w:hAnsi="Arial"/>
        </w:rPr>
        <w:t xml:space="preserve">; me, </w:t>
      </w:r>
      <w:proofErr w:type="spellStart"/>
      <w:r w:rsidRPr="00EE477C">
        <w:rPr>
          <w:rFonts w:ascii="Arial" w:hAnsi="Arial"/>
        </w:rPr>
        <w:t>Meckel’s</w:t>
      </w:r>
      <w:proofErr w:type="spellEnd"/>
      <w:r w:rsidRPr="00EE477C">
        <w:rPr>
          <w:rFonts w:ascii="Arial" w:hAnsi="Arial"/>
        </w:rPr>
        <w:t xml:space="preserve"> cartilage; </w:t>
      </w:r>
      <w:proofErr w:type="spellStart"/>
      <w:r w:rsidRPr="00EE477C">
        <w:rPr>
          <w:rFonts w:ascii="Arial" w:hAnsi="Arial"/>
        </w:rPr>
        <w:t>pbc</w:t>
      </w:r>
      <w:proofErr w:type="spellEnd"/>
      <w:r w:rsidRPr="00EE477C">
        <w:rPr>
          <w:rFonts w:ascii="Arial" w:hAnsi="Arial"/>
        </w:rPr>
        <w:t xml:space="preserve">, posterior </w:t>
      </w:r>
      <w:proofErr w:type="spellStart"/>
      <w:r w:rsidRPr="00EE477C">
        <w:rPr>
          <w:rFonts w:ascii="Arial" w:hAnsi="Arial"/>
        </w:rPr>
        <w:t>basicranial</w:t>
      </w:r>
      <w:proofErr w:type="spellEnd"/>
      <w:r w:rsidRPr="00EE477C">
        <w:rPr>
          <w:rFonts w:ascii="Arial" w:hAnsi="Arial"/>
        </w:rPr>
        <w:t xml:space="preserve"> </w:t>
      </w:r>
      <w:proofErr w:type="spellStart"/>
      <w:r w:rsidRPr="00EE477C">
        <w:rPr>
          <w:rFonts w:ascii="Arial" w:hAnsi="Arial"/>
        </w:rPr>
        <w:t>commissure</w:t>
      </w:r>
      <w:proofErr w:type="spellEnd"/>
      <w:r w:rsidRPr="00EE477C">
        <w:rPr>
          <w:rFonts w:ascii="Arial" w:hAnsi="Arial"/>
        </w:rPr>
        <w:t xml:space="preserve">; </w:t>
      </w:r>
      <w:proofErr w:type="spellStart"/>
      <w:r w:rsidRPr="00EE477C">
        <w:rPr>
          <w:rFonts w:ascii="Arial" w:hAnsi="Arial"/>
        </w:rPr>
        <w:t>pq</w:t>
      </w:r>
      <w:proofErr w:type="spellEnd"/>
      <w:r w:rsidRPr="00EE477C">
        <w:rPr>
          <w:rFonts w:ascii="Arial" w:hAnsi="Arial"/>
        </w:rPr>
        <w:t xml:space="preserve">, </w:t>
      </w:r>
      <w:proofErr w:type="spellStart"/>
      <w:r w:rsidRPr="00EE477C">
        <w:rPr>
          <w:rFonts w:ascii="Arial" w:hAnsi="Arial"/>
        </w:rPr>
        <w:t>palatoquadrate</w:t>
      </w:r>
      <w:proofErr w:type="spellEnd"/>
      <w:r w:rsidRPr="00EE477C">
        <w:rPr>
          <w:rFonts w:ascii="Arial" w:hAnsi="Arial"/>
        </w:rPr>
        <w:t>.</w:t>
      </w:r>
      <w:r w:rsidRPr="006550C1">
        <w:rPr>
          <w:rFonts w:ascii="Arial" w:hAnsi="Arial"/>
        </w:rPr>
        <w:t xml:space="preserve"> </w:t>
      </w:r>
      <w:r w:rsidRPr="00EE477C">
        <w:rPr>
          <w:rFonts w:ascii="Arial" w:hAnsi="Arial"/>
        </w:rPr>
        <w:t>Scale bars</w:t>
      </w:r>
      <w:r>
        <w:rPr>
          <w:rFonts w:ascii="Arial" w:hAnsi="Arial"/>
        </w:rPr>
        <w:t>,</w:t>
      </w:r>
      <w:r w:rsidRPr="00EE477C">
        <w:rPr>
          <w:rFonts w:ascii="Arial" w:hAnsi="Arial"/>
        </w:rPr>
        <w:t xml:space="preserve"> 200 </w:t>
      </w:r>
      <w:r w:rsidRPr="00EE477C">
        <w:rPr>
          <w:rFonts w:ascii="Arial" w:hAnsi="Arial"/>
          <w:lang w:val="el-GR"/>
        </w:rPr>
        <w:t>μ</w:t>
      </w:r>
      <w:r w:rsidRPr="00EE477C">
        <w:rPr>
          <w:rFonts w:ascii="Arial" w:hAnsi="Arial"/>
        </w:rPr>
        <w:t>m.</w:t>
      </w:r>
    </w:p>
    <w:p w:rsidR="00C004C0" w:rsidRDefault="00C004C0" w:rsidP="00450BD9">
      <w:pPr>
        <w:spacing w:line="480" w:lineRule="auto"/>
        <w:rPr>
          <w:rFonts w:ascii="Arial" w:hAnsi="Arial"/>
        </w:rPr>
      </w:pPr>
    </w:p>
    <w:p w:rsidR="00C004C0" w:rsidRDefault="00C004C0" w:rsidP="00450BD9">
      <w:pPr>
        <w:spacing w:line="480" w:lineRule="auto"/>
        <w:rPr>
          <w:rFonts w:ascii="Arial" w:hAnsi="Arial"/>
        </w:rPr>
      </w:pPr>
    </w:p>
    <w:p w:rsidR="00C004C0" w:rsidRDefault="00C004C0" w:rsidP="00D74219">
      <w:pPr>
        <w:spacing w:line="480" w:lineRule="auto"/>
      </w:pPr>
    </w:p>
    <w:sectPr w:rsidR="00C004C0" w:rsidSect="001E6792">
      <w:pgSz w:w="12240" w:h="15840"/>
      <w:pgMar w:top="1440" w:right="1800" w:bottom="1440" w:left="1800" w:gutter="0"/>
      <w:docGrid w:linePitch="36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FFFFFF1D"/>
    <w:multiLevelType w:val="multilevel"/>
    <w:tmpl w:val="ECE0EFD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73341A2C"/>
    <w:lvl w:ilvl="0">
      <w:start w:val="1"/>
      <w:numFmt w:val="decimal"/>
      <w:lvlText w:val="%1."/>
      <w:lvlJc w:val="left"/>
      <w:pPr>
        <w:tabs>
          <w:tab w:val="num" w:pos="1800"/>
        </w:tabs>
        <w:ind w:left="1800" w:hanging="360"/>
      </w:pPr>
      <w:rPr>
        <w:rFonts w:cs="Times New Roman"/>
      </w:rPr>
    </w:lvl>
  </w:abstractNum>
  <w:abstractNum w:abstractNumId="2">
    <w:nsid w:val="FFFFFF7D"/>
    <w:multiLevelType w:val="singleLevel"/>
    <w:tmpl w:val="39502E2A"/>
    <w:lvl w:ilvl="0">
      <w:start w:val="1"/>
      <w:numFmt w:val="decimal"/>
      <w:lvlText w:val="%1."/>
      <w:lvlJc w:val="left"/>
      <w:pPr>
        <w:tabs>
          <w:tab w:val="num" w:pos="1440"/>
        </w:tabs>
        <w:ind w:left="1440" w:hanging="360"/>
      </w:pPr>
      <w:rPr>
        <w:rFonts w:cs="Times New Roman"/>
      </w:rPr>
    </w:lvl>
  </w:abstractNum>
  <w:abstractNum w:abstractNumId="3">
    <w:nsid w:val="FFFFFF7E"/>
    <w:multiLevelType w:val="singleLevel"/>
    <w:tmpl w:val="D0861ED2"/>
    <w:lvl w:ilvl="0">
      <w:start w:val="1"/>
      <w:numFmt w:val="decimal"/>
      <w:lvlText w:val="%1."/>
      <w:lvlJc w:val="left"/>
      <w:pPr>
        <w:tabs>
          <w:tab w:val="num" w:pos="1080"/>
        </w:tabs>
        <w:ind w:left="1080" w:hanging="360"/>
      </w:pPr>
      <w:rPr>
        <w:rFonts w:cs="Times New Roman"/>
      </w:rPr>
    </w:lvl>
  </w:abstractNum>
  <w:abstractNum w:abstractNumId="4">
    <w:nsid w:val="FFFFFF7F"/>
    <w:multiLevelType w:val="singleLevel"/>
    <w:tmpl w:val="05362950"/>
    <w:lvl w:ilvl="0">
      <w:start w:val="1"/>
      <w:numFmt w:val="decimal"/>
      <w:lvlText w:val="%1."/>
      <w:lvlJc w:val="left"/>
      <w:pPr>
        <w:tabs>
          <w:tab w:val="num" w:pos="720"/>
        </w:tabs>
        <w:ind w:left="720" w:hanging="360"/>
      </w:pPr>
      <w:rPr>
        <w:rFonts w:cs="Times New Roman"/>
      </w:rPr>
    </w:lvl>
  </w:abstractNum>
  <w:abstractNum w:abstractNumId="5">
    <w:nsid w:val="FFFFFF80"/>
    <w:multiLevelType w:val="singleLevel"/>
    <w:tmpl w:val="2BE2EF1A"/>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A2C652C"/>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12860744"/>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44365A40"/>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B26EB9F2"/>
    <w:lvl w:ilvl="0">
      <w:start w:val="1"/>
      <w:numFmt w:val="decimal"/>
      <w:lvlText w:val="%1."/>
      <w:lvlJc w:val="left"/>
      <w:pPr>
        <w:tabs>
          <w:tab w:val="num" w:pos="360"/>
        </w:tabs>
        <w:ind w:left="360" w:hanging="360"/>
      </w:pPr>
      <w:rPr>
        <w:rFonts w:cs="Times New Roman"/>
      </w:rPr>
    </w:lvl>
  </w:abstractNum>
  <w:abstractNum w:abstractNumId="10">
    <w:nsid w:val="FFFFFF89"/>
    <w:multiLevelType w:val="singleLevel"/>
    <w:tmpl w:val="EAC891B4"/>
    <w:lvl w:ilvl="0">
      <w:start w:val="1"/>
      <w:numFmt w:val="bullet"/>
      <w:lvlText w:val=""/>
      <w:lvlJc w:val="left"/>
      <w:pPr>
        <w:tabs>
          <w:tab w:val="num" w:pos="360"/>
        </w:tabs>
        <w:ind w:left="360" w:hanging="360"/>
      </w:pPr>
      <w:rPr>
        <w:rFonts w:ascii="Symbol" w:hAnsi="Symbol" w:hint="default"/>
      </w:rPr>
    </w:lvl>
  </w:abstractNum>
  <w:abstractNum w:abstractNumId="11">
    <w:nsid w:val="07A56568"/>
    <w:multiLevelType w:val="hybridMultilevel"/>
    <w:tmpl w:val="77100508"/>
    <w:lvl w:ilvl="0" w:tplc="96964C54">
      <w:start w:val="1"/>
      <w:numFmt w:val="upperRoman"/>
      <w:lvlText w:val="%1."/>
      <w:lvlJc w:val="left"/>
      <w:pPr>
        <w:tabs>
          <w:tab w:val="num" w:pos="1080"/>
        </w:tabs>
        <w:ind w:left="1080" w:hanging="720"/>
      </w:pPr>
      <w:rPr>
        <w:rFonts w:cs="Times New Roman" w:hint="default"/>
      </w:rPr>
    </w:lvl>
    <w:lvl w:ilvl="1" w:tplc="00190409" w:tentative="1">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2">
    <w:nsid w:val="7F7C0ADF"/>
    <w:multiLevelType w:val="hybridMultilevel"/>
    <w:tmpl w:val="970E8A9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rsids>
    <w:rsidRoot w:val="00D74219"/>
    <w:rsid w:val="00141E38"/>
    <w:rsid w:val="0016186B"/>
    <w:rsid w:val="001B626A"/>
    <w:rsid w:val="001E6792"/>
    <w:rsid w:val="00222869"/>
    <w:rsid w:val="002D7D12"/>
    <w:rsid w:val="00337D2B"/>
    <w:rsid w:val="003806B9"/>
    <w:rsid w:val="003F1B1C"/>
    <w:rsid w:val="00450BD9"/>
    <w:rsid w:val="004D094E"/>
    <w:rsid w:val="00504C9C"/>
    <w:rsid w:val="005132E9"/>
    <w:rsid w:val="00582D76"/>
    <w:rsid w:val="006550C1"/>
    <w:rsid w:val="006A7AC2"/>
    <w:rsid w:val="00711737"/>
    <w:rsid w:val="007172A3"/>
    <w:rsid w:val="00767F44"/>
    <w:rsid w:val="00820FF8"/>
    <w:rsid w:val="008766B5"/>
    <w:rsid w:val="00894C97"/>
    <w:rsid w:val="008D0878"/>
    <w:rsid w:val="00927C0A"/>
    <w:rsid w:val="00930A2A"/>
    <w:rsid w:val="00986EC2"/>
    <w:rsid w:val="00A5118A"/>
    <w:rsid w:val="00B24607"/>
    <w:rsid w:val="00B24940"/>
    <w:rsid w:val="00C004C0"/>
    <w:rsid w:val="00C01271"/>
    <w:rsid w:val="00C337CC"/>
    <w:rsid w:val="00D74219"/>
    <w:rsid w:val="00DD7F8A"/>
    <w:rsid w:val="00E20BEC"/>
    <w:rsid w:val="00E51280"/>
    <w:rsid w:val="00EC0512"/>
    <w:rsid w:val="00EE477C"/>
    <w:rsid w:val="00F26FE5"/>
    <w:rsid w:val="00F34E31"/>
    <w:rsid w:val="00F66FA4"/>
    <w:rsid w:val="00F670A3"/>
  </w:rsids>
  <m:mathPr>
    <m:mathFont m:val="Lucida Grande"/>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en-US" w:eastAsia="en-US" w:bidi="ar-SA"/>
      </w:rPr>
    </w:rPrDefault>
    <w:pPrDefault/>
  </w:docDefaults>
  <w:latentStyles w:defLockedState="0" w:defUIPriority="0" w:defSemiHidden="0" w:defUnhideWhenUsed="0" w:defQFormat="0" w:count="276"/>
  <w:style w:type="paragraph" w:default="1" w:styleId="Normal">
    <w:name w:val="Normal"/>
    <w:qFormat/>
    <w:rsid w:val="00D74219"/>
    <w:rPr>
      <w:rFonts w:ascii="Times New Roman" w:eastAsia="Times New Roman" w:hAnsi="Times New Roman"/>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rsid w:val="00D74219"/>
    <w:rPr>
      <w:rFonts w:cs="Times New Roman"/>
      <w:color w:val="0000FF"/>
      <w:u w:val="single"/>
    </w:rPr>
  </w:style>
  <w:style w:type="paragraph" w:styleId="BalloonText">
    <w:name w:val="Balloon Text"/>
    <w:basedOn w:val="Normal"/>
    <w:link w:val="BalloonTextChar"/>
    <w:uiPriority w:val="99"/>
    <w:rsid w:val="00D74219"/>
    <w:rPr>
      <w:rFonts w:ascii="Lucida Grande" w:hAnsi="Lucida Grande"/>
      <w:sz w:val="18"/>
      <w:szCs w:val="18"/>
    </w:rPr>
  </w:style>
  <w:style w:type="character" w:customStyle="1" w:styleId="BalloonTextChar">
    <w:name w:val="Balloon Text Char"/>
    <w:basedOn w:val="DefaultParagraphFont"/>
    <w:link w:val="BalloonText"/>
    <w:uiPriority w:val="99"/>
    <w:locked/>
    <w:rsid w:val="00D74219"/>
    <w:rPr>
      <w:rFonts w:ascii="Lucida Grande" w:hAnsi="Lucida Grande" w:cs="Times New Roman"/>
      <w:sz w:val="18"/>
      <w:szCs w:val="18"/>
    </w:rPr>
  </w:style>
  <w:style w:type="paragraph" w:styleId="Footer">
    <w:name w:val="footer"/>
    <w:basedOn w:val="Normal"/>
    <w:link w:val="FooterChar"/>
    <w:uiPriority w:val="99"/>
    <w:semiHidden/>
    <w:rsid w:val="00D74219"/>
    <w:pPr>
      <w:tabs>
        <w:tab w:val="center" w:pos="4320"/>
        <w:tab w:val="right" w:pos="8640"/>
      </w:tabs>
    </w:pPr>
  </w:style>
  <w:style w:type="character" w:customStyle="1" w:styleId="FooterChar">
    <w:name w:val="Footer Char"/>
    <w:basedOn w:val="DefaultParagraphFont"/>
    <w:link w:val="Footer"/>
    <w:uiPriority w:val="99"/>
    <w:semiHidden/>
    <w:locked/>
    <w:rsid w:val="00D74219"/>
    <w:rPr>
      <w:rFonts w:ascii="Times New Roman" w:hAnsi="Times New Roman" w:cs="Times New Roman"/>
      <w:sz w:val="24"/>
      <w:szCs w:val="24"/>
    </w:rPr>
  </w:style>
  <w:style w:type="character" w:styleId="PageNumber">
    <w:name w:val="page number"/>
    <w:basedOn w:val="DefaultParagraphFont"/>
    <w:uiPriority w:val="99"/>
    <w:rsid w:val="00D74219"/>
    <w:rPr>
      <w:rFonts w:cs="Times New Roman"/>
    </w:rPr>
  </w:style>
  <w:style w:type="character" w:styleId="LineNumber">
    <w:name w:val="line number"/>
    <w:basedOn w:val="DefaultParagraphFont"/>
    <w:uiPriority w:val="99"/>
    <w:rsid w:val="00D74219"/>
    <w:rPr>
      <w:rFonts w:cs="Times New Roman"/>
    </w:rPr>
  </w:style>
  <w:style w:type="paragraph" w:styleId="Title">
    <w:name w:val="Title"/>
    <w:basedOn w:val="Normal"/>
    <w:link w:val="TitleChar"/>
    <w:uiPriority w:val="99"/>
    <w:qFormat/>
    <w:rsid w:val="00D74219"/>
    <w:pPr>
      <w:jc w:val="center"/>
    </w:pPr>
    <w:rPr>
      <w:rFonts w:ascii="Arial" w:eastAsia="Cambria" w:hAnsi="Arial"/>
      <w:b/>
    </w:rPr>
  </w:style>
  <w:style w:type="character" w:customStyle="1" w:styleId="TitleChar">
    <w:name w:val="Title Char"/>
    <w:basedOn w:val="DefaultParagraphFont"/>
    <w:link w:val="Title"/>
    <w:uiPriority w:val="99"/>
    <w:locked/>
    <w:rsid w:val="00D74219"/>
    <w:rPr>
      <w:rFonts w:ascii="Arial" w:eastAsia="Times New Roman" w:hAnsi="Arial" w:cs="Times New Roman"/>
      <w:b/>
      <w:sz w:val="24"/>
      <w:szCs w:val="24"/>
    </w:rPr>
  </w:style>
  <w:style w:type="character" w:styleId="CommentReference">
    <w:name w:val="annotation reference"/>
    <w:basedOn w:val="DefaultParagraphFont"/>
    <w:uiPriority w:val="99"/>
    <w:semiHidden/>
    <w:rsid w:val="00D74219"/>
    <w:rPr>
      <w:rFonts w:cs="Times New Roman"/>
      <w:sz w:val="16"/>
      <w:szCs w:val="16"/>
    </w:rPr>
  </w:style>
  <w:style w:type="paragraph" w:styleId="CommentText">
    <w:name w:val="annotation text"/>
    <w:basedOn w:val="Normal"/>
    <w:link w:val="CommentTextChar"/>
    <w:uiPriority w:val="99"/>
    <w:semiHidden/>
    <w:rsid w:val="00D74219"/>
    <w:rPr>
      <w:sz w:val="20"/>
      <w:szCs w:val="20"/>
    </w:rPr>
  </w:style>
  <w:style w:type="character" w:customStyle="1" w:styleId="CommentTextChar">
    <w:name w:val="Comment Text Char"/>
    <w:basedOn w:val="DefaultParagraphFont"/>
    <w:link w:val="CommentText"/>
    <w:uiPriority w:val="99"/>
    <w:semiHidden/>
    <w:locked/>
    <w:rsid w:val="00D74219"/>
    <w:rPr>
      <w:rFonts w:ascii="Times New Roman" w:hAnsi="Times New Roman" w:cs="Times New Roman"/>
    </w:rPr>
  </w:style>
  <w:style w:type="paragraph" w:styleId="CommentSubject">
    <w:name w:val="annotation subject"/>
    <w:basedOn w:val="CommentText"/>
    <w:next w:val="CommentText"/>
    <w:link w:val="CommentSubjectChar"/>
    <w:uiPriority w:val="99"/>
    <w:semiHidden/>
    <w:rsid w:val="00D74219"/>
    <w:rPr>
      <w:b/>
      <w:bCs/>
    </w:rPr>
  </w:style>
  <w:style w:type="character" w:customStyle="1" w:styleId="CommentSubjectChar">
    <w:name w:val="Comment Subject Char"/>
    <w:basedOn w:val="CommentTextChar"/>
    <w:link w:val="CommentSubject"/>
    <w:uiPriority w:val="99"/>
    <w:semiHidden/>
    <w:locked/>
    <w:rsid w:val="00D74219"/>
    <w:rPr>
      <w:b/>
      <w:bCs/>
    </w:rPr>
  </w:style>
  <w:style w:type="paragraph" w:styleId="ListParagraph">
    <w:name w:val="List Paragraph"/>
    <w:basedOn w:val="Normal"/>
    <w:uiPriority w:val="99"/>
    <w:qFormat/>
    <w:rsid w:val="00D74219"/>
    <w:pPr>
      <w:ind w:left="720"/>
      <w:contextualSpacing/>
    </w:pPr>
    <w:rPr>
      <w:rFonts w:ascii="Cambria" w:eastAsia="Cambria" w:hAnsi="Cambria"/>
    </w:rPr>
  </w:style>
  <w:style w:type="paragraph" w:styleId="Header">
    <w:name w:val="header"/>
    <w:basedOn w:val="Normal"/>
    <w:link w:val="HeaderChar"/>
    <w:uiPriority w:val="99"/>
    <w:semiHidden/>
    <w:rsid w:val="00D74219"/>
    <w:pPr>
      <w:tabs>
        <w:tab w:val="center" w:pos="4320"/>
        <w:tab w:val="right" w:pos="8640"/>
      </w:tabs>
    </w:pPr>
  </w:style>
  <w:style w:type="character" w:customStyle="1" w:styleId="HeaderChar">
    <w:name w:val="Header Char"/>
    <w:basedOn w:val="DefaultParagraphFont"/>
    <w:link w:val="Header"/>
    <w:uiPriority w:val="99"/>
    <w:semiHidden/>
    <w:locked/>
    <w:rsid w:val="00D74219"/>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05136549">
      <w:marLeft w:val="0"/>
      <w:marRight w:val="0"/>
      <w:marTop w:val="0"/>
      <w:marBottom w:val="0"/>
      <w:divBdr>
        <w:top w:val="none" w:sz="0" w:space="0" w:color="auto"/>
        <w:left w:val="none" w:sz="0" w:space="0" w:color="auto"/>
        <w:bottom w:val="none" w:sz="0" w:space="0" w:color="auto"/>
        <w:right w:val="none" w:sz="0" w:space="0" w:color="auto"/>
      </w:divBdr>
    </w:div>
    <w:div w:id="1705136550">
      <w:marLeft w:val="0"/>
      <w:marRight w:val="0"/>
      <w:marTop w:val="0"/>
      <w:marBottom w:val="0"/>
      <w:divBdr>
        <w:top w:val="none" w:sz="0" w:space="0" w:color="auto"/>
        <w:left w:val="none" w:sz="0" w:space="0" w:color="auto"/>
        <w:bottom w:val="none" w:sz="0" w:space="0" w:color="auto"/>
        <w:right w:val="none" w:sz="0" w:space="0" w:color="auto"/>
      </w:divBdr>
    </w:div>
    <w:div w:id="1705136551">
      <w:marLeft w:val="0"/>
      <w:marRight w:val="0"/>
      <w:marTop w:val="0"/>
      <w:marBottom w:val="0"/>
      <w:divBdr>
        <w:top w:val="none" w:sz="0" w:space="0" w:color="auto"/>
        <w:left w:val="none" w:sz="0" w:space="0" w:color="auto"/>
        <w:bottom w:val="none" w:sz="0" w:space="0" w:color="auto"/>
        <w:right w:val="none" w:sz="0" w:space="0" w:color="auto"/>
      </w:divBdr>
    </w:div>
    <w:div w:id="1705136552">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4" Type="http://schemas.openxmlformats.org/officeDocument/2006/relationships/webSettings" Target="webSettings.xml"/><Relationship Id="rId5" Type="http://schemas.openxmlformats.org/officeDocument/2006/relationships/image" Target="media/image1.png"/><Relationship Id="rId7"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6"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1089</Words>
  <Characters>6210</Characters>
  <Application>Microsoft Word 12.1.0</Application>
  <DocSecurity>0</DocSecurity>
  <Lines>51</Lines>
  <Paragraphs>12</Paragraphs>
  <ScaleCrop>false</ScaleCrop>
  <Company>Syracuse University</Company>
  <LinksUpToDate>false</LinksUpToDate>
  <CharactersWithSpaces>7626</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Craig Albertson</dc:creator>
  <cp:keywords/>
  <dc:description/>
  <cp:lastModifiedBy>Craig Albertson</cp:lastModifiedBy>
  <cp:revision>3</cp:revision>
  <dcterms:created xsi:type="dcterms:W3CDTF">2009-12-04T21:05:00Z</dcterms:created>
  <dcterms:modified xsi:type="dcterms:W3CDTF">2009-12-04T21:05:00Z</dcterms:modified>
</cp:coreProperties>
</file>