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EB" w:rsidRPr="00133D86" w:rsidRDefault="00B207EB" w:rsidP="00410A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3D86">
        <w:rPr>
          <w:rFonts w:ascii="Times New Roman" w:hAnsi="Times New Roman"/>
          <w:b/>
          <w:sz w:val="24"/>
          <w:szCs w:val="24"/>
        </w:rPr>
        <w:t xml:space="preserve">Supplementary </w:t>
      </w:r>
      <w:r w:rsidR="004C7D17" w:rsidRPr="00133D86">
        <w:rPr>
          <w:rFonts w:ascii="Times New Roman" w:hAnsi="Times New Roman"/>
          <w:b/>
          <w:sz w:val="24"/>
          <w:szCs w:val="24"/>
        </w:rPr>
        <w:t>figures</w:t>
      </w:r>
    </w:p>
    <w:p w:rsidR="00B207EB" w:rsidRPr="00133D86" w:rsidRDefault="00B207EB" w:rsidP="00B207EB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710418" cy="3107803"/>
            <wp:effectExtent l="19050" t="0" r="4582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10" cy="310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A9D" w:rsidRDefault="00E01CB1" w:rsidP="00B207EB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  <w:r w:rsidRPr="00133D86">
        <w:rPr>
          <w:rFonts w:ascii="Times New Roman" w:hAnsi="Times New Roman"/>
          <w:color w:val="002060"/>
          <w:sz w:val="24"/>
          <w:szCs w:val="24"/>
        </w:rPr>
        <w:t xml:space="preserve">Supplementary </w:t>
      </w:r>
      <w:r w:rsidR="00B207EB" w:rsidRPr="00133D86">
        <w:rPr>
          <w:rFonts w:ascii="Times New Roman" w:hAnsi="Times New Roman"/>
          <w:color w:val="002060"/>
          <w:sz w:val="24"/>
          <w:szCs w:val="24"/>
        </w:rPr>
        <w:t>Figure</w:t>
      </w:r>
      <w:r w:rsidR="008A6E77" w:rsidRPr="00133D86">
        <w:rPr>
          <w:rFonts w:ascii="Times New Roman" w:hAnsi="Times New Roman"/>
          <w:color w:val="002060"/>
          <w:sz w:val="24"/>
          <w:szCs w:val="24"/>
        </w:rPr>
        <w:t xml:space="preserve"> SF1</w:t>
      </w:r>
      <w:r w:rsidR="003724BF" w:rsidRPr="00133D86">
        <w:rPr>
          <w:rFonts w:ascii="Times New Roman" w:hAnsi="Times New Roman"/>
          <w:color w:val="002060"/>
          <w:sz w:val="24"/>
          <w:szCs w:val="24"/>
        </w:rPr>
        <w:t xml:space="preserve">: Cluster of high </w:t>
      </w:r>
      <w:r w:rsidR="00B207EB" w:rsidRPr="00133D86">
        <w:rPr>
          <w:rFonts w:ascii="Times New Roman" w:hAnsi="Times New Roman"/>
          <w:color w:val="002060"/>
          <w:sz w:val="24"/>
          <w:szCs w:val="24"/>
        </w:rPr>
        <w:t>GC</w:t>
      </w:r>
      <w:r w:rsidR="00B207E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B207EB" w:rsidRPr="00133D86">
        <w:rPr>
          <w:rFonts w:ascii="Times New Roman" w:hAnsi="Times New Roman"/>
          <w:color w:val="002060"/>
          <w:sz w:val="24"/>
          <w:szCs w:val="24"/>
        </w:rPr>
        <w:t xml:space="preserve"> genes on rice chromosome 11, </w:t>
      </w:r>
      <w:r w:rsidR="003724BF" w:rsidRPr="00133D86">
        <w:rPr>
          <w:rFonts w:ascii="Times New Roman" w:hAnsi="Times New Roman"/>
          <w:color w:val="002060"/>
          <w:sz w:val="24"/>
          <w:szCs w:val="24"/>
        </w:rPr>
        <w:t xml:space="preserve">as </w:t>
      </w:r>
      <w:r w:rsidR="00B207EB" w:rsidRPr="00133D86">
        <w:rPr>
          <w:rFonts w:ascii="Times New Roman" w:hAnsi="Times New Roman"/>
          <w:color w:val="002060"/>
          <w:sz w:val="24"/>
          <w:szCs w:val="24"/>
        </w:rPr>
        <w:t>shown in TIGR genome browser (</w:t>
      </w:r>
      <w:hyperlink r:id="rId9" w:history="1">
        <w:r w:rsidR="004C4FFB" w:rsidRPr="00133D86">
          <w:rPr>
            <w:rStyle w:val="Hyperlink"/>
            <w:rFonts w:ascii="Times New Roman" w:hAnsi="Times New Roman"/>
            <w:sz w:val="24"/>
            <w:szCs w:val="24"/>
          </w:rPr>
          <w:t>www.tigr.org</w:t>
        </w:r>
      </w:hyperlink>
      <w:r w:rsidR="00B207EB" w:rsidRPr="00133D86">
        <w:rPr>
          <w:rFonts w:ascii="Times New Roman" w:hAnsi="Times New Roman"/>
          <w:color w:val="002060"/>
          <w:sz w:val="24"/>
          <w:szCs w:val="24"/>
        </w:rPr>
        <w:t>)</w:t>
      </w:r>
    </w:p>
    <w:p w:rsidR="00DB4A9D" w:rsidRDefault="00DB4A9D" w:rsidP="00DB4A9D">
      <w:r>
        <w:br w:type="page"/>
      </w:r>
    </w:p>
    <w:p w:rsidR="00183FBA" w:rsidRPr="00133D86" w:rsidRDefault="00183FBA" w:rsidP="00183FBA">
      <w:pPr>
        <w:keepNext/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b/>
          <w:noProof/>
          <w:color w:val="002060"/>
          <w:sz w:val="24"/>
          <w:szCs w:val="24"/>
          <w:lang w:val="en-GB" w:eastAsia="en-GB"/>
        </w:rPr>
        <w:lastRenderedPageBreak/>
        <w:drawing>
          <wp:inline distT="0" distB="0" distL="0" distR="0">
            <wp:extent cx="5214866" cy="3111690"/>
            <wp:effectExtent l="19050" t="0" r="23884" b="0"/>
            <wp:docPr id="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F6EE4" w:rsidRDefault="00183FBA" w:rsidP="00183FBA">
      <w:pPr>
        <w:pStyle w:val="Caption"/>
        <w:rPr>
          <w:rFonts w:ascii="Times New Roman" w:hAnsi="Times New Roman"/>
          <w:color w:val="002060"/>
          <w:sz w:val="24"/>
          <w:szCs w:val="24"/>
        </w:rPr>
      </w:pPr>
      <w:r w:rsidRPr="00133D86">
        <w:rPr>
          <w:rFonts w:ascii="Times New Roman" w:hAnsi="Times New Roman"/>
          <w:color w:val="002060"/>
          <w:sz w:val="24"/>
          <w:szCs w:val="24"/>
        </w:rPr>
        <w:t>Supplementary Figure SF</w:t>
      </w:r>
      <w:r>
        <w:rPr>
          <w:rFonts w:ascii="Times New Roman" w:hAnsi="Times New Roman"/>
          <w:color w:val="002060"/>
          <w:sz w:val="24"/>
          <w:szCs w:val="24"/>
        </w:rPr>
        <w:t>2</w:t>
      </w:r>
      <w:r w:rsidRPr="00133D86">
        <w:rPr>
          <w:rFonts w:ascii="Times New Roman" w:hAnsi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/>
          <w:color w:val="002060"/>
          <w:sz w:val="24"/>
          <w:szCs w:val="24"/>
        </w:rPr>
        <w:t xml:space="preserve">Frequency of a </w:t>
      </w:r>
      <w:r w:rsidRPr="00133D86">
        <w:rPr>
          <w:rFonts w:ascii="Times New Roman" w:hAnsi="Times New Roman"/>
          <w:color w:val="002060"/>
          <w:sz w:val="24"/>
          <w:szCs w:val="24"/>
        </w:rPr>
        <w:t>canonical TATA-box in the 50 nucleotides upstream of the transcription start site</w:t>
      </w:r>
      <w:r>
        <w:rPr>
          <w:rFonts w:ascii="Times New Roman" w:hAnsi="Times New Roman"/>
          <w:color w:val="002060"/>
          <w:sz w:val="24"/>
          <w:szCs w:val="24"/>
        </w:rPr>
        <w:t xml:space="preserve"> for </w:t>
      </w:r>
      <w:r w:rsidRPr="00133D86">
        <w:rPr>
          <w:rFonts w:ascii="Times New Roman" w:hAnsi="Times New Roman"/>
          <w:color w:val="002060"/>
          <w:sz w:val="24"/>
          <w:szCs w:val="24"/>
        </w:rPr>
        <w:t xml:space="preserve">TSS predictions refined using </w:t>
      </w:r>
      <w:r>
        <w:rPr>
          <w:rFonts w:ascii="Times New Roman" w:hAnsi="Times New Roman"/>
          <w:color w:val="002060"/>
          <w:sz w:val="24"/>
          <w:szCs w:val="24"/>
        </w:rPr>
        <w:t xml:space="preserve">the </w:t>
      </w:r>
      <w:r w:rsidRPr="00133D86">
        <w:rPr>
          <w:rFonts w:ascii="Times New Roman" w:hAnsi="Times New Roman"/>
          <w:color w:val="002060"/>
          <w:sz w:val="24"/>
          <w:szCs w:val="24"/>
        </w:rPr>
        <w:t>TSSer</w:t>
      </w:r>
      <w:r>
        <w:rPr>
          <w:rFonts w:ascii="Times New Roman" w:hAnsi="Times New Roman"/>
          <w:color w:val="002060"/>
          <w:sz w:val="24"/>
          <w:szCs w:val="24"/>
        </w:rPr>
        <w:t xml:space="preserve"> algorithm.</w:t>
      </w:r>
      <w:r w:rsidRPr="00133D86">
        <w:rPr>
          <w:rFonts w:ascii="Times New Roman" w:hAnsi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/>
          <w:color w:val="002060"/>
          <w:sz w:val="24"/>
          <w:szCs w:val="24"/>
        </w:rPr>
        <w:t xml:space="preserve">Overall, </w:t>
      </w:r>
      <w:r w:rsidRPr="00133D86">
        <w:rPr>
          <w:rFonts w:ascii="Times New Roman" w:hAnsi="Times New Roman"/>
          <w:color w:val="002060"/>
          <w:sz w:val="24"/>
          <w:szCs w:val="24"/>
        </w:rPr>
        <w:t>48% of rice promoters contain a canonical TATA-box</w:t>
      </w:r>
      <w:r>
        <w:rPr>
          <w:rFonts w:ascii="Times New Roman" w:hAnsi="Times New Roman"/>
          <w:color w:val="002060"/>
          <w:sz w:val="24"/>
          <w:szCs w:val="24"/>
        </w:rPr>
        <w:t>; o</w:t>
      </w:r>
      <w:r w:rsidRPr="00133D86">
        <w:rPr>
          <w:rFonts w:ascii="Times New Roman" w:hAnsi="Times New Roman"/>
          <w:color w:val="002060"/>
          <w:sz w:val="24"/>
          <w:szCs w:val="24"/>
        </w:rPr>
        <w:t>nly 33% of genes with GC</w:t>
      </w:r>
      <w:r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Pr="00133D86">
        <w:rPr>
          <w:rFonts w:ascii="Times New Roman" w:hAnsi="Times New Roman"/>
          <w:color w:val="002060"/>
          <w:sz w:val="24"/>
          <w:szCs w:val="24"/>
        </w:rPr>
        <w:t xml:space="preserve"> &lt; 0.45 are equipped with TATA+ promoters as compared to 68% of those with GC</w:t>
      </w:r>
      <w:r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Pr="00133D86">
        <w:rPr>
          <w:rFonts w:ascii="Times New Roman" w:hAnsi="Times New Roman"/>
          <w:color w:val="002060"/>
          <w:sz w:val="24"/>
          <w:szCs w:val="24"/>
        </w:rPr>
        <w:t xml:space="preserve"> &gt; 0.95</w:t>
      </w:r>
      <w:r>
        <w:rPr>
          <w:rFonts w:ascii="Times New Roman" w:hAnsi="Times New Roman"/>
          <w:color w:val="002060"/>
          <w:sz w:val="24"/>
          <w:szCs w:val="24"/>
        </w:rPr>
        <w:t>.</w:t>
      </w:r>
    </w:p>
    <w:p w:rsidR="00CF6EE4" w:rsidRDefault="00CF6EE4" w:rsidP="00CF6EE4">
      <w:r>
        <w:br w:type="page"/>
      </w:r>
    </w:p>
    <w:p w:rsidR="0086466E" w:rsidRPr="00133D86" w:rsidRDefault="0086466E" w:rsidP="0086466E">
      <w:pPr>
        <w:rPr>
          <w:rFonts w:ascii="Times New Roman" w:hAnsi="Times New Roman"/>
          <w:b/>
          <w:sz w:val="24"/>
          <w:szCs w:val="24"/>
        </w:rPr>
      </w:pPr>
      <w:r w:rsidRPr="00133D86">
        <w:rPr>
          <w:rFonts w:ascii="Times New Roman" w:hAnsi="Times New Roman"/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610225" cy="3314699"/>
            <wp:effectExtent l="19050" t="0" r="9525" b="1"/>
            <wp:docPr id="4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6466E" w:rsidRPr="00133D86" w:rsidRDefault="0086466E" w:rsidP="0086466E">
      <w:pPr>
        <w:rPr>
          <w:rFonts w:ascii="Times New Roman" w:hAnsi="Times New Roman"/>
          <w:b/>
          <w:color w:val="002060"/>
          <w:sz w:val="24"/>
          <w:szCs w:val="24"/>
        </w:rPr>
      </w:pPr>
      <w:r w:rsidRPr="00133D86">
        <w:rPr>
          <w:rFonts w:ascii="Times New Roman" w:hAnsi="Times New Roman"/>
          <w:b/>
          <w:color w:val="002060"/>
          <w:sz w:val="24"/>
          <w:szCs w:val="24"/>
        </w:rPr>
        <w:t>Supplementary Figure SF</w:t>
      </w:r>
      <w:r w:rsidR="00183FBA">
        <w:rPr>
          <w:rFonts w:ascii="Times New Roman" w:hAnsi="Times New Roman"/>
          <w:b/>
          <w:color w:val="002060"/>
          <w:sz w:val="24"/>
          <w:szCs w:val="24"/>
        </w:rPr>
        <w:t>3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>: Intron density as a function of GC</w:t>
      </w:r>
      <w:r w:rsidRPr="00133D86">
        <w:rPr>
          <w:rFonts w:ascii="Times New Roman" w:hAnsi="Times New Roman"/>
          <w:b/>
          <w:color w:val="002060"/>
          <w:sz w:val="24"/>
          <w:szCs w:val="24"/>
          <w:vertAlign w:val="subscript"/>
        </w:rPr>
        <w:t>3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 xml:space="preserve"> in </w:t>
      </w:r>
      <w:r w:rsidRPr="00133D86">
        <w:rPr>
          <w:rFonts w:ascii="Times New Roman" w:hAnsi="Times New Roman"/>
          <w:b/>
          <w:i/>
          <w:color w:val="002060"/>
          <w:sz w:val="24"/>
          <w:szCs w:val="24"/>
        </w:rPr>
        <w:t xml:space="preserve">Oryza sativa 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>and</w:t>
      </w:r>
      <w:r w:rsidRPr="00133D86">
        <w:rPr>
          <w:rFonts w:ascii="Times New Roman" w:hAnsi="Times New Roman"/>
          <w:b/>
          <w:i/>
          <w:color w:val="002060"/>
          <w:sz w:val="24"/>
          <w:szCs w:val="24"/>
        </w:rPr>
        <w:t xml:space="preserve"> Sorghum bicolor. 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 xml:space="preserve">Intron density is defined as a number of introns per 1000 nucleotides of transcript length. </w:t>
      </w:r>
    </w:p>
    <w:p w:rsidR="002B7265" w:rsidRPr="00133D86" w:rsidRDefault="002B7265" w:rsidP="002B7265">
      <w:pPr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562884" cy="3159457"/>
            <wp:effectExtent l="19050" t="0" r="18766" b="2843"/>
            <wp:docPr id="1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6466E" w:rsidRPr="00133D86" w:rsidRDefault="002B7265" w:rsidP="002B7265">
      <w:pPr>
        <w:rPr>
          <w:rFonts w:ascii="Times New Roman" w:hAnsi="Times New Roman"/>
          <w:b/>
          <w:sz w:val="24"/>
          <w:szCs w:val="24"/>
        </w:rPr>
      </w:pPr>
      <w:r w:rsidRPr="00133D86">
        <w:rPr>
          <w:rFonts w:ascii="Times New Roman" w:hAnsi="Times New Roman"/>
          <w:b/>
          <w:color w:val="002060"/>
          <w:sz w:val="24"/>
          <w:szCs w:val="24"/>
        </w:rPr>
        <w:t>Supplementary Figure SF</w:t>
      </w:r>
      <w:r w:rsidR="00183FBA">
        <w:rPr>
          <w:rFonts w:ascii="Times New Roman" w:hAnsi="Times New Roman"/>
          <w:b/>
          <w:color w:val="002060"/>
          <w:sz w:val="24"/>
          <w:szCs w:val="24"/>
        </w:rPr>
        <w:t>4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 xml:space="preserve">: Distribution of dinucleotides CG and GC in </w:t>
      </w:r>
      <w:r w:rsidRPr="00133D86">
        <w:rPr>
          <w:rFonts w:ascii="Times New Roman" w:hAnsi="Times New Roman"/>
          <w:b/>
          <w:i/>
          <w:color w:val="002060"/>
          <w:sz w:val="24"/>
          <w:szCs w:val="24"/>
        </w:rPr>
        <w:t>O. sativa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>, stratified by high (CG</w:t>
      </w:r>
      <w:r w:rsidRPr="00133D86">
        <w:rPr>
          <w:rFonts w:ascii="Times New Roman" w:hAnsi="Times New Roman"/>
          <w:b/>
          <w:color w:val="002060"/>
          <w:sz w:val="24"/>
          <w:szCs w:val="24"/>
          <w:vertAlign w:val="subscript"/>
        </w:rPr>
        <w:t>3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>&gt;0.8) and low (CG</w:t>
      </w:r>
      <w:r w:rsidRPr="00133D86">
        <w:rPr>
          <w:rFonts w:ascii="Times New Roman" w:hAnsi="Times New Roman"/>
          <w:b/>
          <w:color w:val="002060"/>
          <w:sz w:val="24"/>
          <w:szCs w:val="24"/>
          <w:vertAlign w:val="subscript"/>
        </w:rPr>
        <w:t>3</w:t>
      </w:r>
      <w:r w:rsidRPr="00133D86">
        <w:rPr>
          <w:rFonts w:ascii="Times New Roman" w:hAnsi="Times New Roman"/>
          <w:b/>
          <w:color w:val="002060"/>
          <w:sz w:val="24"/>
          <w:szCs w:val="24"/>
        </w:rPr>
        <w:t>&lt;0.8) CG content in the third position of the codon</w:t>
      </w:r>
      <w:r w:rsidR="00C36DA8" w:rsidRPr="00133D86">
        <w:rPr>
          <w:rFonts w:ascii="Times New Roman" w:hAnsi="Times New Roman"/>
          <w:b/>
          <w:color w:val="002060"/>
          <w:sz w:val="24"/>
          <w:szCs w:val="24"/>
        </w:rPr>
        <w:t>.</w:t>
      </w:r>
    </w:p>
    <w:p w:rsidR="004C4FFB" w:rsidRPr="00133D86" w:rsidRDefault="004C4FFB" w:rsidP="004C4FFB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4574401" cy="2742819"/>
            <wp:effectExtent l="12192" t="6096" r="8267" b="0"/>
            <wp:docPr id="6" name="Char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35BA0" w:rsidRPr="00133D86" w:rsidRDefault="00B35BA0" w:rsidP="004C4FFB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4574401" cy="2742819"/>
            <wp:effectExtent l="12192" t="6096" r="8267" b="0"/>
            <wp:docPr id="10" name="Pictur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C4FFB" w:rsidRPr="00133D86" w:rsidRDefault="00E01CB1" w:rsidP="004C4FFB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  <w:bookmarkStart w:id="0" w:name="_Ref234925863"/>
      <w:r w:rsidRPr="00133D86">
        <w:rPr>
          <w:rFonts w:ascii="Times New Roman" w:hAnsi="Times New Roman"/>
          <w:color w:val="002060"/>
          <w:sz w:val="24"/>
          <w:szCs w:val="24"/>
        </w:rPr>
        <w:t xml:space="preserve">Supplementary 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Figure </w:t>
      </w:r>
      <w:bookmarkEnd w:id="0"/>
      <w:r w:rsidR="004C4FFB" w:rsidRPr="00133D86">
        <w:rPr>
          <w:rFonts w:ascii="Times New Roman" w:hAnsi="Times New Roman"/>
          <w:color w:val="002060"/>
          <w:sz w:val="24"/>
          <w:szCs w:val="24"/>
        </w:rPr>
        <w:t>SF</w:t>
      </w:r>
      <w:r w:rsidR="00183FBA">
        <w:rPr>
          <w:rFonts w:ascii="Times New Roman" w:hAnsi="Times New Roman"/>
          <w:color w:val="002060"/>
          <w:sz w:val="24"/>
          <w:szCs w:val="24"/>
        </w:rPr>
        <w:t>5</w:t>
      </w:r>
      <w:r w:rsidRPr="00133D86">
        <w:rPr>
          <w:rFonts w:ascii="Times New Roman" w:hAnsi="Times New Roman"/>
          <w:color w:val="002060"/>
          <w:sz w:val="24"/>
          <w:szCs w:val="24"/>
        </w:rPr>
        <w:t>: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 Relative abundance</w:t>
      </w:r>
      <w:r w:rsidRPr="00133D86">
        <w:rPr>
          <w:rFonts w:ascii="Times New Roman" w:hAnsi="Times New Roman"/>
          <w:color w:val="002060"/>
          <w:sz w:val="24"/>
          <w:szCs w:val="24"/>
        </w:rPr>
        <w:t xml:space="preserve">s </w:t>
      </w:r>
      <w:r w:rsidRPr="00133D86">
        <w:rPr>
          <w:rFonts w:ascii="Times New Roman" w:hAnsi="Times New Roman"/>
          <w:color w:val="002060"/>
          <w:sz w:val="24"/>
          <w:szCs w:val="24"/>
          <w:lang w:val="el-GR"/>
        </w:rPr>
        <w:t>ρ</w:t>
      </w:r>
      <w:r w:rsidRPr="00133D86">
        <w:rPr>
          <w:rFonts w:ascii="Times New Roman" w:hAnsi="Times New Roman"/>
          <w:color w:val="002060"/>
          <w:sz w:val="24"/>
          <w:szCs w:val="24"/>
        </w:rPr>
        <w:t>C</w:t>
      </w:r>
      <w:r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Pr="00133D86">
        <w:rPr>
          <w:rFonts w:ascii="Times New Roman" w:hAnsi="Times New Roman"/>
          <w:color w:val="002060"/>
          <w:sz w:val="24"/>
          <w:szCs w:val="24"/>
        </w:rPr>
        <w:t>G</w:t>
      </w:r>
      <w:r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 xml:space="preserve">1 </w:t>
      </w:r>
      <w:r w:rsidRPr="00133D86">
        <w:rPr>
          <w:rFonts w:ascii="Times New Roman" w:hAnsi="Times New Roman"/>
          <w:color w:val="002060"/>
          <w:sz w:val="24"/>
          <w:szCs w:val="24"/>
        </w:rPr>
        <w:t>and ρC</w:t>
      </w:r>
      <w:r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2</w:t>
      </w:r>
      <w:r w:rsidRPr="00133D86">
        <w:rPr>
          <w:rFonts w:ascii="Times New Roman" w:hAnsi="Times New Roman"/>
          <w:color w:val="002060"/>
          <w:sz w:val="24"/>
          <w:szCs w:val="24"/>
        </w:rPr>
        <w:t>G</w:t>
      </w:r>
      <w:r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 xml:space="preserve">3 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of GC at the wobble position. For rice and sorghum, </w:t>
      </w:r>
      <w:r w:rsidRPr="00133D86">
        <w:rPr>
          <w:rFonts w:ascii="Times New Roman" w:hAnsi="Times New Roman"/>
          <w:color w:val="002060"/>
          <w:sz w:val="24"/>
          <w:szCs w:val="24"/>
        </w:rPr>
        <w:t xml:space="preserve">we defined 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>GC</w:t>
      </w:r>
      <w:r w:rsidR="004C4FF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 high is &gt;0.8 and GC</w:t>
      </w:r>
      <w:r w:rsidR="004C4FF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 low is &lt;0.5. For </w:t>
      </w:r>
      <w:r w:rsidR="0070457E">
        <w:rPr>
          <w:rFonts w:ascii="Times New Roman" w:hAnsi="Times New Roman"/>
          <w:color w:val="002060"/>
          <w:sz w:val="24"/>
          <w:szCs w:val="24"/>
        </w:rPr>
        <w:t>a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rabidopsis, we </w:t>
      </w:r>
      <w:r w:rsidRPr="00133D86">
        <w:rPr>
          <w:rFonts w:ascii="Times New Roman" w:hAnsi="Times New Roman"/>
          <w:color w:val="002060"/>
          <w:sz w:val="24"/>
          <w:szCs w:val="24"/>
        </w:rPr>
        <w:t>assumed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 GC</w:t>
      </w:r>
      <w:r w:rsidR="004C4FF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 high &gt;0.6 and GC</w:t>
      </w:r>
      <w:r w:rsidR="004C4FF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4C4FFB" w:rsidRPr="00133D86">
        <w:rPr>
          <w:rFonts w:ascii="Times New Roman" w:hAnsi="Times New Roman"/>
          <w:color w:val="002060"/>
          <w:sz w:val="24"/>
          <w:szCs w:val="24"/>
        </w:rPr>
        <w:t xml:space="preserve"> low&lt;0.3.</w:t>
      </w:r>
    </w:p>
    <w:p w:rsidR="00B35BA0" w:rsidRPr="00133D86" w:rsidRDefault="00B35BA0" w:rsidP="00B35BA0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</w:rPr>
        <w:lastRenderedPageBreak/>
        <w:t xml:space="preserve"> </w:t>
      </w:r>
    </w:p>
    <w:p w:rsidR="00B35BA0" w:rsidRPr="00133D86" w:rsidRDefault="00B35BA0" w:rsidP="00B35BA0">
      <w:pPr>
        <w:keepNext/>
        <w:tabs>
          <w:tab w:val="left" w:pos="163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767601" cy="3691719"/>
            <wp:effectExtent l="19050" t="0" r="23599" b="3981"/>
            <wp:docPr id="8" name="Chart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133D86">
        <w:rPr>
          <w:rFonts w:ascii="Times New Roman" w:hAnsi="Times New Roman"/>
          <w:noProof/>
          <w:sz w:val="24"/>
          <w:szCs w:val="24"/>
        </w:rPr>
        <w:tab/>
      </w:r>
    </w:p>
    <w:p w:rsidR="00274253" w:rsidRPr="00133D86" w:rsidRDefault="00274253" w:rsidP="00B35BA0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274253" w:rsidRPr="00133D86" w:rsidRDefault="00BD7A63" w:rsidP="00B35BA0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  <w:r w:rsidRPr="00133D86">
        <w:rPr>
          <w:rFonts w:ascii="Times New Roman" w:hAnsi="Times New Roman"/>
          <w:color w:val="002060"/>
          <w:sz w:val="24"/>
          <w:szCs w:val="24"/>
        </w:rPr>
        <w:t xml:space="preserve">Supplementary </w:t>
      </w:r>
      <w:r w:rsidR="000E4BD0" w:rsidRPr="00133D86">
        <w:rPr>
          <w:rFonts w:ascii="Times New Roman" w:hAnsi="Times New Roman"/>
          <w:color w:val="002060"/>
          <w:sz w:val="24"/>
          <w:szCs w:val="24"/>
        </w:rPr>
        <w:t xml:space="preserve">Figure </w:t>
      </w:r>
      <w:r w:rsidR="00AD1FA9" w:rsidRPr="00133D86">
        <w:rPr>
          <w:rFonts w:ascii="Times New Roman" w:hAnsi="Times New Roman"/>
          <w:color w:val="002060"/>
          <w:sz w:val="24"/>
          <w:szCs w:val="24"/>
        </w:rPr>
        <w:t>SF</w:t>
      </w:r>
      <w:r w:rsidR="00183FBA">
        <w:rPr>
          <w:rFonts w:ascii="Times New Roman" w:hAnsi="Times New Roman"/>
          <w:color w:val="002060"/>
          <w:sz w:val="24"/>
          <w:szCs w:val="24"/>
        </w:rPr>
        <w:t>6</w:t>
      </w:r>
      <w:r w:rsidR="00AD1FA9" w:rsidRPr="00133D86">
        <w:rPr>
          <w:rFonts w:ascii="Times New Roman" w:hAnsi="Times New Roman"/>
          <w:color w:val="002060"/>
          <w:sz w:val="24"/>
          <w:szCs w:val="24"/>
        </w:rPr>
        <w:t>:</w:t>
      </w:r>
      <w:r w:rsidR="00B35BA0" w:rsidRPr="00133D86">
        <w:rPr>
          <w:rFonts w:ascii="Times New Roman" w:hAnsi="Times New Roman"/>
          <w:color w:val="002060"/>
          <w:sz w:val="24"/>
          <w:szCs w:val="24"/>
        </w:rPr>
        <w:t xml:space="preserve"> Distribution of positi</w:t>
      </w:r>
      <w:r w:rsidR="00274253" w:rsidRPr="00133D86">
        <w:rPr>
          <w:rFonts w:ascii="Times New Roman" w:hAnsi="Times New Roman"/>
          <w:color w:val="002060"/>
          <w:sz w:val="24"/>
          <w:szCs w:val="24"/>
        </w:rPr>
        <w:t xml:space="preserve">on-specific relative abundance </w:t>
      </w:r>
      <w:r w:rsidR="00B35BA0" w:rsidRPr="00133D86">
        <w:rPr>
          <w:rFonts w:ascii="Times New Roman" w:hAnsi="Times New Roman"/>
          <w:color w:val="002060"/>
          <w:sz w:val="24"/>
          <w:szCs w:val="24"/>
        </w:rPr>
        <w:t xml:space="preserve">HEAT repeat, </w:t>
      </w:r>
      <w:r w:rsidR="00B35BA0" w:rsidRPr="00133D86">
        <w:rPr>
          <w:rFonts w:ascii="Times New Roman" w:hAnsi="Times New Roman"/>
          <w:i/>
          <w:color w:val="002060"/>
          <w:sz w:val="24"/>
          <w:szCs w:val="24"/>
        </w:rPr>
        <w:t>O. sativa</w:t>
      </w:r>
      <w:r w:rsidR="00B35BA0" w:rsidRPr="00133D86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274253" w:rsidRPr="00133D86" w:rsidRDefault="00274253" w:rsidP="00274253">
      <w:pPr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sz w:val="24"/>
          <w:szCs w:val="24"/>
        </w:rPr>
        <w:br w:type="page"/>
      </w:r>
    </w:p>
    <w:p w:rsidR="00B35BA0" w:rsidRPr="00133D86" w:rsidRDefault="00B35BA0" w:rsidP="00B35BA0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B35BA0" w:rsidRPr="00133D86" w:rsidRDefault="00B35BA0" w:rsidP="00B35BA0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054204" cy="3220871"/>
            <wp:effectExtent l="19050" t="0" r="22746" b="0"/>
            <wp:docPr id="9" name="Chart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133D86">
        <w:rPr>
          <w:rFonts w:ascii="Times New Roman" w:hAnsi="Times New Roman"/>
          <w:noProof/>
          <w:sz w:val="24"/>
          <w:szCs w:val="24"/>
        </w:rPr>
        <w:t xml:space="preserve"> </w:t>
      </w:r>
    </w:p>
    <w:p w:rsidR="00B35BA0" w:rsidRPr="00133D86" w:rsidRDefault="00BD7A63" w:rsidP="00B35BA0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  <w:r w:rsidRPr="00133D86">
        <w:rPr>
          <w:rFonts w:ascii="Times New Roman" w:hAnsi="Times New Roman"/>
          <w:color w:val="002060"/>
          <w:sz w:val="24"/>
          <w:szCs w:val="24"/>
        </w:rPr>
        <w:t xml:space="preserve">Supplementary </w:t>
      </w:r>
      <w:r w:rsidR="000E4BD0" w:rsidRPr="00133D86">
        <w:rPr>
          <w:rFonts w:ascii="Times New Roman" w:hAnsi="Times New Roman"/>
          <w:color w:val="002060"/>
          <w:sz w:val="24"/>
          <w:szCs w:val="24"/>
        </w:rPr>
        <w:t>Figure SF</w:t>
      </w:r>
      <w:r w:rsidR="00183FBA">
        <w:rPr>
          <w:rFonts w:ascii="Times New Roman" w:hAnsi="Times New Roman"/>
          <w:color w:val="002060"/>
          <w:sz w:val="24"/>
          <w:szCs w:val="24"/>
        </w:rPr>
        <w:t>7</w:t>
      </w:r>
      <w:r w:rsidR="00B35BA0" w:rsidRPr="00133D86">
        <w:rPr>
          <w:rFonts w:ascii="Times New Roman" w:hAnsi="Times New Roman"/>
          <w:color w:val="002060"/>
          <w:sz w:val="24"/>
          <w:szCs w:val="24"/>
        </w:rPr>
        <w:t>: Distribution of position-specific relat</w:t>
      </w:r>
      <w:r w:rsidR="00274253" w:rsidRPr="00133D86">
        <w:rPr>
          <w:rFonts w:ascii="Times New Roman" w:hAnsi="Times New Roman"/>
          <w:color w:val="002060"/>
          <w:sz w:val="24"/>
          <w:szCs w:val="24"/>
        </w:rPr>
        <w:t>ive abundance for p</w:t>
      </w:r>
      <w:r w:rsidR="00B35BA0" w:rsidRPr="00133D86">
        <w:rPr>
          <w:rFonts w:ascii="Times New Roman" w:hAnsi="Times New Roman"/>
          <w:color w:val="002060"/>
          <w:sz w:val="24"/>
          <w:szCs w:val="24"/>
        </w:rPr>
        <w:t xml:space="preserve">rotein kinase families, </w:t>
      </w:r>
      <w:r w:rsidR="00B35BA0" w:rsidRPr="00133D86">
        <w:rPr>
          <w:rFonts w:ascii="Times New Roman" w:hAnsi="Times New Roman"/>
          <w:i/>
          <w:color w:val="002060"/>
          <w:sz w:val="24"/>
          <w:szCs w:val="24"/>
        </w:rPr>
        <w:t>O. sativa</w:t>
      </w:r>
      <w:r w:rsidR="00B35BA0" w:rsidRPr="00133D86">
        <w:rPr>
          <w:rFonts w:ascii="Times New Roman" w:hAnsi="Times New Roman"/>
          <w:color w:val="002060"/>
          <w:sz w:val="24"/>
          <w:szCs w:val="24"/>
        </w:rPr>
        <w:t xml:space="preserve">.  </w:t>
      </w:r>
    </w:p>
    <w:p w:rsidR="00274253" w:rsidRPr="00133D86" w:rsidRDefault="0022171B" w:rsidP="0022171B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  <w:r w:rsidRPr="00133D86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274253" w:rsidRPr="00133D86" w:rsidRDefault="00274253" w:rsidP="00274253">
      <w:pPr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sz w:val="24"/>
          <w:szCs w:val="24"/>
        </w:rPr>
        <w:br w:type="page"/>
      </w:r>
    </w:p>
    <w:p w:rsidR="0022171B" w:rsidRPr="00133D86" w:rsidRDefault="0022171B" w:rsidP="0022171B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4C4FFB" w:rsidRPr="00133D86" w:rsidRDefault="00D45105" w:rsidP="004C4FFB">
      <w:pPr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93414" cy="3411940"/>
            <wp:effectExtent l="19050" t="0" r="26386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45105" w:rsidRPr="00133D86" w:rsidRDefault="00BD7A63" w:rsidP="00D45105">
      <w:pPr>
        <w:pStyle w:val="Caption"/>
        <w:jc w:val="both"/>
        <w:rPr>
          <w:rFonts w:ascii="Times New Roman" w:hAnsi="Times New Roman"/>
          <w:color w:val="002060"/>
          <w:sz w:val="24"/>
          <w:szCs w:val="24"/>
        </w:rPr>
      </w:pPr>
      <w:r w:rsidRPr="00133D86">
        <w:rPr>
          <w:rFonts w:ascii="Times New Roman" w:hAnsi="Times New Roman"/>
          <w:color w:val="002060"/>
          <w:sz w:val="24"/>
          <w:szCs w:val="24"/>
        </w:rPr>
        <w:t xml:space="preserve">Supplementary 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>Figure SF</w:t>
      </w:r>
      <w:r w:rsidR="00183FBA">
        <w:rPr>
          <w:rFonts w:ascii="Times New Roman" w:hAnsi="Times New Roman"/>
          <w:color w:val="002060"/>
          <w:sz w:val="24"/>
          <w:szCs w:val="24"/>
        </w:rPr>
        <w:t>8</w:t>
      </w:r>
      <w:r w:rsidR="00274253" w:rsidRPr="00133D86">
        <w:rPr>
          <w:rFonts w:ascii="Times New Roman" w:hAnsi="Times New Roman"/>
          <w:color w:val="002060"/>
          <w:sz w:val="24"/>
          <w:szCs w:val="24"/>
        </w:rPr>
        <w:t>: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 xml:space="preserve"> Distribution GC</w:t>
      </w:r>
      <w:r w:rsidR="00D45105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 xml:space="preserve"> in honey bee (</w:t>
      </w:r>
      <w:r w:rsidR="00D45105" w:rsidRPr="00133D86">
        <w:rPr>
          <w:rFonts w:ascii="Times New Roman" w:hAnsi="Times New Roman"/>
          <w:i/>
          <w:color w:val="002060"/>
          <w:sz w:val="24"/>
          <w:szCs w:val="24"/>
        </w:rPr>
        <w:t>Apis mellifera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>)</w:t>
      </w:r>
      <w:r w:rsidR="00D45105" w:rsidRPr="00133D86">
        <w:rPr>
          <w:rFonts w:ascii="Times New Roman" w:hAnsi="Times New Roman"/>
          <w:i/>
          <w:color w:val="002060"/>
          <w:sz w:val="24"/>
          <w:szCs w:val="24"/>
        </w:rPr>
        <w:t xml:space="preserve">, 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>fruit fly (</w:t>
      </w:r>
      <w:r w:rsidR="005B421E" w:rsidRPr="00133D86">
        <w:rPr>
          <w:rFonts w:ascii="Times New Roman" w:hAnsi="Times New Roman"/>
          <w:i/>
          <w:color w:val="002060"/>
          <w:sz w:val="24"/>
          <w:szCs w:val="24"/>
        </w:rPr>
        <w:t>Drosophila melanogaster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>)</w:t>
      </w:r>
      <w:r w:rsidR="00D45105" w:rsidRPr="00133D86">
        <w:rPr>
          <w:rFonts w:ascii="Times New Roman" w:hAnsi="Times New Roman"/>
          <w:i/>
          <w:color w:val="002060"/>
          <w:sz w:val="24"/>
          <w:szCs w:val="24"/>
        </w:rPr>
        <w:t>,</w:t>
      </w:r>
      <w:r w:rsidR="005B421E" w:rsidRPr="00133D86">
        <w:rPr>
          <w:rFonts w:ascii="Times New Roman" w:hAnsi="Times New Roman"/>
          <w:i/>
          <w:color w:val="002060"/>
          <w:sz w:val="24"/>
          <w:szCs w:val="24"/>
        </w:rPr>
        <w:t xml:space="preserve"> </w:t>
      </w:r>
      <w:r w:rsidR="005B421E" w:rsidRPr="00133D86">
        <w:rPr>
          <w:rFonts w:ascii="Times New Roman" w:hAnsi="Times New Roman"/>
          <w:color w:val="002060"/>
          <w:sz w:val="24"/>
          <w:szCs w:val="24"/>
        </w:rPr>
        <w:t>and</w:t>
      </w:r>
      <w:r w:rsidR="00D45105" w:rsidRPr="00133D86">
        <w:rPr>
          <w:rFonts w:ascii="Times New Roman" w:hAnsi="Times New Roman"/>
          <w:i/>
          <w:color w:val="002060"/>
          <w:sz w:val="24"/>
          <w:szCs w:val="24"/>
        </w:rPr>
        <w:t xml:space="preserve"> 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>fire ant (</w:t>
      </w:r>
      <w:r w:rsidR="005B421E" w:rsidRPr="00133D86">
        <w:rPr>
          <w:rFonts w:ascii="Times New Roman" w:hAnsi="Times New Roman"/>
          <w:i/>
          <w:color w:val="002060"/>
          <w:sz w:val="24"/>
          <w:szCs w:val="24"/>
        </w:rPr>
        <w:t>Solenopsis invicta</w:t>
      </w:r>
      <w:r w:rsidR="00D45105" w:rsidRPr="00133D86">
        <w:rPr>
          <w:rFonts w:ascii="Times New Roman" w:hAnsi="Times New Roman"/>
          <w:color w:val="002060"/>
          <w:sz w:val="24"/>
          <w:szCs w:val="24"/>
        </w:rPr>
        <w:t>)</w:t>
      </w:r>
      <w:r w:rsidR="005B421E" w:rsidRPr="00133D86">
        <w:rPr>
          <w:rFonts w:ascii="Times New Roman" w:hAnsi="Times New Roman"/>
          <w:color w:val="002060"/>
          <w:sz w:val="24"/>
          <w:szCs w:val="24"/>
        </w:rPr>
        <w:t>. Generally low GC</w:t>
      </w:r>
      <w:r w:rsidR="005B421E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5B421E" w:rsidRPr="00133D86">
        <w:rPr>
          <w:rFonts w:ascii="Times New Roman" w:hAnsi="Times New Roman"/>
          <w:color w:val="002060"/>
          <w:sz w:val="24"/>
          <w:szCs w:val="24"/>
        </w:rPr>
        <w:t xml:space="preserve"> organism honey bee has a surprising medium and high GC</w:t>
      </w:r>
      <w:r w:rsidR="005B421E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5B421E" w:rsidRPr="00133D86">
        <w:rPr>
          <w:rFonts w:ascii="Times New Roman" w:hAnsi="Times New Roman"/>
          <w:color w:val="002060"/>
          <w:sz w:val="24"/>
          <w:szCs w:val="24"/>
        </w:rPr>
        <w:t xml:space="preserve"> tail, containing approximately 25% of genes.</w:t>
      </w:r>
      <w:r w:rsidR="000D4A9B" w:rsidRPr="00133D86">
        <w:rPr>
          <w:rFonts w:ascii="Times New Roman" w:hAnsi="Times New Roman"/>
          <w:color w:val="002060"/>
          <w:sz w:val="24"/>
          <w:szCs w:val="24"/>
        </w:rPr>
        <w:t xml:space="preserve"> This tail consists of a bunch of various “receptor” encoding genes (e.g.  Metabotropic glutamate receptor,   Toll-like receptor, Dopamine receptor type D2, D2-like dopamine receptor, Ephrin receptor, SIFamide receptor, Ecdysteroid receptor A isoform, Antennapedia protein, Nicotinic acetylcholine receptor alpha1 subunit, Alpha-glycosidase  G-protein coupled receptor, etc).  Based on current annotation, 2.2% of all </w:t>
      </w:r>
      <w:r w:rsidR="000D4A9B" w:rsidRPr="00133D86">
        <w:rPr>
          <w:rFonts w:ascii="Times New Roman" w:hAnsi="Times New Roman"/>
          <w:i/>
          <w:color w:val="002060"/>
          <w:sz w:val="24"/>
          <w:szCs w:val="24"/>
        </w:rPr>
        <w:t>Apis mellifera</w:t>
      </w:r>
      <w:r w:rsidR="000D4A9B" w:rsidRPr="00133D86">
        <w:rPr>
          <w:rFonts w:ascii="Times New Roman" w:hAnsi="Times New Roman"/>
          <w:color w:val="002060"/>
          <w:sz w:val="24"/>
          <w:szCs w:val="24"/>
        </w:rPr>
        <w:t xml:space="preserve"> genes encode receptors. Considering two extremes (1000 genes with highest and lowest values of GC</w:t>
      </w:r>
      <w:r w:rsidR="000D4A9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0D4A9B" w:rsidRPr="00133D86">
        <w:rPr>
          <w:rFonts w:ascii="Times New Roman" w:hAnsi="Times New Roman"/>
          <w:color w:val="002060"/>
          <w:sz w:val="24"/>
          <w:szCs w:val="24"/>
        </w:rPr>
        <w:t>), lowest GC</w:t>
      </w:r>
      <w:r w:rsidR="000D4A9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0D4A9B" w:rsidRPr="00133D86">
        <w:rPr>
          <w:rFonts w:ascii="Times New Roman" w:hAnsi="Times New Roman"/>
          <w:color w:val="002060"/>
          <w:sz w:val="24"/>
          <w:szCs w:val="24"/>
        </w:rPr>
        <w:t xml:space="preserve"> genes encode receptors in 1.3% of cases as compared with 5.6% of high GC</w:t>
      </w:r>
      <w:r w:rsidR="000D4A9B" w:rsidRPr="00133D86">
        <w:rPr>
          <w:rFonts w:ascii="Times New Roman" w:hAnsi="Times New Roman"/>
          <w:color w:val="002060"/>
          <w:sz w:val="24"/>
          <w:szCs w:val="24"/>
          <w:vertAlign w:val="subscript"/>
        </w:rPr>
        <w:t>3</w:t>
      </w:r>
      <w:r w:rsidR="000D4A9B" w:rsidRPr="00133D86">
        <w:rPr>
          <w:rFonts w:ascii="Times New Roman" w:hAnsi="Times New Roman"/>
          <w:color w:val="002060"/>
          <w:sz w:val="24"/>
          <w:szCs w:val="24"/>
        </w:rPr>
        <w:t xml:space="preserve"> genes.  </w:t>
      </w:r>
    </w:p>
    <w:p w:rsidR="00274253" w:rsidRPr="00133D86" w:rsidRDefault="00274253">
      <w:pPr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sz w:val="24"/>
          <w:szCs w:val="24"/>
        </w:rPr>
        <w:br w:type="page"/>
      </w:r>
    </w:p>
    <w:p w:rsidR="003A5C53" w:rsidRPr="00133D86" w:rsidRDefault="003A5C53" w:rsidP="003A5C53">
      <w:pPr>
        <w:rPr>
          <w:rFonts w:ascii="Times New Roman" w:hAnsi="Times New Roman"/>
          <w:sz w:val="24"/>
          <w:szCs w:val="24"/>
        </w:rPr>
      </w:pPr>
      <w:r w:rsidRPr="00133D86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822192" cy="3043451"/>
            <wp:effectExtent l="19050" t="0" r="26158" b="4549"/>
            <wp:docPr id="1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5C53" w:rsidRPr="00133D86" w:rsidRDefault="00BD7A63" w:rsidP="003A5C53">
      <w:pPr>
        <w:rPr>
          <w:rFonts w:ascii="Times New Roman" w:hAnsi="Times New Roman"/>
          <w:b/>
          <w:color w:val="002060"/>
          <w:sz w:val="24"/>
          <w:szCs w:val="24"/>
        </w:rPr>
      </w:pPr>
      <w:r w:rsidRPr="00133D86">
        <w:rPr>
          <w:rFonts w:ascii="Times New Roman" w:hAnsi="Times New Roman"/>
          <w:b/>
          <w:color w:val="002060"/>
          <w:sz w:val="24"/>
          <w:szCs w:val="24"/>
        </w:rPr>
        <w:t xml:space="preserve">Supplementary </w:t>
      </w:r>
      <w:r w:rsidR="003A5C53" w:rsidRPr="00133D86">
        <w:rPr>
          <w:rFonts w:ascii="Times New Roman" w:hAnsi="Times New Roman"/>
          <w:b/>
          <w:color w:val="002060"/>
          <w:sz w:val="24"/>
          <w:szCs w:val="24"/>
        </w:rPr>
        <w:t>Figure SF</w:t>
      </w:r>
      <w:r w:rsidR="00183FBA">
        <w:rPr>
          <w:rFonts w:ascii="Times New Roman" w:hAnsi="Times New Roman"/>
          <w:b/>
          <w:color w:val="002060"/>
          <w:sz w:val="24"/>
          <w:szCs w:val="24"/>
        </w:rPr>
        <w:t>9</w:t>
      </w:r>
      <w:r w:rsidR="003A5C53" w:rsidRPr="00133D86">
        <w:rPr>
          <w:rFonts w:ascii="Times New Roman" w:hAnsi="Times New Roman"/>
          <w:b/>
          <w:color w:val="002060"/>
          <w:sz w:val="24"/>
          <w:szCs w:val="24"/>
        </w:rPr>
        <w:t>: Distribution GC</w:t>
      </w:r>
      <w:r w:rsidR="003A5C53" w:rsidRPr="00133D86">
        <w:rPr>
          <w:rFonts w:ascii="Times New Roman" w:hAnsi="Times New Roman"/>
          <w:b/>
          <w:color w:val="002060"/>
          <w:sz w:val="24"/>
          <w:szCs w:val="24"/>
          <w:vertAlign w:val="subscript"/>
        </w:rPr>
        <w:t>3</w:t>
      </w:r>
      <w:r w:rsidR="003A5C53" w:rsidRPr="00133D86">
        <w:rPr>
          <w:rFonts w:ascii="Times New Roman" w:hAnsi="Times New Roman"/>
          <w:b/>
          <w:color w:val="002060"/>
          <w:sz w:val="24"/>
          <w:szCs w:val="24"/>
        </w:rPr>
        <w:t xml:space="preserve"> in </w:t>
      </w:r>
      <w:r w:rsidR="003A5C53" w:rsidRPr="00133D86">
        <w:rPr>
          <w:rFonts w:ascii="Times New Roman" w:hAnsi="Times New Roman"/>
          <w:b/>
          <w:i/>
          <w:color w:val="002060"/>
          <w:sz w:val="24"/>
          <w:szCs w:val="24"/>
        </w:rPr>
        <w:t>Brachypodium distachyon.</w:t>
      </w:r>
      <w:r w:rsidR="007E7F28" w:rsidRPr="00133D86">
        <w:rPr>
          <w:rFonts w:ascii="Times New Roman" w:hAnsi="Times New Roman"/>
          <w:b/>
          <w:i/>
          <w:color w:val="002060"/>
          <w:sz w:val="24"/>
          <w:szCs w:val="24"/>
        </w:rPr>
        <w:t xml:space="preserve"> </w:t>
      </w:r>
      <w:r w:rsidR="007E7F28" w:rsidRPr="00133D86">
        <w:rPr>
          <w:rFonts w:ascii="Times New Roman" w:hAnsi="Times New Roman"/>
          <w:b/>
          <w:color w:val="002060"/>
          <w:sz w:val="24"/>
          <w:szCs w:val="24"/>
        </w:rPr>
        <w:t>Distribution is bimodal with high (~47%) fraction of ORFs having GC</w:t>
      </w:r>
      <w:r w:rsidR="007E7F28" w:rsidRPr="00133D86">
        <w:rPr>
          <w:rFonts w:ascii="Times New Roman" w:hAnsi="Times New Roman"/>
          <w:b/>
          <w:color w:val="002060"/>
          <w:sz w:val="24"/>
          <w:szCs w:val="24"/>
          <w:vertAlign w:val="subscript"/>
        </w:rPr>
        <w:t xml:space="preserve">3 </w:t>
      </w:r>
      <w:r w:rsidR="007E7F28" w:rsidRPr="00133D86">
        <w:rPr>
          <w:rFonts w:ascii="Times New Roman" w:hAnsi="Times New Roman"/>
          <w:b/>
          <w:color w:val="002060"/>
          <w:sz w:val="24"/>
          <w:szCs w:val="24"/>
        </w:rPr>
        <w:t xml:space="preserve">≥0.8. Since this analysis was done based on available collection of </w:t>
      </w:r>
      <w:r w:rsidR="007E7F28" w:rsidRPr="00133D86">
        <w:rPr>
          <w:rFonts w:ascii="Times New Roman" w:hAnsi="Times New Roman"/>
          <w:b/>
          <w:i/>
          <w:color w:val="002060"/>
          <w:sz w:val="24"/>
          <w:szCs w:val="24"/>
        </w:rPr>
        <w:t xml:space="preserve">Brachypodium distachyon </w:t>
      </w:r>
      <w:r w:rsidR="007E7F28" w:rsidRPr="00133D86">
        <w:rPr>
          <w:rFonts w:ascii="Times New Roman" w:hAnsi="Times New Roman"/>
          <w:b/>
          <w:color w:val="002060"/>
          <w:sz w:val="24"/>
          <w:szCs w:val="24"/>
        </w:rPr>
        <w:t>ESTs (</w:t>
      </w:r>
      <w:hyperlink r:id="rId19" w:history="1">
        <w:r w:rsidR="007E7F28" w:rsidRPr="00133D86">
          <w:rPr>
            <w:rStyle w:val="Hyperlink"/>
            <w:rFonts w:ascii="Times New Roman" w:hAnsi="Times New Roman"/>
            <w:b/>
            <w:sz w:val="24"/>
            <w:szCs w:val="24"/>
          </w:rPr>
          <w:t>www.brachypodium.org</w:t>
        </w:r>
      </w:hyperlink>
      <w:r w:rsidR="007E7F28" w:rsidRPr="00133D86">
        <w:rPr>
          <w:rFonts w:ascii="Times New Roman" w:hAnsi="Times New Roman"/>
          <w:b/>
          <w:sz w:val="24"/>
          <w:szCs w:val="24"/>
        </w:rPr>
        <w:t>)</w:t>
      </w:r>
      <w:r w:rsidR="007E7F28" w:rsidRPr="00133D86">
        <w:rPr>
          <w:rFonts w:ascii="Times New Roman" w:hAnsi="Times New Roman"/>
          <w:b/>
          <w:color w:val="002060"/>
          <w:sz w:val="24"/>
          <w:szCs w:val="24"/>
        </w:rPr>
        <w:t>, this effect may be due to sequence redundancy.</w:t>
      </w:r>
    </w:p>
    <w:p w:rsidR="00133D86" w:rsidRPr="00133D86" w:rsidRDefault="00133D86">
      <w:pPr>
        <w:rPr>
          <w:rFonts w:ascii="Times New Roman" w:hAnsi="Times New Roman"/>
          <w:b/>
          <w:color w:val="002060"/>
          <w:sz w:val="24"/>
          <w:szCs w:val="24"/>
        </w:rPr>
      </w:pPr>
    </w:p>
    <w:sectPr w:rsidR="00133D86" w:rsidRPr="00133D86" w:rsidSect="00D45105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427" w:rsidRDefault="00542427" w:rsidP="0012080F">
      <w:pPr>
        <w:spacing w:after="0" w:line="240" w:lineRule="auto"/>
      </w:pPr>
      <w:r>
        <w:separator/>
      </w:r>
    </w:p>
  </w:endnote>
  <w:endnote w:type="continuationSeparator" w:id="1">
    <w:p w:rsidR="00542427" w:rsidRDefault="00542427" w:rsidP="00120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427" w:rsidRDefault="00542427" w:rsidP="0012080F">
      <w:pPr>
        <w:spacing w:after="0" w:line="240" w:lineRule="auto"/>
      </w:pPr>
      <w:r>
        <w:separator/>
      </w:r>
    </w:p>
  </w:footnote>
  <w:footnote w:type="continuationSeparator" w:id="1">
    <w:p w:rsidR="00542427" w:rsidRDefault="00542427" w:rsidP="00120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31E" w:rsidRDefault="00CC22DA">
    <w:pPr>
      <w:pStyle w:val="Header"/>
      <w:jc w:val="right"/>
    </w:pPr>
    <w:fldSimple w:instr=" PAGE   \* MERGEFORMAT ">
      <w:r w:rsidR="0070457E">
        <w:rPr>
          <w:noProof/>
        </w:rPr>
        <w:t>4</w:t>
      </w:r>
    </w:fldSimple>
  </w:p>
  <w:p w:rsidR="005E731E" w:rsidRDefault="005E73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9729E"/>
    <w:multiLevelType w:val="hybridMultilevel"/>
    <w:tmpl w:val="E214B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7EB"/>
    <w:rsid w:val="00010CCE"/>
    <w:rsid w:val="00047802"/>
    <w:rsid w:val="000D4A9B"/>
    <w:rsid w:val="000E1B25"/>
    <w:rsid w:val="000E1D7D"/>
    <w:rsid w:val="000E4BD0"/>
    <w:rsid w:val="0012080F"/>
    <w:rsid w:val="00133D86"/>
    <w:rsid w:val="00183FBA"/>
    <w:rsid w:val="00193196"/>
    <w:rsid w:val="001F4C80"/>
    <w:rsid w:val="0022171B"/>
    <w:rsid w:val="002252E1"/>
    <w:rsid w:val="00274253"/>
    <w:rsid w:val="002B7265"/>
    <w:rsid w:val="002D03E9"/>
    <w:rsid w:val="002D45CF"/>
    <w:rsid w:val="003418A6"/>
    <w:rsid w:val="00362977"/>
    <w:rsid w:val="003724BF"/>
    <w:rsid w:val="003978E7"/>
    <w:rsid w:val="003A5C53"/>
    <w:rsid w:val="003B0030"/>
    <w:rsid w:val="00410AD0"/>
    <w:rsid w:val="004205F7"/>
    <w:rsid w:val="004404F2"/>
    <w:rsid w:val="00456CA3"/>
    <w:rsid w:val="004C4FFB"/>
    <w:rsid w:val="004C7D17"/>
    <w:rsid w:val="004F0134"/>
    <w:rsid w:val="00542427"/>
    <w:rsid w:val="00576EB4"/>
    <w:rsid w:val="005B421E"/>
    <w:rsid w:val="005E6155"/>
    <w:rsid w:val="005E731E"/>
    <w:rsid w:val="0070457E"/>
    <w:rsid w:val="00723AD9"/>
    <w:rsid w:val="00737DB8"/>
    <w:rsid w:val="0077290C"/>
    <w:rsid w:val="007C46D3"/>
    <w:rsid w:val="007E7F28"/>
    <w:rsid w:val="0082652B"/>
    <w:rsid w:val="0086466E"/>
    <w:rsid w:val="008A6E77"/>
    <w:rsid w:val="0091390B"/>
    <w:rsid w:val="00A32B5B"/>
    <w:rsid w:val="00A804B3"/>
    <w:rsid w:val="00A82228"/>
    <w:rsid w:val="00AD1FA9"/>
    <w:rsid w:val="00B03363"/>
    <w:rsid w:val="00B207EB"/>
    <w:rsid w:val="00B35BA0"/>
    <w:rsid w:val="00B45704"/>
    <w:rsid w:val="00BA07CF"/>
    <w:rsid w:val="00BD6030"/>
    <w:rsid w:val="00BD7A63"/>
    <w:rsid w:val="00C36DA8"/>
    <w:rsid w:val="00C422D5"/>
    <w:rsid w:val="00C42984"/>
    <w:rsid w:val="00CC22DA"/>
    <w:rsid w:val="00CF6EE4"/>
    <w:rsid w:val="00D378D9"/>
    <w:rsid w:val="00D45105"/>
    <w:rsid w:val="00D800E7"/>
    <w:rsid w:val="00DA4B11"/>
    <w:rsid w:val="00DB4A9D"/>
    <w:rsid w:val="00DD38B0"/>
    <w:rsid w:val="00E01CB1"/>
    <w:rsid w:val="00E60C44"/>
    <w:rsid w:val="00E8619D"/>
    <w:rsid w:val="00EE2EC3"/>
    <w:rsid w:val="00F26229"/>
    <w:rsid w:val="00F95B11"/>
    <w:rsid w:val="00FA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7E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7E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20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7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rsid w:val="00B20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7EB"/>
    <w:rPr>
      <w:rFonts w:ascii="Tahoma" w:eastAsia="Calibri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rsid w:val="00B207EB"/>
  </w:style>
  <w:style w:type="paragraph" w:styleId="Caption">
    <w:name w:val="caption"/>
    <w:basedOn w:val="Normal"/>
    <w:next w:val="Normal"/>
    <w:uiPriority w:val="35"/>
    <w:qFormat/>
    <w:rsid w:val="00B207EB"/>
    <w:pPr>
      <w:spacing w:line="240" w:lineRule="auto"/>
    </w:pPr>
    <w:rPr>
      <w:b/>
      <w:bCs/>
      <w:color w:val="4F81BD"/>
      <w:sz w:val="18"/>
      <w:szCs w:val="18"/>
    </w:rPr>
  </w:style>
  <w:style w:type="character" w:styleId="Hyperlink">
    <w:name w:val="Hyperlink"/>
    <w:basedOn w:val="DefaultParagraphFont"/>
    <w:uiPriority w:val="99"/>
    <w:rsid w:val="00B207E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20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E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B20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EB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B207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07E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207EB"/>
    <w:rPr>
      <w:rFonts w:cs="Times New Roman"/>
      <w:vertAlign w:val="superscript"/>
    </w:rPr>
  </w:style>
  <w:style w:type="table" w:styleId="TableGrid">
    <w:name w:val="Table Grid"/>
    <w:basedOn w:val="TableNormal"/>
    <w:rsid w:val="00B2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B207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B207EB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B207EB"/>
    <w:rPr>
      <w:rFonts w:cs="Times New Roman"/>
      <w:b/>
      <w:bCs/>
    </w:rPr>
  </w:style>
  <w:style w:type="paragraph" w:styleId="Revision">
    <w:name w:val="Revision"/>
    <w:hidden/>
    <w:uiPriority w:val="99"/>
    <w:semiHidden/>
    <w:rsid w:val="00B207EB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rsid w:val="00B207E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207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07E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0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7E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207EB"/>
    <w:rPr>
      <w:color w:val="808080"/>
    </w:rPr>
  </w:style>
  <w:style w:type="paragraph" w:styleId="ListParagraph">
    <w:name w:val="List Paragraph"/>
    <w:basedOn w:val="Normal"/>
    <w:uiPriority w:val="34"/>
    <w:qFormat/>
    <w:rsid w:val="00B207EB"/>
    <w:pPr>
      <w:ind w:left="720"/>
      <w:contextualSpacing/>
    </w:pPr>
  </w:style>
  <w:style w:type="paragraph" w:customStyle="1" w:styleId="xl63">
    <w:name w:val="xl63"/>
    <w:basedOn w:val="Normal"/>
    <w:rsid w:val="00B20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0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07EB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B207EB"/>
  </w:style>
  <w:style w:type="character" w:customStyle="1" w:styleId="apple-converted-space">
    <w:name w:val="apple-converted-space"/>
    <w:basedOn w:val="DefaultParagraphFont"/>
    <w:rsid w:val="00B20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hyperlink" Target="www.brachypodium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gr.org" TargetMode="External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2\CG3_PAPER_DRAFTS\Excel\TATA_CG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S:\PAPER\REVISION\rice%20and%20sorg%20intron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tvtatari\Desktop\CG%20PAPER\REVISION\rice%20dinuc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2\CG3_PAPER_DRAFTS\CG_CWG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2\CG3_PAPER_DRAFTS\CG_CWG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2\CG3_PAPER_DRAFTS\pfam_12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2\CG3_PAPER_DRAFTS\pfam_123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tvtatari\Desktop\CG%20PAPER\REVISION\animal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plotArea>
      <c:layout>
        <c:manualLayout>
          <c:layoutTarget val="inner"/>
          <c:xMode val="edge"/>
          <c:yMode val="edge"/>
          <c:x val="0.12763664493009025"/>
          <c:y val="2.7147071188606289E-2"/>
          <c:w val="0.85034783252340784"/>
          <c:h val="0.76920768004201601"/>
        </c:manualLayout>
      </c:layout>
      <c:scatterChart>
        <c:scatterStyle val="lineMarker"/>
        <c:ser>
          <c:idx val="0"/>
          <c:order val="0"/>
          <c:tx>
            <c:strRef>
              <c:f>'tata cg3'!$D$1</c:f>
              <c:strCache>
                <c:ptCount val="1"/>
                <c:pt idx="0">
                  <c:v>TATA+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10"/>
          </c:marker>
          <c:xVal>
            <c:numRef>
              <c:f>'tata cg3'!$A$2:$A$8</c:f>
              <c:numCache>
                <c:formatCode>General</c:formatCode>
                <c:ptCount val="7"/>
                <c:pt idx="0">
                  <c:v>0.4</c:v>
                </c:pt>
                <c:pt idx="1">
                  <c:v>0.5</c:v>
                </c:pt>
                <c:pt idx="2">
                  <c:v>0.60000000000000064</c:v>
                </c:pt>
                <c:pt idx="3">
                  <c:v>0.70000000000000062</c:v>
                </c:pt>
                <c:pt idx="4">
                  <c:v>0.8</c:v>
                </c:pt>
                <c:pt idx="5">
                  <c:v>0.9</c:v>
                </c:pt>
                <c:pt idx="6">
                  <c:v>1</c:v>
                </c:pt>
              </c:numCache>
            </c:numRef>
          </c:xVal>
          <c:yVal>
            <c:numRef>
              <c:f>'tata cg3'!$D$2:$D$8</c:f>
              <c:numCache>
                <c:formatCode>General</c:formatCode>
                <c:ptCount val="7"/>
                <c:pt idx="0">
                  <c:v>0.33767361111111138</c:v>
                </c:pt>
                <c:pt idx="1">
                  <c:v>0.37567276641550451</c:v>
                </c:pt>
                <c:pt idx="2">
                  <c:v>0.40710209258085367</c:v>
                </c:pt>
                <c:pt idx="3">
                  <c:v>0.46947194719472396</c:v>
                </c:pt>
                <c:pt idx="4">
                  <c:v>0.56477166821994462</c:v>
                </c:pt>
                <c:pt idx="5">
                  <c:v>0.64127764127764131</c:v>
                </c:pt>
                <c:pt idx="6">
                  <c:v>0.6751054852320677</c:v>
                </c:pt>
              </c:numCache>
            </c:numRef>
          </c:yVal>
        </c:ser>
        <c:axId val="177331584"/>
        <c:axId val="191043072"/>
      </c:scatterChart>
      <c:valAx>
        <c:axId val="177331584"/>
        <c:scaling>
          <c:orientation val="minMax"/>
          <c:max val="1"/>
          <c:min val="0.30000000000000032"/>
        </c:scaling>
        <c:axPos val="b"/>
        <c:title>
          <c:tx>
            <c:rich>
              <a:bodyPr/>
              <a:lstStyle/>
              <a:p>
                <a:pPr>
                  <a:defRPr lang="en-US" sz="1200"/>
                </a:pPr>
                <a:r>
                  <a:rPr lang="en-US" sz="1200"/>
                  <a:t>GC</a:t>
                </a:r>
                <a:r>
                  <a:rPr lang="en-US" sz="1200" baseline="-25000"/>
                  <a:t>3</a:t>
                </a:r>
              </a:p>
            </c:rich>
          </c:tx>
          <c:layout>
            <c:manualLayout>
              <c:xMode val="edge"/>
              <c:yMode val="edge"/>
              <c:x val="0.49790069524932362"/>
              <c:y val="0.88929718500301058"/>
            </c:manualLayout>
          </c:layout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 sz="1200"/>
            </a:pPr>
            <a:endParaRPr lang="en-US"/>
          </a:p>
        </c:txPr>
        <c:crossAx val="191043072"/>
        <c:crosses val="autoZero"/>
        <c:crossBetween val="midCat"/>
      </c:valAx>
      <c:valAx>
        <c:axId val="19104307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en-US" sz="1200"/>
                </a:pPr>
                <a:r>
                  <a:rPr lang="en-US" sz="1200"/>
                  <a:t>Frequency</a:t>
                </a:r>
                <a:r>
                  <a:rPr lang="en-US" sz="1200" baseline="0"/>
                  <a:t> of TATA+ promoters</a:t>
                </a:r>
                <a:endParaRPr lang="en-US" sz="1200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 sz="1200"/>
            </a:pPr>
            <a:endParaRPr lang="en-US"/>
          </a:p>
        </c:txPr>
        <c:crossAx val="177331584"/>
        <c:crosses val="autoZero"/>
        <c:crossBetween val="midCat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 lang="en-US"/>
            </a:pPr>
            <a:r>
              <a:rPr lang="en-US"/>
              <a:t>Intron density</a:t>
            </a:r>
          </a:p>
        </c:rich>
      </c:tx>
      <c:layout>
        <c:manualLayout>
          <c:xMode val="edge"/>
          <c:yMode val="edge"/>
          <c:x val="0.39517452508589468"/>
          <c:y val="3.4482769023673206E-2"/>
        </c:manualLayout>
      </c:layout>
    </c:title>
    <c:plotArea>
      <c:layout/>
      <c:scatterChart>
        <c:scatterStyle val="lineMarker"/>
        <c:ser>
          <c:idx val="0"/>
          <c:order val="0"/>
          <c:tx>
            <c:strRef>
              <c:f>Sheet1!$B$1</c:f>
              <c:strCache>
                <c:ptCount val="1"/>
                <c:pt idx="0">
                  <c:v>Rice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9"/>
          </c:marker>
          <c:xVal>
            <c:numRef>
              <c:f>Sheet1!$A$2:$A$16</c:f>
              <c:numCache>
                <c:formatCode>General</c:formatCode>
                <c:ptCount val="15"/>
                <c:pt idx="0">
                  <c:v>0.30000000000000032</c:v>
                </c:pt>
                <c:pt idx="1">
                  <c:v>0.35000000000000031</c:v>
                </c:pt>
                <c:pt idx="2">
                  <c:v>0.4</c:v>
                </c:pt>
                <c:pt idx="3">
                  <c:v>0.45</c:v>
                </c:pt>
                <c:pt idx="4">
                  <c:v>0.5</c:v>
                </c:pt>
                <c:pt idx="5">
                  <c:v>0.55000000000000004</c:v>
                </c:pt>
                <c:pt idx="6">
                  <c:v>0.60000000000000064</c:v>
                </c:pt>
                <c:pt idx="7">
                  <c:v>0.65000000000000202</c:v>
                </c:pt>
                <c:pt idx="8">
                  <c:v>0.70000000000000062</c:v>
                </c:pt>
                <c:pt idx="9">
                  <c:v>0.75000000000000178</c:v>
                </c:pt>
                <c:pt idx="10">
                  <c:v>0.8</c:v>
                </c:pt>
                <c:pt idx="11">
                  <c:v>0.85000000000000064</c:v>
                </c:pt>
                <c:pt idx="12">
                  <c:v>0.9</c:v>
                </c:pt>
                <c:pt idx="13">
                  <c:v>0.95000000000000062</c:v>
                </c:pt>
                <c:pt idx="14">
                  <c:v>1</c:v>
                </c:pt>
              </c:numCache>
            </c:numRef>
          </c:xVal>
          <c:yVal>
            <c:numRef>
              <c:f>Sheet1!$B$2:$B$16</c:f>
              <c:numCache>
                <c:formatCode>General</c:formatCode>
                <c:ptCount val="15"/>
                <c:pt idx="0">
                  <c:v>0.70552930542924996</c:v>
                </c:pt>
                <c:pt idx="1">
                  <c:v>1.12586875928653</c:v>
                </c:pt>
                <c:pt idx="2">
                  <c:v>1.30757277072282</c:v>
                </c:pt>
                <c:pt idx="3">
                  <c:v>1.3565944294261001</c:v>
                </c:pt>
                <c:pt idx="4">
                  <c:v>1.37985833665735</c:v>
                </c:pt>
                <c:pt idx="5">
                  <c:v>1.26905880032284</c:v>
                </c:pt>
                <c:pt idx="6">
                  <c:v>1.1187489273715348</c:v>
                </c:pt>
                <c:pt idx="7">
                  <c:v>0.9435417720763799</c:v>
                </c:pt>
                <c:pt idx="8">
                  <c:v>0.82005744543770098</c:v>
                </c:pt>
                <c:pt idx="9">
                  <c:v>0.77322468823842505</c:v>
                </c:pt>
                <c:pt idx="10">
                  <c:v>0.73556240380750559</c:v>
                </c:pt>
                <c:pt idx="11">
                  <c:v>0.67049406039254089</c:v>
                </c:pt>
                <c:pt idx="12">
                  <c:v>0.53318834104760648</c:v>
                </c:pt>
                <c:pt idx="13">
                  <c:v>0.42564158407448832</c:v>
                </c:pt>
                <c:pt idx="14">
                  <c:v>0.21599952667373701</c:v>
                </c:pt>
              </c:numCache>
            </c:numRef>
          </c:yVal>
        </c:ser>
        <c:ser>
          <c:idx val="1"/>
          <c:order val="1"/>
          <c:tx>
            <c:strRef>
              <c:f>Sheet1!$G$1</c:f>
              <c:strCache>
                <c:ptCount val="1"/>
                <c:pt idx="0">
                  <c:v>Sorghum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Sheet1!$E$2:$E$16</c:f>
              <c:numCache>
                <c:formatCode>General</c:formatCode>
                <c:ptCount val="15"/>
                <c:pt idx="0">
                  <c:v>0.30000000000000032</c:v>
                </c:pt>
                <c:pt idx="1">
                  <c:v>0.35000000000000031</c:v>
                </c:pt>
                <c:pt idx="2">
                  <c:v>0.4</c:v>
                </c:pt>
                <c:pt idx="3">
                  <c:v>0.45</c:v>
                </c:pt>
                <c:pt idx="4">
                  <c:v>0.5</c:v>
                </c:pt>
                <c:pt idx="5">
                  <c:v>0.55000000000000004</c:v>
                </c:pt>
                <c:pt idx="6">
                  <c:v>0.60000000000000064</c:v>
                </c:pt>
                <c:pt idx="7">
                  <c:v>0.65000000000000202</c:v>
                </c:pt>
                <c:pt idx="8">
                  <c:v>0.70000000000000062</c:v>
                </c:pt>
                <c:pt idx="9">
                  <c:v>0.75000000000000178</c:v>
                </c:pt>
                <c:pt idx="10">
                  <c:v>0.8</c:v>
                </c:pt>
                <c:pt idx="11">
                  <c:v>0.85000000000000064</c:v>
                </c:pt>
                <c:pt idx="12">
                  <c:v>0.9</c:v>
                </c:pt>
                <c:pt idx="13">
                  <c:v>0.95000000000000062</c:v>
                </c:pt>
                <c:pt idx="14">
                  <c:v>1</c:v>
                </c:pt>
              </c:numCache>
            </c:numRef>
          </c:xVal>
          <c:yVal>
            <c:numRef>
              <c:f>Sheet1!$G$2:$G$16</c:f>
              <c:numCache>
                <c:formatCode>General</c:formatCode>
                <c:ptCount val="15"/>
                <c:pt idx="0">
                  <c:v>1.2328286807639166</c:v>
                </c:pt>
                <c:pt idx="1">
                  <c:v>1.3822669486599199</c:v>
                </c:pt>
                <c:pt idx="2">
                  <c:v>1.4934417854351352</c:v>
                </c:pt>
                <c:pt idx="3">
                  <c:v>1.51344611631771</c:v>
                </c:pt>
                <c:pt idx="4">
                  <c:v>1.4116214716080466</c:v>
                </c:pt>
                <c:pt idx="5">
                  <c:v>1.3120292099740898</c:v>
                </c:pt>
                <c:pt idx="6">
                  <c:v>1.1950068426131302</c:v>
                </c:pt>
                <c:pt idx="7">
                  <c:v>1.0811349983842098</c:v>
                </c:pt>
                <c:pt idx="8">
                  <c:v>1.0069076385028799</c:v>
                </c:pt>
                <c:pt idx="9">
                  <c:v>0.9161172698606922</c:v>
                </c:pt>
                <c:pt idx="10">
                  <c:v>0.96736420883540308</c:v>
                </c:pt>
                <c:pt idx="11">
                  <c:v>0.84953594136670296</c:v>
                </c:pt>
                <c:pt idx="12">
                  <c:v>0.75841419073763838</c:v>
                </c:pt>
                <c:pt idx="13">
                  <c:v>0.67265075227811</c:v>
                </c:pt>
                <c:pt idx="14">
                  <c:v>0.44088075779214636</c:v>
                </c:pt>
              </c:numCache>
            </c:numRef>
          </c:yVal>
        </c:ser>
        <c:axId val="191215488"/>
        <c:axId val="191428480"/>
      </c:scatterChart>
      <c:valAx>
        <c:axId val="191215488"/>
        <c:scaling>
          <c:orientation val="minMax"/>
          <c:max val="1"/>
          <c:min val="0.2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GC</a:t>
                </a:r>
                <a:r>
                  <a:rPr lang="en-US" baseline="-25000"/>
                  <a:t>3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428480"/>
        <c:crosses val="autoZero"/>
        <c:crossBetween val="midCat"/>
      </c:valAx>
      <c:valAx>
        <c:axId val="19142848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introns per 1000 nt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215488"/>
        <c:crosses val="autoZero"/>
        <c:crossBetween val="midCat"/>
      </c:valAx>
    </c:plotArea>
    <c:legend>
      <c:legendPos val="r"/>
      <c:txPr>
        <a:bodyPr/>
        <a:lstStyle/>
        <a:p>
          <a:pPr>
            <a:defRPr lang="en-US"/>
          </a:pPr>
          <a:endParaRPr lang="en-US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plotArea>
      <c:layout>
        <c:manualLayout>
          <c:layoutTarget val="inner"/>
          <c:xMode val="edge"/>
          <c:yMode val="edge"/>
          <c:x val="0.13544685039370091"/>
          <c:y val="5.1400554097404488E-2"/>
          <c:w val="0.76805314960629922"/>
          <c:h val="0.70005358705161858"/>
        </c:manualLayout>
      </c:layout>
      <c:scatterChart>
        <c:scatterStyle val="smoothMarker"/>
        <c:ser>
          <c:idx val="0"/>
          <c:order val="0"/>
          <c:tx>
            <c:strRef>
              <c:f>'revision plot here'!$AD$1</c:f>
              <c:strCache>
                <c:ptCount val="1"/>
                <c:pt idx="0">
                  <c:v>CG low</c:v>
                </c:pt>
              </c:strCache>
            </c:strRef>
          </c:tx>
          <c:marker>
            <c:symbol val="none"/>
          </c:marker>
          <c:xVal>
            <c:numRef>
              <c:f>'revision plot here'!$AC$2:$AC$22</c:f>
              <c:numCache>
                <c:formatCode>General</c:formatCode>
                <c:ptCount val="21"/>
                <c:pt idx="0">
                  <c:v>0</c:v>
                </c:pt>
                <c:pt idx="1">
                  <c:v>1.0000000000000005E-2</c:v>
                </c:pt>
                <c:pt idx="2">
                  <c:v>2.0000000000000011E-2</c:v>
                </c:pt>
                <c:pt idx="3">
                  <c:v>3.0000000000000002E-2</c:v>
                </c:pt>
                <c:pt idx="4">
                  <c:v>4.0000000000000022E-2</c:v>
                </c:pt>
                <c:pt idx="5">
                  <c:v>0.05</c:v>
                </c:pt>
                <c:pt idx="6">
                  <c:v>6.0000000000000032E-2</c:v>
                </c:pt>
                <c:pt idx="7">
                  <c:v>7.0000000000000021E-2</c:v>
                </c:pt>
                <c:pt idx="8">
                  <c:v>8.0000000000000043E-2</c:v>
                </c:pt>
                <c:pt idx="9">
                  <c:v>9.0000000000000024E-2</c:v>
                </c:pt>
                <c:pt idx="10">
                  <c:v>0.1</c:v>
                </c:pt>
                <c:pt idx="11">
                  <c:v>0.11</c:v>
                </c:pt>
                <c:pt idx="12">
                  <c:v>0.12000000000000002</c:v>
                </c:pt>
                <c:pt idx="13">
                  <c:v>0.13</c:v>
                </c:pt>
                <c:pt idx="14">
                  <c:v>0.14000000000000001</c:v>
                </c:pt>
                <c:pt idx="15">
                  <c:v>0.15000000000000024</c:v>
                </c:pt>
                <c:pt idx="16">
                  <c:v>0.16000000000000003</c:v>
                </c:pt>
                <c:pt idx="17">
                  <c:v>0.17000000000000004</c:v>
                </c:pt>
                <c:pt idx="18">
                  <c:v>0.18000000000000024</c:v>
                </c:pt>
                <c:pt idx="19">
                  <c:v>0.19000000000000006</c:v>
                </c:pt>
                <c:pt idx="20">
                  <c:v>0.20000000000000009</c:v>
                </c:pt>
              </c:numCache>
            </c:numRef>
          </c:xVal>
          <c:yVal>
            <c:numRef>
              <c:f>'revision plot here'!$AD$2:$AD$22</c:f>
              <c:numCache>
                <c:formatCode>General</c:formatCode>
                <c:ptCount val="21"/>
                <c:pt idx="0">
                  <c:v>4</c:v>
                </c:pt>
                <c:pt idx="1">
                  <c:v>35</c:v>
                </c:pt>
                <c:pt idx="2">
                  <c:v>695</c:v>
                </c:pt>
                <c:pt idx="3">
                  <c:v>1126</c:v>
                </c:pt>
                <c:pt idx="4">
                  <c:v>376</c:v>
                </c:pt>
                <c:pt idx="5">
                  <c:v>59</c:v>
                </c:pt>
                <c:pt idx="6">
                  <c:v>5</c:v>
                </c:pt>
                <c:pt idx="7">
                  <c:v>2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'revision plot here'!$AE$1</c:f>
              <c:strCache>
                <c:ptCount val="1"/>
                <c:pt idx="0">
                  <c:v> GC low</c:v>
                </c:pt>
              </c:strCache>
            </c:strRef>
          </c:tx>
          <c:marker>
            <c:symbol val="none"/>
          </c:marker>
          <c:xVal>
            <c:numRef>
              <c:f>'revision plot here'!$AC$2:$AC$22</c:f>
              <c:numCache>
                <c:formatCode>General</c:formatCode>
                <c:ptCount val="21"/>
                <c:pt idx="0">
                  <c:v>0</c:v>
                </c:pt>
                <c:pt idx="1">
                  <c:v>1.0000000000000005E-2</c:v>
                </c:pt>
                <c:pt idx="2">
                  <c:v>2.0000000000000011E-2</c:v>
                </c:pt>
                <c:pt idx="3">
                  <c:v>3.0000000000000002E-2</c:v>
                </c:pt>
                <c:pt idx="4">
                  <c:v>4.0000000000000022E-2</c:v>
                </c:pt>
                <c:pt idx="5">
                  <c:v>0.05</c:v>
                </c:pt>
                <c:pt idx="6">
                  <c:v>6.0000000000000032E-2</c:v>
                </c:pt>
                <c:pt idx="7">
                  <c:v>7.0000000000000021E-2</c:v>
                </c:pt>
                <c:pt idx="8">
                  <c:v>8.0000000000000043E-2</c:v>
                </c:pt>
                <c:pt idx="9">
                  <c:v>9.0000000000000024E-2</c:v>
                </c:pt>
                <c:pt idx="10">
                  <c:v>0.1</c:v>
                </c:pt>
                <c:pt idx="11">
                  <c:v>0.11</c:v>
                </c:pt>
                <c:pt idx="12">
                  <c:v>0.12000000000000002</c:v>
                </c:pt>
                <c:pt idx="13">
                  <c:v>0.13</c:v>
                </c:pt>
                <c:pt idx="14">
                  <c:v>0.14000000000000001</c:v>
                </c:pt>
                <c:pt idx="15">
                  <c:v>0.15000000000000024</c:v>
                </c:pt>
                <c:pt idx="16">
                  <c:v>0.16000000000000003</c:v>
                </c:pt>
                <c:pt idx="17">
                  <c:v>0.17000000000000004</c:v>
                </c:pt>
                <c:pt idx="18">
                  <c:v>0.18000000000000024</c:v>
                </c:pt>
                <c:pt idx="19">
                  <c:v>0.19000000000000006</c:v>
                </c:pt>
                <c:pt idx="20">
                  <c:v>0.20000000000000009</c:v>
                </c:pt>
              </c:numCache>
            </c:numRef>
          </c:xVal>
          <c:yVal>
            <c:numRef>
              <c:f>'revision plot here'!$AE$2:$AE$22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13</c:v>
                </c:pt>
                <c:pt idx="4">
                  <c:v>123</c:v>
                </c:pt>
                <c:pt idx="5">
                  <c:v>669</c:v>
                </c:pt>
                <c:pt idx="6">
                  <c:v>992</c:v>
                </c:pt>
                <c:pt idx="7">
                  <c:v>401</c:v>
                </c:pt>
                <c:pt idx="8">
                  <c:v>88</c:v>
                </c:pt>
                <c:pt idx="9">
                  <c:v>9</c:v>
                </c:pt>
                <c:pt idx="10">
                  <c:v>4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'revision plot here'!$AF$1</c:f>
              <c:strCache>
                <c:ptCount val="1"/>
                <c:pt idx="0">
                  <c:v>CG high</c:v>
                </c:pt>
              </c:strCache>
            </c:strRef>
          </c:tx>
          <c:marker>
            <c:symbol val="none"/>
          </c:marker>
          <c:xVal>
            <c:numRef>
              <c:f>'revision plot here'!$AC$2:$AC$22</c:f>
              <c:numCache>
                <c:formatCode>General</c:formatCode>
                <c:ptCount val="21"/>
                <c:pt idx="0">
                  <c:v>0</c:v>
                </c:pt>
                <c:pt idx="1">
                  <c:v>1.0000000000000005E-2</c:v>
                </c:pt>
                <c:pt idx="2">
                  <c:v>2.0000000000000011E-2</c:v>
                </c:pt>
                <c:pt idx="3">
                  <c:v>3.0000000000000002E-2</c:v>
                </c:pt>
                <c:pt idx="4">
                  <c:v>4.0000000000000022E-2</c:v>
                </c:pt>
                <c:pt idx="5">
                  <c:v>0.05</c:v>
                </c:pt>
                <c:pt idx="6">
                  <c:v>6.0000000000000032E-2</c:v>
                </c:pt>
                <c:pt idx="7">
                  <c:v>7.0000000000000021E-2</c:v>
                </c:pt>
                <c:pt idx="8">
                  <c:v>8.0000000000000043E-2</c:v>
                </c:pt>
                <c:pt idx="9">
                  <c:v>9.0000000000000024E-2</c:v>
                </c:pt>
                <c:pt idx="10">
                  <c:v>0.1</c:v>
                </c:pt>
                <c:pt idx="11">
                  <c:v>0.11</c:v>
                </c:pt>
                <c:pt idx="12">
                  <c:v>0.12000000000000002</c:v>
                </c:pt>
                <c:pt idx="13">
                  <c:v>0.13</c:v>
                </c:pt>
                <c:pt idx="14">
                  <c:v>0.14000000000000001</c:v>
                </c:pt>
                <c:pt idx="15">
                  <c:v>0.15000000000000024</c:v>
                </c:pt>
                <c:pt idx="16">
                  <c:v>0.16000000000000003</c:v>
                </c:pt>
                <c:pt idx="17">
                  <c:v>0.17000000000000004</c:v>
                </c:pt>
                <c:pt idx="18">
                  <c:v>0.18000000000000024</c:v>
                </c:pt>
                <c:pt idx="19">
                  <c:v>0.19000000000000006</c:v>
                </c:pt>
                <c:pt idx="20">
                  <c:v>0.20000000000000009</c:v>
                </c:pt>
              </c:numCache>
            </c:numRef>
          </c:xVal>
          <c:yVal>
            <c:numRef>
              <c:f>'revision plot here'!$AF$2:$AF$22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  <c:pt idx="6">
                  <c:v>9</c:v>
                </c:pt>
                <c:pt idx="7">
                  <c:v>15</c:v>
                </c:pt>
                <c:pt idx="8">
                  <c:v>36</c:v>
                </c:pt>
                <c:pt idx="9">
                  <c:v>106</c:v>
                </c:pt>
                <c:pt idx="10">
                  <c:v>169</c:v>
                </c:pt>
                <c:pt idx="11">
                  <c:v>270</c:v>
                </c:pt>
                <c:pt idx="12">
                  <c:v>370</c:v>
                </c:pt>
                <c:pt idx="13">
                  <c:v>387</c:v>
                </c:pt>
                <c:pt idx="14">
                  <c:v>354</c:v>
                </c:pt>
                <c:pt idx="15">
                  <c:v>295</c:v>
                </c:pt>
                <c:pt idx="16">
                  <c:v>158</c:v>
                </c:pt>
                <c:pt idx="17">
                  <c:v>87</c:v>
                </c:pt>
                <c:pt idx="18">
                  <c:v>36</c:v>
                </c:pt>
                <c:pt idx="19">
                  <c:v>6</c:v>
                </c:pt>
                <c:pt idx="20">
                  <c:v>1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'revision plot here'!$AG$1</c:f>
              <c:strCache>
                <c:ptCount val="1"/>
                <c:pt idx="0">
                  <c:v>GC high</c:v>
                </c:pt>
              </c:strCache>
            </c:strRef>
          </c:tx>
          <c:marker>
            <c:symbol val="none"/>
          </c:marker>
          <c:xVal>
            <c:numRef>
              <c:f>'revision plot here'!$AC$2:$AC$22</c:f>
              <c:numCache>
                <c:formatCode>General</c:formatCode>
                <c:ptCount val="21"/>
                <c:pt idx="0">
                  <c:v>0</c:v>
                </c:pt>
                <c:pt idx="1">
                  <c:v>1.0000000000000005E-2</c:v>
                </c:pt>
                <c:pt idx="2">
                  <c:v>2.0000000000000011E-2</c:v>
                </c:pt>
                <c:pt idx="3">
                  <c:v>3.0000000000000002E-2</c:v>
                </c:pt>
                <c:pt idx="4">
                  <c:v>4.0000000000000022E-2</c:v>
                </c:pt>
                <c:pt idx="5">
                  <c:v>0.05</c:v>
                </c:pt>
                <c:pt idx="6">
                  <c:v>6.0000000000000032E-2</c:v>
                </c:pt>
                <c:pt idx="7">
                  <c:v>7.0000000000000021E-2</c:v>
                </c:pt>
                <c:pt idx="8">
                  <c:v>8.0000000000000043E-2</c:v>
                </c:pt>
                <c:pt idx="9">
                  <c:v>9.0000000000000024E-2</c:v>
                </c:pt>
                <c:pt idx="10">
                  <c:v>0.1</c:v>
                </c:pt>
                <c:pt idx="11">
                  <c:v>0.11</c:v>
                </c:pt>
                <c:pt idx="12">
                  <c:v>0.12000000000000002</c:v>
                </c:pt>
                <c:pt idx="13">
                  <c:v>0.13</c:v>
                </c:pt>
                <c:pt idx="14">
                  <c:v>0.14000000000000001</c:v>
                </c:pt>
                <c:pt idx="15">
                  <c:v>0.15000000000000024</c:v>
                </c:pt>
                <c:pt idx="16">
                  <c:v>0.16000000000000003</c:v>
                </c:pt>
                <c:pt idx="17">
                  <c:v>0.17000000000000004</c:v>
                </c:pt>
                <c:pt idx="18">
                  <c:v>0.18000000000000024</c:v>
                </c:pt>
                <c:pt idx="19">
                  <c:v>0.19000000000000006</c:v>
                </c:pt>
                <c:pt idx="20">
                  <c:v>0.20000000000000009</c:v>
                </c:pt>
              </c:numCache>
            </c:numRef>
          </c:xVal>
          <c:yVal>
            <c:numRef>
              <c:f>'revision plot here'!$AG$2:$AG$22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11</c:v>
                </c:pt>
                <c:pt idx="8">
                  <c:v>38</c:v>
                </c:pt>
                <c:pt idx="9">
                  <c:v>95</c:v>
                </c:pt>
                <c:pt idx="10">
                  <c:v>252</c:v>
                </c:pt>
                <c:pt idx="11">
                  <c:v>432</c:v>
                </c:pt>
                <c:pt idx="12">
                  <c:v>485</c:v>
                </c:pt>
                <c:pt idx="13">
                  <c:v>437</c:v>
                </c:pt>
                <c:pt idx="14">
                  <c:v>294</c:v>
                </c:pt>
                <c:pt idx="15">
                  <c:v>154</c:v>
                </c:pt>
                <c:pt idx="16">
                  <c:v>61</c:v>
                </c:pt>
                <c:pt idx="17">
                  <c:v>32</c:v>
                </c:pt>
                <c:pt idx="18">
                  <c:v>7</c:v>
                </c:pt>
                <c:pt idx="19">
                  <c:v>1</c:v>
                </c:pt>
                <c:pt idx="20">
                  <c:v>2</c:v>
                </c:pt>
              </c:numCache>
            </c:numRef>
          </c:yVal>
          <c:smooth val="1"/>
        </c:ser>
        <c:axId val="216767104"/>
        <c:axId val="251674624"/>
      </c:scatterChart>
      <c:valAx>
        <c:axId val="216767104"/>
        <c:scaling>
          <c:orientation val="minMax"/>
          <c:max val="0.2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dinucleotide</a:t>
                </a:r>
                <a:r>
                  <a:rPr lang="en-US" baseline="0"/>
                  <a:t> CG or GC frequency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51674624"/>
        <c:crosses val="autoZero"/>
        <c:crossBetween val="midCat"/>
      </c:valAx>
      <c:valAx>
        <c:axId val="251674624"/>
        <c:scaling>
          <c:orientation val="minMax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Number</a:t>
                </a:r>
                <a:r>
                  <a:rPr lang="en-US" baseline="0"/>
                  <a:t> of ORFs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1676710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57386111111111104"/>
          <c:y val="7.330635753864144E-2"/>
          <c:w val="0.27058333333333334"/>
          <c:h val="0.28394284047827356"/>
        </c:manualLayout>
      </c:layout>
      <c:spPr>
        <a:solidFill>
          <a:schemeClr val="bg1"/>
        </a:solidFill>
        <a:ln>
          <a:solidFill>
            <a:schemeClr val="tx1"/>
          </a:solidFill>
        </a:ln>
      </c:spPr>
      <c:txPr>
        <a:bodyPr/>
        <a:lstStyle/>
        <a:p>
          <a:pPr>
            <a:defRPr lang="en-US"/>
          </a:pPr>
          <a:endParaRPr lang="en-US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plotArea>
      <c:layout>
        <c:manualLayout>
          <c:layoutTarget val="inner"/>
          <c:xMode val="edge"/>
          <c:yMode val="edge"/>
          <c:x val="0.17004418197725732"/>
          <c:y val="5.1400554097404488E-2"/>
          <c:w val="0.63706824146982788"/>
          <c:h val="0.79822506561679785"/>
        </c:manualLayout>
      </c:layout>
      <c:barChart>
        <c:barDir val="col"/>
        <c:grouping val="clustered"/>
        <c:ser>
          <c:idx val="0"/>
          <c:order val="0"/>
          <c:tx>
            <c:strRef>
              <c:f>summary!$A$13</c:f>
              <c:strCache>
                <c:ptCount val="1"/>
                <c:pt idx="0">
                  <c:v>High CG3</c:v>
                </c:pt>
              </c:strCache>
            </c:strRef>
          </c:tx>
          <c:cat>
            <c:strRef>
              <c:f>summary!$B$12:$D$12</c:f>
              <c:strCache>
                <c:ptCount val="3"/>
                <c:pt idx="0">
                  <c:v>Rice</c:v>
                </c:pt>
                <c:pt idx="1">
                  <c:v>Sorghum</c:v>
                </c:pt>
                <c:pt idx="2">
                  <c:v>Arabidopsis</c:v>
                </c:pt>
              </c:strCache>
            </c:strRef>
          </c:cat>
          <c:val>
            <c:numRef>
              <c:f>summary!$B$13:$D$13</c:f>
              <c:numCache>
                <c:formatCode>General</c:formatCode>
                <c:ptCount val="3"/>
                <c:pt idx="0">
                  <c:v>1.0874129709942861</c:v>
                </c:pt>
                <c:pt idx="1">
                  <c:v>1.0740885462355754</c:v>
                </c:pt>
                <c:pt idx="2">
                  <c:v>0.89999302296412764</c:v>
                </c:pt>
              </c:numCache>
            </c:numRef>
          </c:val>
        </c:ser>
        <c:ser>
          <c:idx val="1"/>
          <c:order val="1"/>
          <c:tx>
            <c:strRef>
              <c:f>summary!$A$14</c:f>
              <c:strCache>
                <c:ptCount val="1"/>
                <c:pt idx="0">
                  <c:v>Low CG3</c:v>
                </c:pt>
              </c:strCache>
            </c:strRef>
          </c:tx>
          <c:cat>
            <c:strRef>
              <c:f>summary!$B$12:$D$12</c:f>
              <c:strCache>
                <c:ptCount val="3"/>
                <c:pt idx="0">
                  <c:v>Rice</c:v>
                </c:pt>
                <c:pt idx="1">
                  <c:v>Sorghum</c:v>
                </c:pt>
                <c:pt idx="2">
                  <c:v>Arabidopsis</c:v>
                </c:pt>
              </c:strCache>
            </c:strRef>
          </c:cat>
          <c:val>
            <c:numRef>
              <c:f>summary!$B$14:$D$14</c:f>
              <c:numCache>
                <c:formatCode>General</c:formatCode>
                <c:ptCount val="3"/>
                <c:pt idx="0">
                  <c:v>0.52006137517270257</c:v>
                </c:pt>
                <c:pt idx="1">
                  <c:v>0.48961490581149114</c:v>
                </c:pt>
                <c:pt idx="2">
                  <c:v>0.74270191678195574</c:v>
                </c:pt>
              </c:numCache>
            </c:numRef>
          </c:val>
        </c:ser>
        <c:axId val="263739648"/>
        <c:axId val="264400896"/>
      </c:barChart>
      <c:catAx>
        <c:axId val="2637396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64400896"/>
        <c:crosses val="autoZero"/>
        <c:auto val="1"/>
        <c:lblAlgn val="ctr"/>
        <c:lblOffset val="100"/>
      </c:catAx>
      <c:valAx>
        <c:axId val="26440089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l-GR">
                    <a:latin typeface="Trebuchet MS"/>
                  </a:rPr>
                  <a:t>ρ</a:t>
                </a:r>
                <a:r>
                  <a:rPr lang="en-US" baseline="0">
                    <a:latin typeface="Trebuchet MS"/>
                  </a:rPr>
                  <a:t>C</a:t>
                </a:r>
                <a:r>
                  <a:rPr lang="en-US" baseline="-25000">
                    <a:latin typeface="Trebuchet MS"/>
                  </a:rPr>
                  <a:t>3</a:t>
                </a:r>
                <a:r>
                  <a:rPr lang="en-US" baseline="0">
                    <a:latin typeface="Trebuchet MS"/>
                  </a:rPr>
                  <a:t>G</a:t>
                </a:r>
                <a:r>
                  <a:rPr lang="en-US" baseline="-25000">
                    <a:latin typeface="Trebuchet MS"/>
                  </a:rPr>
                  <a:t>1</a:t>
                </a:r>
                <a:endParaRPr lang="en-US" baseline="-25000"/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63739648"/>
        <c:crosses val="autoZero"/>
        <c:crossBetween val="between"/>
      </c:valAx>
      <c:spPr>
        <a:ln>
          <a:solidFill>
            <a:srgbClr val="4F81BD"/>
          </a:solidFill>
        </a:ln>
      </c:spPr>
    </c:plotArea>
    <c:legend>
      <c:legendPos val="r"/>
      <c:txPr>
        <a:bodyPr/>
        <a:lstStyle/>
        <a:p>
          <a:pPr>
            <a:defRPr lang="en-US"/>
          </a:pPr>
          <a:endParaRPr lang="en-US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summary!$A$9</c:f>
              <c:strCache>
                <c:ptCount val="1"/>
                <c:pt idx="0">
                  <c:v>High CG3</c:v>
                </c:pt>
              </c:strCache>
            </c:strRef>
          </c:tx>
          <c:cat>
            <c:strRef>
              <c:f>summary!$B$8:$D$8</c:f>
              <c:strCache>
                <c:ptCount val="3"/>
                <c:pt idx="0">
                  <c:v>Rice</c:v>
                </c:pt>
                <c:pt idx="1">
                  <c:v>Sorghum</c:v>
                </c:pt>
                <c:pt idx="2">
                  <c:v>Arabidopsis</c:v>
                </c:pt>
              </c:strCache>
            </c:strRef>
          </c:cat>
          <c:val>
            <c:numRef>
              <c:f>summary!$B$9:$D$9</c:f>
              <c:numCache>
                <c:formatCode>General</c:formatCode>
                <c:ptCount val="3"/>
                <c:pt idx="0">
                  <c:v>1.1484500310439367</c:v>
                </c:pt>
                <c:pt idx="1">
                  <c:v>1.12044289813877</c:v>
                </c:pt>
                <c:pt idx="2">
                  <c:v>0.77172973338495365</c:v>
                </c:pt>
              </c:numCache>
            </c:numRef>
          </c:val>
        </c:ser>
        <c:ser>
          <c:idx val="1"/>
          <c:order val="1"/>
          <c:tx>
            <c:strRef>
              <c:f>summary!$A$10</c:f>
              <c:strCache>
                <c:ptCount val="1"/>
                <c:pt idx="0">
                  <c:v>Low CG3</c:v>
                </c:pt>
              </c:strCache>
            </c:strRef>
          </c:tx>
          <c:cat>
            <c:strRef>
              <c:f>summary!$B$8:$D$8</c:f>
              <c:strCache>
                <c:ptCount val="3"/>
                <c:pt idx="0">
                  <c:v>Rice</c:v>
                </c:pt>
                <c:pt idx="1">
                  <c:v>Sorghum</c:v>
                </c:pt>
                <c:pt idx="2">
                  <c:v>Arabidopsis</c:v>
                </c:pt>
              </c:strCache>
            </c:strRef>
          </c:cat>
          <c:val>
            <c:numRef>
              <c:f>summary!$B$10:$D$10</c:f>
              <c:numCache>
                <c:formatCode>General</c:formatCode>
                <c:ptCount val="3"/>
                <c:pt idx="0">
                  <c:v>0.4692476572750533</c:v>
                </c:pt>
                <c:pt idx="1">
                  <c:v>0.44699568534104861</c:v>
                </c:pt>
                <c:pt idx="2">
                  <c:v>0.59209952141294531</c:v>
                </c:pt>
              </c:numCache>
            </c:numRef>
          </c:val>
        </c:ser>
        <c:axId val="275142144"/>
        <c:axId val="275323904"/>
      </c:barChart>
      <c:catAx>
        <c:axId val="2751421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75323904"/>
        <c:crosses val="autoZero"/>
        <c:auto val="1"/>
        <c:lblAlgn val="ctr"/>
        <c:lblOffset val="100"/>
      </c:catAx>
      <c:valAx>
        <c:axId val="275323904"/>
        <c:scaling>
          <c:orientation val="minMax"/>
          <c:max val="1.2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>
                    <a:latin typeface="Trebuchet MS"/>
                  </a:rPr>
                  <a:t>ρC</a:t>
                </a:r>
                <a:r>
                  <a:rPr lang="en-US" baseline="-25000">
                    <a:latin typeface="Trebuchet MS"/>
                  </a:rPr>
                  <a:t>2</a:t>
                </a:r>
                <a:r>
                  <a:rPr lang="en-US">
                    <a:latin typeface="Trebuchet MS"/>
                  </a:rPr>
                  <a:t>G</a:t>
                </a:r>
                <a:r>
                  <a:rPr lang="en-US" baseline="-25000">
                    <a:latin typeface="Trebuchet MS"/>
                  </a:rPr>
                  <a:t>3</a:t>
                </a:r>
                <a:endParaRPr lang="en-US" baseline="-25000"/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75142144"/>
        <c:crosses val="autoZero"/>
        <c:crossBetween val="between"/>
      </c:valAx>
      <c:spPr>
        <a:ln>
          <a:solidFill>
            <a:srgbClr val="4F81BD"/>
          </a:solidFill>
        </a:ln>
      </c:spPr>
    </c:plotArea>
    <c:legend>
      <c:legendPos val="r"/>
      <c:txPr>
        <a:bodyPr/>
        <a:lstStyle/>
        <a:p>
          <a:pPr>
            <a:defRPr lang="en-US"/>
          </a:pPr>
          <a:endParaRPr lang="en-US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 lang="en-US"/>
            </a:pPr>
            <a:r>
              <a:rPr lang="en-US" sz="1800" b="1" i="0" u="none" strike="noStrike" baseline="0"/>
              <a:t>HEAT repeat</a:t>
            </a:r>
            <a:endParaRPr lang="en-US"/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HEAT!$A$1</c:f>
              <c:strCache>
                <c:ptCount val="1"/>
                <c:pt idx="0">
                  <c:v>ρCG</c:v>
                </c:pt>
              </c:strCache>
            </c:strRef>
          </c:tx>
          <c:spPr>
            <a:ln>
              <a:prstDash val="dash"/>
            </a:ln>
          </c:spPr>
          <c:xVal>
            <c:numRef>
              <c:f>HEAT!$A$2:$A$6</c:f>
              <c:numCache>
                <c:formatCode>General</c:formatCode>
                <c:ptCount val="5"/>
                <c:pt idx="0">
                  <c:v>0.30000000000000032</c:v>
                </c:pt>
                <c:pt idx="1">
                  <c:v>0.4</c:v>
                </c:pt>
                <c:pt idx="2">
                  <c:v>0.5</c:v>
                </c:pt>
                <c:pt idx="3">
                  <c:v>0.60000000000000064</c:v>
                </c:pt>
                <c:pt idx="4">
                  <c:v>0.8</c:v>
                </c:pt>
              </c:numCache>
            </c:numRef>
          </c:xVal>
          <c:yVal>
            <c:numRef>
              <c:f>HEAT!$B$2:$B$6</c:f>
              <c:numCache>
                <c:formatCode>General</c:formatCode>
                <c:ptCount val="5"/>
                <c:pt idx="0">
                  <c:v>7</c:v>
                </c:pt>
                <c:pt idx="1">
                  <c:v>5</c:v>
                </c:pt>
                <c:pt idx="2">
                  <c:v>12</c:v>
                </c:pt>
                <c:pt idx="3">
                  <c:v>5</c:v>
                </c:pt>
                <c:pt idx="4">
                  <c:v>3</c:v>
                </c:pt>
              </c:numCache>
            </c:numRef>
          </c:yVal>
        </c:ser>
        <c:ser>
          <c:idx val="1"/>
          <c:order val="1"/>
          <c:tx>
            <c:strRef>
              <c:f>HEAT!$C$1</c:f>
              <c:strCache>
                <c:ptCount val="1"/>
                <c:pt idx="0">
                  <c:v>ρC3G1</c:v>
                </c:pt>
              </c:strCache>
            </c:strRef>
          </c:tx>
          <c:spPr>
            <a:ln>
              <a:prstDash val="dash"/>
            </a:ln>
          </c:spPr>
          <c:xVal>
            <c:numRef>
              <c:f>HEAT!$C$2:$C$7</c:f>
              <c:numCache>
                <c:formatCode>General</c:formatCode>
                <c:ptCount val="6"/>
                <c:pt idx="0">
                  <c:v>0.2</c:v>
                </c:pt>
                <c:pt idx="1">
                  <c:v>0.30000000000000032</c:v>
                </c:pt>
                <c:pt idx="2">
                  <c:v>0.4</c:v>
                </c:pt>
                <c:pt idx="3">
                  <c:v>0.5</c:v>
                </c:pt>
                <c:pt idx="4">
                  <c:v>0.60000000000000064</c:v>
                </c:pt>
                <c:pt idx="5">
                  <c:v>0.8</c:v>
                </c:pt>
              </c:numCache>
            </c:numRef>
          </c:xVal>
          <c:yVal>
            <c:numRef>
              <c:f>HEAT!$D$2:$D$7</c:f>
              <c:numCache>
                <c:formatCode>General</c:formatCode>
                <c:ptCount val="6"/>
                <c:pt idx="0">
                  <c:v>1</c:v>
                </c:pt>
                <c:pt idx="1">
                  <c:v>10</c:v>
                </c:pt>
                <c:pt idx="2">
                  <c:v>1</c:v>
                </c:pt>
                <c:pt idx="3">
                  <c:v>13</c:v>
                </c:pt>
                <c:pt idx="4">
                  <c:v>6</c:v>
                </c:pt>
                <c:pt idx="5">
                  <c:v>1</c:v>
                </c:pt>
              </c:numCache>
            </c:numRef>
          </c:yVal>
        </c:ser>
        <c:ser>
          <c:idx val="2"/>
          <c:order val="2"/>
          <c:tx>
            <c:strRef>
              <c:f>HEAT!$E$1</c:f>
              <c:strCache>
                <c:ptCount val="1"/>
                <c:pt idx="0">
                  <c:v>ρC2G3</c:v>
                </c:pt>
              </c:strCache>
            </c:strRef>
          </c:tx>
          <c:spPr>
            <a:ln>
              <a:prstDash val="dash"/>
            </a:ln>
          </c:spPr>
          <c:xVal>
            <c:numRef>
              <c:f>HEAT!$E$2:$E$13</c:f>
              <c:numCache>
                <c:formatCode>General</c:formatCode>
                <c:ptCount val="12"/>
                <c:pt idx="0">
                  <c:v>0.1</c:v>
                </c:pt>
                <c:pt idx="1">
                  <c:v>0.2</c:v>
                </c:pt>
                <c:pt idx="2">
                  <c:v>0.30000000000000032</c:v>
                </c:pt>
                <c:pt idx="3">
                  <c:v>0.4</c:v>
                </c:pt>
                <c:pt idx="4">
                  <c:v>0.5</c:v>
                </c:pt>
                <c:pt idx="5">
                  <c:v>0.60000000000000064</c:v>
                </c:pt>
                <c:pt idx="6">
                  <c:v>0.70000000000000062</c:v>
                </c:pt>
                <c:pt idx="7">
                  <c:v>0.8</c:v>
                </c:pt>
                <c:pt idx="8">
                  <c:v>0.9</c:v>
                </c:pt>
              </c:numCache>
            </c:numRef>
          </c:xVal>
          <c:yVal>
            <c:numRef>
              <c:f>HEAT!$F$2:$F$13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14</c:v>
                </c:pt>
                <c:pt idx="3">
                  <c:v>8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</c:numCache>
            </c:numRef>
          </c:yVal>
        </c:ser>
        <c:ser>
          <c:idx val="3"/>
          <c:order val="3"/>
          <c:tx>
            <c:strRef>
              <c:f>HEAT!$G$1</c:f>
              <c:strCache>
                <c:ptCount val="1"/>
                <c:pt idx="0">
                  <c:v>ρCWG</c:v>
                </c:pt>
              </c:strCache>
            </c:strRef>
          </c:tx>
          <c:xVal>
            <c:numRef>
              <c:f>HEAT!$G$2:$G$4</c:f>
              <c:numCache>
                <c:formatCode>General</c:formatCode>
                <c:ptCount val="3"/>
                <c:pt idx="0">
                  <c:v>0.8</c:v>
                </c:pt>
                <c:pt idx="1">
                  <c:v>0.9</c:v>
                </c:pt>
                <c:pt idx="2">
                  <c:v>1</c:v>
                </c:pt>
              </c:numCache>
            </c:numRef>
          </c:xVal>
          <c:yVal>
            <c:numRef>
              <c:f>HEAT!$H$2:$H$4</c:f>
              <c:numCache>
                <c:formatCode>General</c:formatCode>
                <c:ptCount val="3"/>
                <c:pt idx="0">
                  <c:v>1</c:v>
                </c:pt>
                <c:pt idx="1">
                  <c:v>10</c:v>
                </c:pt>
                <c:pt idx="2">
                  <c:v>21</c:v>
                </c:pt>
              </c:numCache>
            </c:numRef>
          </c:yVal>
        </c:ser>
        <c:ser>
          <c:idx val="4"/>
          <c:order val="4"/>
          <c:tx>
            <c:strRef>
              <c:f>HEAT!$I$1</c:f>
              <c:strCache>
                <c:ptCount val="1"/>
                <c:pt idx="0">
                  <c:v>ρC1W2G3</c:v>
                </c:pt>
              </c:strCache>
            </c:strRef>
          </c:tx>
          <c:xVal>
            <c:numRef>
              <c:f>HEAT!$I$2:$I$5</c:f>
              <c:numCache>
                <c:formatCode>General</c:formatCode>
                <c:ptCount val="4"/>
                <c:pt idx="0">
                  <c:v>0.9</c:v>
                </c:pt>
                <c:pt idx="1">
                  <c:v>1</c:v>
                </c:pt>
                <c:pt idx="2">
                  <c:v>1.1000000000000001</c:v>
                </c:pt>
                <c:pt idx="3">
                  <c:v>1.2</c:v>
                </c:pt>
              </c:numCache>
            </c:numRef>
          </c:xVal>
          <c:yVal>
            <c:numRef>
              <c:f>HEAT!$J$2:$J$5</c:f>
              <c:numCache>
                <c:formatCode>General</c:formatCode>
                <c:ptCount val="4"/>
                <c:pt idx="0">
                  <c:v>7</c:v>
                </c:pt>
                <c:pt idx="1">
                  <c:v>21</c:v>
                </c:pt>
                <c:pt idx="2">
                  <c:v>3</c:v>
                </c:pt>
                <c:pt idx="3">
                  <c:v>1</c:v>
                </c:pt>
              </c:numCache>
            </c:numRef>
          </c:yVal>
        </c:ser>
        <c:ser>
          <c:idx val="5"/>
          <c:order val="5"/>
          <c:tx>
            <c:strRef>
              <c:f>HEAT!$K$1</c:f>
              <c:strCache>
                <c:ptCount val="1"/>
                <c:pt idx="0">
                  <c:v>ρC3W1G2</c:v>
                </c:pt>
              </c:strCache>
            </c:strRef>
          </c:tx>
          <c:xVal>
            <c:numRef>
              <c:f>HEAT!$K$2:$K$7</c:f>
              <c:numCache>
                <c:formatCode>General</c:formatCode>
                <c:ptCount val="6"/>
                <c:pt idx="0">
                  <c:v>0.70000000000000062</c:v>
                </c:pt>
                <c:pt idx="1">
                  <c:v>0.8</c:v>
                </c:pt>
                <c:pt idx="2">
                  <c:v>0.9</c:v>
                </c:pt>
                <c:pt idx="3">
                  <c:v>1</c:v>
                </c:pt>
                <c:pt idx="4">
                  <c:v>1.1000000000000001</c:v>
                </c:pt>
                <c:pt idx="5">
                  <c:v>1.2</c:v>
                </c:pt>
              </c:numCache>
            </c:numRef>
          </c:xVal>
          <c:yVal>
            <c:numRef>
              <c:f>HEAT!$L$2:$L$7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12</c:v>
                </c:pt>
                <c:pt idx="3">
                  <c:v>10</c:v>
                </c:pt>
                <c:pt idx="4">
                  <c:v>5</c:v>
                </c:pt>
                <c:pt idx="5">
                  <c:v>1</c:v>
                </c:pt>
              </c:numCache>
            </c:numRef>
          </c:yVal>
        </c:ser>
        <c:axId val="276911232"/>
        <c:axId val="190997632"/>
      </c:scatterChart>
      <c:valAx>
        <c:axId val="276911232"/>
        <c:scaling>
          <c:orientation val="minMax"/>
          <c:max val="1.2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Relative</a:t>
                </a:r>
                <a:r>
                  <a:rPr lang="en-US" baseline="0"/>
                  <a:t> abundance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0997632"/>
        <c:crosses val="autoZero"/>
        <c:crossBetween val="midCat"/>
      </c:valAx>
      <c:valAx>
        <c:axId val="19099763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Number  of</a:t>
                </a:r>
                <a:r>
                  <a:rPr lang="en-US" baseline="0"/>
                  <a:t> genes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76911232"/>
        <c:crosses val="autoZero"/>
        <c:crossBetween val="midCat"/>
      </c:valAx>
    </c:plotArea>
    <c:legend>
      <c:legendPos val="r"/>
      <c:spPr>
        <a:solidFill>
          <a:sysClr val="window" lastClr="FFFFFF"/>
        </a:solidFill>
        <a:ln>
          <a:solidFill>
            <a:schemeClr val="accent1"/>
          </a:solidFill>
        </a:ln>
      </c:spPr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</c:chart>
  <c:spPr>
    <a:ln w="12700">
      <a:solidFill>
        <a:schemeClr val="tx1"/>
      </a:solidFill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 lang="en-US"/>
            </a:pPr>
            <a:r>
              <a:rPr lang="en-US"/>
              <a:t>Protein</a:t>
            </a:r>
            <a:r>
              <a:rPr lang="en-US" baseline="0"/>
              <a:t> kinases</a:t>
            </a:r>
            <a:endParaRPr lang="en-US"/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Pkinase!$A$1</c:f>
              <c:strCache>
                <c:ptCount val="1"/>
                <c:pt idx="0">
                  <c:v>ρCG</c:v>
                </c:pt>
              </c:strCache>
            </c:strRef>
          </c:tx>
          <c:spPr>
            <a:ln>
              <a:prstDash val="dash"/>
            </a:ln>
          </c:spPr>
          <c:xVal>
            <c:numRef>
              <c:f>Pkinase!$A$2:$A$13</c:f>
              <c:numCache>
                <c:formatCode>General</c:formatCode>
                <c:ptCount val="12"/>
                <c:pt idx="0">
                  <c:v>0.2</c:v>
                </c:pt>
                <c:pt idx="1">
                  <c:v>0.30000000000000032</c:v>
                </c:pt>
                <c:pt idx="2">
                  <c:v>0.4</c:v>
                </c:pt>
                <c:pt idx="3">
                  <c:v>0.5</c:v>
                </c:pt>
                <c:pt idx="4">
                  <c:v>0.60000000000000064</c:v>
                </c:pt>
                <c:pt idx="5">
                  <c:v>0.70000000000000062</c:v>
                </c:pt>
                <c:pt idx="6">
                  <c:v>0.8</c:v>
                </c:pt>
                <c:pt idx="7">
                  <c:v>0.9</c:v>
                </c:pt>
                <c:pt idx="8">
                  <c:v>1</c:v>
                </c:pt>
                <c:pt idx="9">
                  <c:v>1.1000000000000001</c:v>
                </c:pt>
                <c:pt idx="10">
                  <c:v>1.2</c:v>
                </c:pt>
                <c:pt idx="11">
                  <c:v>1.3</c:v>
                </c:pt>
              </c:numCache>
            </c:numRef>
          </c:xVal>
          <c:yVal>
            <c:numRef>
              <c:f>Pkinase!$B$2:$B$13</c:f>
              <c:numCache>
                <c:formatCode>General</c:formatCode>
                <c:ptCount val="12"/>
                <c:pt idx="0">
                  <c:v>4</c:v>
                </c:pt>
                <c:pt idx="1">
                  <c:v>17</c:v>
                </c:pt>
                <c:pt idx="2">
                  <c:v>80</c:v>
                </c:pt>
                <c:pt idx="3">
                  <c:v>90</c:v>
                </c:pt>
                <c:pt idx="4">
                  <c:v>79</c:v>
                </c:pt>
                <c:pt idx="5">
                  <c:v>59</c:v>
                </c:pt>
                <c:pt idx="6">
                  <c:v>67</c:v>
                </c:pt>
                <c:pt idx="7">
                  <c:v>55</c:v>
                </c:pt>
                <c:pt idx="8">
                  <c:v>48</c:v>
                </c:pt>
                <c:pt idx="9">
                  <c:v>72</c:v>
                </c:pt>
                <c:pt idx="10">
                  <c:v>59</c:v>
                </c:pt>
                <c:pt idx="11">
                  <c:v>13</c:v>
                </c:pt>
              </c:numCache>
            </c:numRef>
          </c:yVal>
        </c:ser>
        <c:ser>
          <c:idx val="1"/>
          <c:order val="1"/>
          <c:tx>
            <c:strRef>
              <c:f>Pkinase!$C$1</c:f>
              <c:strCache>
                <c:ptCount val="1"/>
                <c:pt idx="0">
                  <c:v>ρC3G1</c:v>
                </c:pt>
              </c:strCache>
            </c:strRef>
          </c:tx>
          <c:spPr>
            <a:ln>
              <a:prstDash val="dash"/>
            </a:ln>
          </c:spPr>
          <c:xVal>
            <c:numRef>
              <c:f>Pkinase!$C$2:$C$14</c:f>
              <c:numCache>
                <c:formatCode>General</c:formatCode>
                <c:ptCount val="13"/>
                <c:pt idx="0">
                  <c:v>0.1</c:v>
                </c:pt>
                <c:pt idx="1">
                  <c:v>0.2</c:v>
                </c:pt>
                <c:pt idx="2">
                  <c:v>0.30000000000000032</c:v>
                </c:pt>
                <c:pt idx="3">
                  <c:v>0.4</c:v>
                </c:pt>
                <c:pt idx="4">
                  <c:v>0.5</c:v>
                </c:pt>
                <c:pt idx="5">
                  <c:v>0.60000000000000064</c:v>
                </c:pt>
                <c:pt idx="6">
                  <c:v>0.70000000000000062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  <c:pt idx="10">
                  <c:v>1.1000000000000001</c:v>
                </c:pt>
                <c:pt idx="11">
                  <c:v>1.2</c:v>
                </c:pt>
                <c:pt idx="12">
                  <c:v>1.3</c:v>
                </c:pt>
              </c:numCache>
            </c:numRef>
          </c:xVal>
          <c:yVal>
            <c:numRef>
              <c:f>Pkinase!$D$2:$D$14</c:f>
              <c:numCache>
                <c:formatCode>General</c:formatCode>
                <c:ptCount val="13"/>
                <c:pt idx="0">
                  <c:v>3</c:v>
                </c:pt>
                <c:pt idx="1">
                  <c:v>12</c:v>
                </c:pt>
                <c:pt idx="2">
                  <c:v>50</c:v>
                </c:pt>
                <c:pt idx="3">
                  <c:v>61</c:v>
                </c:pt>
                <c:pt idx="4">
                  <c:v>85</c:v>
                </c:pt>
                <c:pt idx="5">
                  <c:v>56</c:v>
                </c:pt>
                <c:pt idx="6">
                  <c:v>63</c:v>
                </c:pt>
                <c:pt idx="7">
                  <c:v>52</c:v>
                </c:pt>
                <c:pt idx="8">
                  <c:v>66</c:v>
                </c:pt>
                <c:pt idx="9">
                  <c:v>78</c:v>
                </c:pt>
                <c:pt idx="10">
                  <c:v>69</c:v>
                </c:pt>
                <c:pt idx="11">
                  <c:v>38</c:v>
                </c:pt>
                <c:pt idx="12">
                  <c:v>9</c:v>
                </c:pt>
              </c:numCache>
            </c:numRef>
          </c:yVal>
        </c:ser>
        <c:ser>
          <c:idx val="2"/>
          <c:order val="2"/>
          <c:tx>
            <c:strRef>
              <c:f>Pkinase!$E$1</c:f>
              <c:strCache>
                <c:ptCount val="1"/>
                <c:pt idx="0">
                  <c:v>ρC2G3</c:v>
                </c:pt>
              </c:strCache>
            </c:strRef>
          </c:tx>
          <c:spPr>
            <a:ln>
              <a:prstDash val="dash"/>
            </a:ln>
          </c:spPr>
          <c:xVal>
            <c:numRef>
              <c:f>Pkinase!$E$2:$E$17</c:f>
              <c:numCache>
                <c:formatCode>General</c:formatCode>
                <c:ptCount val="16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0.30000000000000032</c:v>
                </c:pt>
                <c:pt idx="4">
                  <c:v>0.4</c:v>
                </c:pt>
                <c:pt idx="5">
                  <c:v>0.5</c:v>
                </c:pt>
                <c:pt idx="6">
                  <c:v>0.60000000000000064</c:v>
                </c:pt>
                <c:pt idx="7">
                  <c:v>0.70000000000000062</c:v>
                </c:pt>
                <c:pt idx="8">
                  <c:v>0.8</c:v>
                </c:pt>
                <c:pt idx="9">
                  <c:v>0.9</c:v>
                </c:pt>
                <c:pt idx="10">
                  <c:v>1</c:v>
                </c:pt>
                <c:pt idx="11">
                  <c:v>1.1000000000000001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</c:numCache>
            </c:numRef>
          </c:xVal>
          <c:yVal>
            <c:numRef>
              <c:f>Pkinase!$F$2:$F$17</c:f>
              <c:numCache>
                <c:formatCode>General</c:formatCode>
                <c:ptCount val="16"/>
                <c:pt idx="0">
                  <c:v>2</c:v>
                </c:pt>
                <c:pt idx="1">
                  <c:v>6</c:v>
                </c:pt>
                <c:pt idx="2">
                  <c:v>21</c:v>
                </c:pt>
                <c:pt idx="3">
                  <c:v>52</c:v>
                </c:pt>
                <c:pt idx="4">
                  <c:v>71</c:v>
                </c:pt>
                <c:pt idx="5">
                  <c:v>90</c:v>
                </c:pt>
                <c:pt idx="6">
                  <c:v>64</c:v>
                </c:pt>
                <c:pt idx="7">
                  <c:v>54</c:v>
                </c:pt>
                <c:pt idx="8">
                  <c:v>44</c:v>
                </c:pt>
                <c:pt idx="9">
                  <c:v>37</c:v>
                </c:pt>
                <c:pt idx="10">
                  <c:v>44</c:v>
                </c:pt>
                <c:pt idx="11">
                  <c:v>53</c:v>
                </c:pt>
                <c:pt idx="12">
                  <c:v>62</c:v>
                </c:pt>
                <c:pt idx="13">
                  <c:v>26</c:v>
                </c:pt>
                <c:pt idx="14">
                  <c:v>16</c:v>
                </c:pt>
                <c:pt idx="15">
                  <c:v>1</c:v>
                </c:pt>
              </c:numCache>
            </c:numRef>
          </c:yVal>
        </c:ser>
        <c:ser>
          <c:idx val="3"/>
          <c:order val="3"/>
          <c:tx>
            <c:strRef>
              <c:f>Pkinase!$G$1</c:f>
              <c:strCache>
                <c:ptCount val="1"/>
                <c:pt idx="0">
                  <c:v>ρCWG</c:v>
                </c:pt>
              </c:strCache>
            </c:strRef>
          </c:tx>
          <c:xVal>
            <c:numRef>
              <c:f>Pkinase!$G$2:$G$7</c:f>
              <c:numCache>
                <c:formatCode>General</c:formatCode>
                <c:ptCount val="6"/>
                <c:pt idx="0">
                  <c:v>0.60000000000000064</c:v>
                </c:pt>
                <c:pt idx="1">
                  <c:v>0.70000000000000062</c:v>
                </c:pt>
                <c:pt idx="2">
                  <c:v>0.8</c:v>
                </c:pt>
                <c:pt idx="3">
                  <c:v>0.9</c:v>
                </c:pt>
                <c:pt idx="4">
                  <c:v>1</c:v>
                </c:pt>
                <c:pt idx="5">
                  <c:v>1.1000000000000001</c:v>
                </c:pt>
              </c:numCache>
            </c:numRef>
          </c:xVal>
          <c:yVal>
            <c:numRef>
              <c:f>Pkinase!$H$2:$H$7</c:f>
              <c:numCache>
                <c:formatCode>General</c:formatCode>
                <c:ptCount val="6"/>
                <c:pt idx="0">
                  <c:v>2</c:v>
                </c:pt>
                <c:pt idx="1">
                  <c:v>14</c:v>
                </c:pt>
                <c:pt idx="2">
                  <c:v>100</c:v>
                </c:pt>
                <c:pt idx="3">
                  <c:v>305</c:v>
                </c:pt>
                <c:pt idx="4">
                  <c:v>208</c:v>
                </c:pt>
                <c:pt idx="5">
                  <c:v>14</c:v>
                </c:pt>
              </c:numCache>
            </c:numRef>
          </c:yVal>
        </c:ser>
        <c:ser>
          <c:idx val="4"/>
          <c:order val="4"/>
          <c:tx>
            <c:strRef>
              <c:f>Pkinase!$I$1</c:f>
              <c:strCache>
                <c:ptCount val="1"/>
                <c:pt idx="0">
                  <c:v>ρC1W2G3</c:v>
                </c:pt>
              </c:strCache>
            </c:strRef>
          </c:tx>
          <c:xVal>
            <c:numRef>
              <c:f>Pkinase!$I$2:$I$11</c:f>
              <c:numCache>
                <c:formatCode>General</c:formatCode>
                <c:ptCount val="10"/>
                <c:pt idx="0">
                  <c:v>0.4</c:v>
                </c:pt>
                <c:pt idx="1">
                  <c:v>0.60000000000000064</c:v>
                </c:pt>
                <c:pt idx="2">
                  <c:v>0.70000000000000062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1.1000000000000001</c:v>
                </c:pt>
                <c:pt idx="7">
                  <c:v>1.2</c:v>
                </c:pt>
                <c:pt idx="8">
                  <c:v>1.3</c:v>
                </c:pt>
                <c:pt idx="9">
                  <c:v>1.4</c:v>
                </c:pt>
              </c:numCache>
            </c:numRef>
          </c:xVal>
          <c:yVal>
            <c:numRef>
              <c:f>Pkinase!$J$2:$J$11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8</c:v>
                </c:pt>
                <c:pt idx="3">
                  <c:v>74</c:v>
                </c:pt>
                <c:pt idx="4">
                  <c:v>206</c:v>
                </c:pt>
                <c:pt idx="5">
                  <c:v>220</c:v>
                </c:pt>
                <c:pt idx="6">
                  <c:v>95</c:v>
                </c:pt>
                <c:pt idx="7">
                  <c:v>28</c:v>
                </c:pt>
                <c:pt idx="8">
                  <c:v>7</c:v>
                </c:pt>
                <c:pt idx="9">
                  <c:v>1</c:v>
                </c:pt>
              </c:numCache>
            </c:numRef>
          </c:yVal>
        </c:ser>
        <c:ser>
          <c:idx val="5"/>
          <c:order val="5"/>
          <c:tx>
            <c:strRef>
              <c:f>Pkinase!$K$1</c:f>
              <c:strCache>
                <c:ptCount val="1"/>
                <c:pt idx="0">
                  <c:v>ρC3W1G2</c:v>
                </c:pt>
              </c:strCache>
            </c:strRef>
          </c:tx>
          <c:xVal>
            <c:numRef>
              <c:f>Pkinase!$K$2:$K$13</c:f>
              <c:numCache>
                <c:formatCode>General</c:formatCode>
                <c:ptCount val="12"/>
                <c:pt idx="0">
                  <c:v>0.4</c:v>
                </c:pt>
                <c:pt idx="1">
                  <c:v>0.5</c:v>
                </c:pt>
                <c:pt idx="2">
                  <c:v>0.60000000000000064</c:v>
                </c:pt>
                <c:pt idx="3">
                  <c:v>0.70000000000000062</c:v>
                </c:pt>
                <c:pt idx="4">
                  <c:v>0.8</c:v>
                </c:pt>
                <c:pt idx="5">
                  <c:v>0.9</c:v>
                </c:pt>
                <c:pt idx="6">
                  <c:v>1</c:v>
                </c:pt>
                <c:pt idx="7">
                  <c:v>1.1000000000000001</c:v>
                </c:pt>
                <c:pt idx="8">
                  <c:v>1.2</c:v>
                </c:pt>
                <c:pt idx="9">
                  <c:v>1.3</c:v>
                </c:pt>
                <c:pt idx="10">
                  <c:v>1.4</c:v>
                </c:pt>
                <c:pt idx="11">
                  <c:v>1.6</c:v>
                </c:pt>
              </c:numCache>
            </c:numRef>
          </c:xVal>
          <c:yVal>
            <c:numRef>
              <c:f>Pkinase!$L$2:$L$13</c:f>
              <c:numCache>
                <c:formatCode>General</c:formatCode>
                <c:ptCount val="12"/>
                <c:pt idx="0">
                  <c:v>1</c:v>
                </c:pt>
                <c:pt idx="1">
                  <c:v>5</c:v>
                </c:pt>
                <c:pt idx="2">
                  <c:v>28</c:v>
                </c:pt>
                <c:pt idx="3">
                  <c:v>52</c:v>
                </c:pt>
                <c:pt idx="4">
                  <c:v>137</c:v>
                </c:pt>
                <c:pt idx="5">
                  <c:v>165</c:v>
                </c:pt>
                <c:pt idx="6">
                  <c:v>139</c:v>
                </c:pt>
                <c:pt idx="7">
                  <c:v>76</c:v>
                </c:pt>
                <c:pt idx="8">
                  <c:v>27</c:v>
                </c:pt>
                <c:pt idx="9">
                  <c:v>8</c:v>
                </c:pt>
                <c:pt idx="10">
                  <c:v>4</c:v>
                </c:pt>
                <c:pt idx="11">
                  <c:v>1</c:v>
                </c:pt>
              </c:numCache>
            </c:numRef>
          </c:yVal>
        </c:ser>
        <c:axId val="191267968"/>
        <c:axId val="191269888"/>
      </c:scatterChart>
      <c:valAx>
        <c:axId val="191267968"/>
        <c:scaling>
          <c:orientation val="minMax"/>
          <c:max val="1.5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Relative</a:t>
                </a:r>
                <a:r>
                  <a:rPr lang="en-US" baseline="0"/>
                  <a:t> abundance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269888"/>
        <c:crosses val="autoZero"/>
        <c:crossBetween val="midCat"/>
      </c:valAx>
      <c:valAx>
        <c:axId val="19126988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Number  of</a:t>
                </a:r>
                <a:r>
                  <a:rPr lang="en-US" baseline="0"/>
                  <a:t> genes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267968"/>
        <c:crosses val="autoZero"/>
        <c:crossBetween val="midCat"/>
      </c:valAx>
    </c:plotArea>
    <c:legend>
      <c:legendPos val="r"/>
      <c:spPr>
        <a:solidFill>
          <a:sysClr val="window" lastClr="FFFFFF"/>
        </a:solidFill>
        <a:ln>
          <a:solidFill>
            <a:schemeClr val="accent1"/>
          </a:solidFill>
        </a:ln>
      </c:spPr>
      <c:txPr>
        <a:bodyPr/>
        <a:lstStyle/>
        <a:p>
          <a:pPr>
            <a:defRPr lang="en-US" sz="800"/>
          </a:pPr>
          <a:endParaRPr lang="en-US"/>
        </a:p>
      </c:txPr>
    </c:legend>
    <c:plotVisOnly val="1"/>
    <c:dispBlanksAs val="gap"/>
  </c:chart>
  <c:spPr>
    <a:ln w="12700">
      <a:solidFill>
        <a:schemeClr val="tx1"/>
      </a:solidFill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plotArea>
      <c:layout>
        <c:manualLayout>
          <c:layoutTarget val="inner"/>
          <c:xMode val="edge"/>
          <c:yMode val="edge"/>
          <c:x val="0.15615529308836473"/>
          <c:y val="5.1400554097404488E-2"/>
          <c:w val="0.78478915135608063"/>
          <c:h val="0.76949803149606522"/>
        </c:manualLayout>
      </c:layout>
      <c:scatterChart>
        <c:scatterStyle val="smoothMarker"/>
        <c:ser>
          <c:idx val="0"/>
          <c:order val="0"/>
          <c:tx>
            <c:strRef>
              <c:f>Sheet1!$G$1</c:f>
              <c:strCache>
                <c:ptCount val="1"/>
                <c:pt idx="0">
                  <c:v>Honey bee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Sheet1!$F$2:$F$12</c:f>
              <c:numCache>
                <c:formatCode>General</c:formatCode>
                <c:ptCount val="1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0.30000000000000032</c:v>
                </c:pt>
                <c:pt idx="4">
                  <c:v>0.4</c:v>
                </c:pt>
                <c:pt idx="5">
                  <c:v>0.5</c:v>
                </c:pt>
                <c:pt idx="6">
                  <c:v>0.60000000000000064</c:v>
                </c:pt>
                <c:pt idx="7">
                  <c:v>0.70000000000000062</c:v>
                </c:pt>
                <c:pt idx="8">
                  <c:v>0.8</c:v>
                </c:pt>
                <c:pt idx="9">
                  <c:v>0.9</c:v>
                </c:pt>
                <c:pt idx="10">
                  <c:v>1</c:v>
                </c:pt>
              </c:numCache>
            </c:numRef>
          </c:xVal>
          <c:yVal>
            <c:numRef>
              <c:f>Sheet1!$G$2:$G$12</c:f>
              <c:numCache>
                <c:formatCode>General</c:formatCode>
                <c:ptCount val="11"/>
                <c:pt idx="0">
                  <c:v>1.0566400000000047E-4</c:v>
                </c:pt>
                <c:pt idx="1">
                  <c:v>0.20879120900000056</c:v>
                </c:pt>
                <c:pt idx="2">
                  <c:v>0.31846999200000142</c:v>
                </c:pt>
                <c:pt idx="3">
                  <c:v>0.12954353299999999</c:v>
                </c:pt>
                <c:pt idx="4">
                  <c:v>9.1504649000000354E-2</c:v>
                </c:pt>
                <c:pt idx="5">
                  <c:v>7.8402367000000014E-2</c:v>
                </c:pt>
                <c:pt idx="6">
                  <c:v>7.7662722000000114E-2</c:v>
                </c:pt>
                <c:pt idx="7">
                  <c:v>6.2764159E-2</c:v>
                </c:pt>
                <c:pt idx="8">
                  <c:v>2.8846153999999999E-2</c:v>
                </c:pt>
                <c:pt idx="9">
                  <c:v>3.8038880000000079E-3</c:v>
                </c:pt>
                <c:pt idx="10">
                  <c:v>1.0566400000000047E-4</c:v>
                </c:pt>
              </c:numCache>
            </c:numRef>
          </c:yVal>
          <c:smooth val="1"/>
        </c:ser>
        <c:ser>
          <c:idx val="3"/>
          <c:order val="1"/>
          <c:tx>
            <c:strRef>
              <c:f>Sheet1!$V$1</c:f>
              <c:strCache>
                <c:ptCount val="1"/>
                <c:pt idx="0">
                  <c:v>Fruit fly</c:v>
                </c:pt>
              </c:strCache>
            </c:strRef>
          </c:tx>
          <c:marker>
            <c:symbol val="none"/>
          </c:marker>
          <c:xVal>
            <c:numRef>
              <c:f>Sheet1!$U$2:$U$11</c:f>
              <c:numCache>
                <c:formatCode>General</c:formatCode>
                <c:ptCount val="10"/>
                <c:pt idx="0">
                  <c:v>0.1</c:v>
                </c:pt>
                <c:pt idx="1">
                  <c:v>0.2</c:v>
                </c:pt>
                <c:pt idx="2">
                  <c:v>0.30000000000000032</c:v>
                </c:pt>
                <c:pt idx="3">
                  <c:v>0.4</c:v>
                </c:pt>
                <c:pt idx="4">
                  <c:v>0.5</c:v>
                </c:pt>
                <c:pt idx="5">
                  <c:v>0.60000000000000064</c:v>
                </c:pt>
                <c:pt idx="6">
                  <c:v>0.70000000000000062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</c:numCache>
            </c:numRef>
          </c:xVal>
          <c:yVal>
            <c:numRef>
              <c:f>Sheet1!$W$2:$W$11</c:f>
              <c:numCache>
                <c:formatCode>General</c:formatCode>
                <c:ptCount val="10"/>
                <c:pt idx="0">
                  <c:v>1.5455154293957151E-4</c:v>
                </c:pt>
                <c:pt idx="1">
                  <c:v>3.7092370305497019E-3</c:v>
                </c:pt>
                <c:pt idx="2">
                  <c:v>3.2043686569471069E-2</c:v>
                </c:pt>
                <c:pt idx="3">
                  <c:v>5.9965998660553292E-2</c:v>
                </c:pt>
                <c:pt idx="4">
                  <c:v>0.11993199732110658</c:v>
                </c:pt>
                <c:pt idx="5">
                  <c:v>0.28973262583071452</c:v>
                </c:pt>
                <c:pt idx="6">
                  <c:v>0.36170212765957482</c:v>
                </c:pt>
                <c:pt idx="7">
                  <c:v>0.12271392509401886</c:v>
                </c:pt>
                <c:pt idx="8">
                  <c:v>9.9428159291123728E-3</c:v>
                </c:pt>
                <c:pt idx="9">
                  <c:v>1.030343619597136E-4</c:v>
                </c:pt>
              </c:numCache>
            </c:numRef>
          </c:yVal>
          <c:smooth val="1"/>
        </c:ser>
        <c:ser>
          <c:idx val="4"/>
          <c:order val="2"/>
          <c:tx>
            <c:strRef>
              <c:f>Sheet1!$Z$1</c:f>
              <c:strCache>
                <c:ptCount val="1"/>
                <c:pt idx="0">
                  <c:v>Fire ant</c:v>
                </c:pt>
              </c:strCache>
            </c:strRef>
          </c:tx>
          <c:marker>
            <c:symbol val="none"/>
          </c:marker>
          <c:xVal>
            <c:numRef>
              <c:f>Sheet1!$Y$2:$Y$11</c:f>
              <c:numCache>
                <c:formatCode>General</c:formatCode>
                <c:ptCount val="10"/>
                <c:pt idx="0">
                  <c:v>0.1</c:v>
                </c:pt>
                <c:pt idx="1">
                  <c:v>0.2</c:v>
                </c:pt>
                <c:pt idx="2">
                  <c:v>0.30000000000000032</c:v>
                </c:pt>
                <c:pt idx="3">
                  <c:v>0.4</c:v>
                </c:pt>
                <c:pt idx="4">
                  <c:v>0.5</c:v>
                </c:pt>
                <c:pt idx="5">
                  <c:v>0.60000000000000064</c:v>
                </c:pt>
                <c:pt idx="6">
                  <c:v>0.70000000000000062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</c:numCache>
            </c:numRef>
          </c:xVal>
          <c:yVal>
            <c:numRef>
              <c:f>Sheet1!$AA$2:$AA$11</c:f>
              <c:numCache>
                <c:formatCode>General</c:formatCode>
                <c:ptCount val="10"/>
                <c:pt idx="0">
                  <c:v>4.1404692531820334E-3</c:v>
                </c:pt>
                <c:pt idx="1">
                  <c:v>7.1998159791443028E-2</c:v>
                </c:pt>
                <c:pt idx="2">
                  <c:v>0.26146296580279277</c:v>
                </c:pt>
                <c:pt idx="3">
                  <c:v>0.32042631498236679</c:v>
                </c:pt>
                <c:pt idx="4">
                  <c:v>0.22573224965496091</c:v>
                </c:pt>
                <c:pt idx="5">
                  <c:v>8.9786842508818202E-2</c:v>
                </c:pt>
                <c:pt idx="6">
                  <c:v>2.3155957675203283E-2</c:v>
                </c:pt>
                <c:pt idx="7">
                  <c:v>3.1436896181567396E-3</c:v>
                </c:pt>
                <c:pt idx="8">
                  <c:v>1.533507130808165E-4</c:v>
                </c:pt>
                <c:pt idx="9">
                  <c:v>0</c:v>
                </c:pt>
              </c:numCache>
            </c:numRef>
          </c:yVal>
          <c:smooth val="1"/>
        </c:ser>
        <c:axId val="191288064"/>
        <c:axId val="191289984"/>
      </c:scatterChart>
      <c:valAx>
        <c:axId val="191288064"/>
        <c:scaling>
          <c:orientation val="minMax"/>
          <c:max val="1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GC3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289984"/>
        <c:crosses val="autoZero"/>
        <c:crossBetween val="midCat"/>
      </c:valAx>
      <c:valAx>
        <c:axId val="191289984"/>
        <c:scaling>
          <c:orientation val="minMax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GB"/>
                  <a:t>Freqyency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288064"/>
        <c:crosses val="autoZero"/>
        <c:crossBetween val="midCat"/>
      </c:val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76465266841644863"/>
          <c:y val="4.5720326625838512E-2"/>
          <c:w val="0.20479177602799711"/>
          <c:h val="0.25115157480314959"/>
        </c:manualLayout>
      </c:layout>
      <c:spPr>
        <a:solidFill>
          <a:schemeClr val="bg1"/>
        </a:solidFill>
        <a:ln>
          <a:solidFill>
            <a:schemeClr val="tx1"/>
          </a:solidFill>
        </a:ln>
      </c:spPr>
      <c:txPr>
        <a:bodyPr/>
        <a:lstStyle/>
        <a:p>
          <a:pPr>
            <a:defRPr lang="en-US"/>
          </a:pPr>
          <a:endParaRPr lang="en-US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Pr>
        <a:bodyPr/>
        <a:lstStyle/>
        <a:p>
          <a:pPr>
            <a:defRPr lang="en-US"/>
          </a:pPr>
          <a:endParaRPr lang="en-US"/>
        </a:p>
      </c:txPr>
    </c:title>
    <c:plotArea>
      <c:layout/>
      <c:scatterChart>
        <c:scatterStyle val="smoothMarker"/>
        <c:ser>
          <c:idx val="0"/>
          <c:order val="0"/>
          <c:tx>
            <c:strRef>
              <c:f>Sheet3!$B$1</c:f>
              <c:strCache>
                <c:ptCount val="1"/>
                <c:pt idx="0">
                  <c:v>Brachypodium distachyon </c:v>
                </c:pt>
              </c:strCache>
            </c:strRef>
          </c:tx>
          <c:xVal>
            <c:numRef>
              <c:f>Sheet3!$A$2:$A$10</c:f>
              <c:numCache>
                <c:formatCode>General</c:formatCode>
                <c:ptCount val="9"/>
                <c:pt idx="0">
                  <c:v>0.2</c:v>
                </c:pt>
                <c:pt idx="1">
                  <c:v>0.30000000000000032</c:v>
                </c:pt>
                <c:pt idx="2">
                  <c:v>0.4</c:v>
                </c:pt>
                <c:pt idx="3">
                  <c:v>0.5</c:v>
                </c:pt>
                <c:pt idx="4">
                  <c:v>0.60000000000000064</c:v>
                </c:pt>
                <c:pt idx="5">
                  <c:v>0.70000000000000062</c:v>
                </c:pt>
                <c:pt idx="6">
                  <c:v>0.8</c:v>
                </c:pt>
                <c:pt idx="7">
                  <c:v>0.9</c:v>
                </c:pt>
                <c:pt idx="8">
                  <c:v>1</c:v>
                </c:pt>
              </c:numCache>
            </c:numRef>
          </c:xVal>
          <c:yVal>
            <c:numRef>
              <c:f>Sheet3!$B$2:$B$10</c:f>
              <c:numCache>
                <c:formatCode>General</c:formatCode>
                <c:ptCount val="9"/>
                <c:pt idx="0">
                  <c:v>19</c:v>
                </c:pt>
                <c:pt idx="1">
                  <c:v>414</c:v>
                </c:pt>
                <c:pt idx="2">
                  <c:v>1647</c:v>
                </c:pt>
                <c:pt idx="3">
                  <c:v>2106</c:v>
                </c:pt>
                <c:pt idx="4">
                  <c:v>2045</c:v>
                </c:pt>
                <c:pt idx="5">
                  <c:v>1756</c:v>
                </c:pt>
                <c:pt idx="6">
                  <c:v>1995</c:v>
                </c:pt>
                <c:pt idx="7">
                  <c:v>4005</c:v>
                </c:pt>
                <c:pt idx="8">
                  <c:v>1087</c:v>
                </c:pt>
              </c:numCache>
            </c:numRef>
          </c:yVal>
          <c:smooth val="1"/>
        </c:ser>
        <c:axId val="191310080"/>
        <c:axId val="191324544"/>
      </c:scatterChart>
      <c:valAx>
        <c:axId val="191310080"/>
        <c:scaling>
          <c:orientation val="minMax"/>
          <c:max val="1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GB"/>
                  <a:t>GC3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324544"/>
        <c:crosses val="autoZero"/>
        <c:crossBetween val="midCat"/>
      </c:valAx>
      <c:valAx>
        <c:axId val="19132454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GB"/>
                  <a:t>number of ORFs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310080"/>
        <c:crosses val="autoZero"/>
        <c:crossBetween val="midCat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BA14938-6030-4251-BD54-909CC886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Tatiana Tatarinova</dc:creator>
  <cp:lastModifiedBy>tvtatari</cp:lastModifiedBy>
  <cp:revision>21</cp:revision>
  <cp:lastPrinted>2010-05-06T14:33:00Z</cp:lastPrinted>
  <dcterms:created xsi:type="dcterms:W3CDTF">2010-04-25T06:00:00Z</dcterms:created>
  <dcterms:modified xsi:type="dcterms:W3CDTF">2010-05-07T10:01:00Z</dcterms:modified>
</cp:coreProperties>
</file>