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795" w:rsidRPr="002363A6" w:rsidRDefault="00DF5795" w:rsidP="0062059E">
      <w:pPr>
        <w:pStyle w:val="NormalWeb"/>
        <w:spacing w:before="0" w:beforeAutospacing="0" w:after="0" w:afterAutospacing="0" w:line="360" w:lineRule="auto"/>
        <w:textAlignment w:val="baseline"/>
        <w:rPr>
          <w:b/>
          <w:bCs/>
          <w:color w:val="000000"/>
          <w:kern w:val="24"/>
          <w:sz w:val="28"/>
          <w:szCs w:val="28"/>
        </w:rPr>
      </w:pPr>
      <w:r w:rsidRPr="002363A6">
        <w:rPr>
          <w:b/>
          <w:bCs/>
          <w:color w:val="000000"/>
          <w:kern w:val="24"/>
          <w:sz w:val="28"/>
          <w:szCs w:val="28"/>
        </w:rPr>
        <w:t>S</w:t>
      </w:r>
      <w:bookmarkStart w:id="0" w:name="_GoBack"/>
      <w:bookmarkEnd w:id="0"/>
      <w:r w:rsidRPr="002363A6">
        <w:rPr>
          <w:b/>
          <w:bCs/>
          <w:color w:val="000000"/>
          <w:kern w:val="24"/>
          <w:sz w:val="28"/>
          <w:szCs w:val="28"/>
        </w:rPr>
        <w:t>upplemental Methods</w:t>
      </w:r>
    </w:p>
    <w:p w:rsidR="00D701D8" w:rsidRPr="002363A6" w:rsidRDefault="00D701D8" w:rsidP="0062059E">
      <w:pPr>
        <w:pStyle w:val="NormalWeb"/>
        <w:spacing w:before="0" w:beforeAutospacing="0" w:after="0" w:afterAutospacing="0" w:line="360" w:lineRule="auto"/>
        <w:textAlignment w:val="baseline"/>
      </w:pPr>
    </w:p>
    <w:p w:rsidR="00DE1256" w:rsidRPr="002363A6" w:rsidRDefault="00DE1256" w:rsidP="0062059E">
      <w:pPr>
        <w:spacing w:line="360" w:lineRule="auto"/>
        <w:rPr>
          <w:rFonts w:ascii="Times New Roman" w:eastAsia="Times New Roman" w:hAnsi="Times New Roman"/>
          <w:b/>
          <w:i/>
          <w:sz w:val="24"/>
          <w:szCs w:val="24"/>
        </w:rPr>
      </w:pPr>
      <w:r w:rsidRPr="002363A6">
        <w:rPr>
          <w:rFonts w:ascii="Times New Roman" w:eastAsia="Times New Roman" w:hAnsi="Times New Roman"/>
          <w:b/>
          <w:sz w:val="24"/>
          <w:szCs w:val="24"/>
        </w:rPr>
        <w:t xml:space="preserve">1. DNA purification, fragmentation, and </w:t>
      </w:r>
      <w:proofErr w:type="gramStart"/>
      <w:r w:rsidRPr="002363A6">
        <w:rPr>
          <w:rFonts w:ascii="Times New Roman" w:eastAsia="Times New Roman" w:hAnsi="Times New Roman"/>
          <w:b/>
          <w:sz w:val="24"/>
          <w:szCs w:val="24"/>
        </w:rPr>
        <w:t>poly(</w:t>
      </w:r>
      <w:proofErr w:type="gramEnd"/>
      <w:r w:rsidRPr="002363A6">
        <w:rPr>
          <w:rFonts w:ascii="Times New Roman" w:eastAsia="Times New Roman" w:hAnsi="Times New Roman"/>
          <w:b/>
          <w:sz w:val="24"/>
          <w:szCs w:val="24"/>
        </w:rPr>
        <w:t>A)-tailing</w:t>
      </w:r>
    </w:p>
    <w:p w:rsidR="00DE1256" w:rsidRPr="002363A6" w:rsidRDefault="00DE1256" w:rsidP="0062059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2363A6">
        <w:rPr>
          <w:rFonts w:ascii="Times New Roman" w:eastAsia="Times New Roman" w:hAnsi="Times New Roman"/>
          <w:sz w:val="24"/>
          <w:szCs w:val="24"/>
        </w:rPr>
        <w:t xml:space="preserve">The seven </w:t>
      </w:r>
      <w:r w:rsidRPr="002363A6">
        <w:rPr>
          <w:rFonts w:ascii="Times New Roman" w:eastAsia="Times New Roman" w:hAnsi="Times New Roman"/>
          <w:i/>
          <w:sz w:val="24"/>
          <w:szCs w:val="24"/>
        </w:rPr>
        <w:t>Salmonella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 transposon libraries were grown separately in LB supplemented with kanamycin overnight at 37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with shaking. Genomic DNA of each library was isolated using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GenElute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Bacterial Genomic DNA kit (Sigma-Aldrich, St Louis, MO) and 9 µg were fragmented by sonication performing five-second pulses in a Branson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sonifier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(model S-150D; Branson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Ultrasonics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Corporation, Danbury, CT). After denaturation at 95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for 2 min, 1.6 µg of the sheared DNA were poly-A tailed using 40 U of terminal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transferase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TdT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, New England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BioLabs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) in 1x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TdT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buffer, 0.25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mM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CoCl</w:t>
      </w:r>
      <w:r w:rsidRPr="002363A6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, 0.4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mM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dATP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and incubation for 30 min at 37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C.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The terminal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tranferase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was heat inactivated at 70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for 10 min and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polyadenylated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products were purified using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QIAquick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PCR purification kit (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Qiagen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>).</w:t>
      </w:r>
    </w:p>
    <w:p w:rsidR="00DE1256" w:rsidRPr="002363A6" w:rsidRDefault="00DE1256" w:rsidP="0062059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DE1256" w:rsidRPr="002363A6" w:rsidRDefault="00DE1256" w:rsidP="0062059E">
      <w:pPr>
        <w:spacing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2363A6">
        <w:rPr>
          <w:rFonts w:ascii="Times New Roman" w:eastAsia="Times New Roman" w:hAnsi="Times New Roman"/>
          <w:b/>
          <w:sz w:val="24"/>
          <w:szCs w:val="24"/>
        </w:rPr>
        <w:t xml:space="preserve">2. PCR amplification, indexing, and size selection </w:t>
      </w:r>
    </w:p>
    <w:p w:rsidR="00DE1256" w:rsidRPr="002363A6" w:rsidRDefault="00DE1256" w:rsidP="0062059E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2363A6">
        <w:rPr>
          <w:rFonts w:ascii="Times New Roman" w:eastAsia="Times New Roman" w:hAnsi="Times New Roman"/>
          <w:sz w:val="24"/>
          <w:szCs w:val="24"/>
        </w:rPr>
        <w:t xml:space="preserve">To amplify the </w:t>
      </w:r>
      <w:r w:rsidRPr="002363A6">
        <w:rPr>
          <w:rFonts w:ascii="Times New Roman" w:eastAsia="Times New Roman" w:hAnsi="Times New Roman"/>
          <w:i/>
          <w:sz w:val="24"/>
          <w:szCs w:val="24"/>
        </w:rPr>
        <w:t xml:space="preserve">Salmonella 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fragments adjacent to the transposons, a nested PCR was performed. In a first PCR reaction, 500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ng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of the purified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polyA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-tailed DNA were used as a template, adding a transposon-specific forward primer, DOPR2 (CAACGCAGACCGTTCCGTGGCA) and a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polyT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reverse primer (CCT</w:t>
      </w:r>
      <w:r w:rsidRPr="002363A6">
        <w:rPr>
          <w:rFonts w:ascii="Times New Roman" w:eastAsia="Times New Roman" w:hAnsi="Times New Roman"/>
          <w:sz w:val="24"/>
          <w:szCs w:val="24"/>
          <w:vertAlign w:val="subscript"/>
        </w:rPr>
        <w:t>24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VN). The PCR reaction (50 µl) was performed in 1x buffer (including 2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mM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MgCl</w:t>
      </w:r>
      <w:r w:rsidRPr="002363A6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), 0.2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mM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dNTP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, 0.05 U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Taq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polymerase (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Monserate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Biotechnology Group, San Diego, CA), and 0.2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mM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of each primer. Cycling conditions consisted of an initial denaturation step at 94</w:t>
      </w:r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for 1 min, 30 cycles of denaturation at 94</w:t>
      </w:r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for 10 s, annealing at 50</w:t>
      </w:r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for 10 s, and extension at 72</w:t>
      </w:r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for 5 s, followed by a final extension for 3 min at 72</w:t>
      </w:r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  <w:vertAlign w:val="superscript"/>
        </w:rPr>
        <w:t>o</w:t>
      </w:r>
      <w:r w:rsidRPr="002363A6">
        <w:rPr>
          <w:rFonts w:ascii="Times New Roman" w:eastAsia="Times New Roman" w:hAnsi="Times New Roman"/>
          <w:sz w:val="24"/>
          <w:szCs w:val="24"/>
        </w:rPr>
        <w:t>C.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In a second PCR, 2 µl of the amplified product from the initial PCR were used as a template following the same PCR reaction conditions and using an internal transposon-specific forward primer, KAN2FP1-B (GTCCACCTACAACAAAGCTCTCATCAACC) and the CCT</w:t>
      </w:r>
      <w:r w:rsidRPr="002363A6">
        <w:rPr>
          <w:rFonts w:ascii="Times New Roman" w:eastAsia="Times New Roman" w:hAnsi="Times New Roman"/>
          <w:sz w:val="24"/>
          <w:szCs w:val="24"/>
          <w:vertAlign w:val="subscript"/>
        </w:rPr>
        <w:t>24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VN primer. Successful amplification of products was verified by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eletrophoresis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in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ethidium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bromide stained 1 %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agarose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gels. </w:t>
      </w:r>
    </w:p>
    <w:p w:rsidR="00DE1256" w:rsidRPr="002363A6" w:rsidRDefault="00DE1256" w:rsidP="0062059E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2363A6">
        <w:rPr>
          <w:rFonts w:ascii="Times New Roman" w:eastAsia="Times New Roman" w:hAnsi="Times New Roman"/>
          <w:sz w:val="24"/>
          <w:szCs w:val="24"/>
        </w:rPr>
        <w:t xml:space="preserve">A third PCR reaction introduced a specific code to each library and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Illumina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adapter sequences. 2 µl of the previous nested PCR were used, with the reverse primer 1EZTTTT (CTCGGCATTCCTGCTGAACCGCTCTTCCGATCT</w:t>
      </w:r>
      <w:r w:rsidRPr="002363A6">
        <w:rPr>
          <w:rFonts w:ascii="Times New Roman" w:eastAsia="Times New Roman" w:hAnsi="Times New Roman"/>
          <w:sz w:val="24"/>
          <w:szCs w:val="24"/>
          <w:vertAlign w:val="subscript"/>
        </w:rPr>
        <w:t>23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V), designed to anneal to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polyA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>-</w:t>
      </w:r>
      <w:r w:rsidRPr="002363A6">
        <w:rPr>
          <w:rFonts w:ascii="Times New Roman" w:eastAsia="Times New Roman" w:hAnsi="Times New Roman"/>
          <w:sz w:val="24"/>
          <w:szCs w:val="24"/>
        </w:rPr>
        <w:lastRenderedPageBreak/>
        <w:t>tail. Forward indexing primers were designed to anneal to 15 bases at the 3´end of the transposon, not inc</w:t>
      </w:r>
      <w:r w:rsidR="00116C81">
        <w:rPr>
          <w:rFonts w:ascii="Times New Roman" w:eastAsia="Times New Roman" w:hAnsi="Times New Roman"/>
          <w:sz w:val="24"/>
          <w:szCs w:val="24"/>
        </w:rPr>
        <w:t>luding the last two bases (AG).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 A specific N</w:t>
      </w:r>
      <w:r w:rsidRPr="002363A6">
        <w:rPr>
          <w:rFonts w:ascii="Times New Roman" w:eastAsia="Times New Roman" w:hAnsi="Times New Roman"/>
          <w:sz w:val="24"/>
          <w:szCs w:val="24"/>
          <w:vertAlign w:val="subscript"/>
        </w:rPr>
        <w:t>6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 code was also introduced for each library (</w:t>
      </w:r>
      <w:r w:rsidR="00116C81" w:rsidRPr="00CF31D6">
        <w:rPr>
          <w:rFonts w:ascii="Times New Roman" w:eastAsia="Times New Roman" w:hAnsi="Times New Roman"/>
          <w:sz w:val="24"/>
          <w:szCs w:val="24"/>
        </w:rPr>
        <w:t>Additional file 1 Table S1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). The PCR conditions and mixture were the same as in the previous PCR.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QIAquick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PCR purification kit (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Qiagen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) was used to purify the PCR products and the indexed libraries were pooled in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equimolar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ratios (10</w:t>
      </w:r>
      <w:r w:rsidR="00116C8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nM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). </w:t>
      </w:r>
    </w:p>
    <w:p w:rsidR="00DE1256" w:rsidRPr="002363A6" w:rsidRDefault="00DE1256" w:rsidP="0062059E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2363A6">
        <w:rPr>
          <w:rFonts w:ascii="Times New Roman" w:eastAsia="Times New Roman" w:hAnsi="Times New Roman"/>
          <w:sz w:val="24"/>
          <w:szCs w:val="24"/>
        </w:rPr>
        <w:t xml:space="preserve">To introduce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Illumina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engraftment sequences, a fourth PCR was performed for ten cycles using the custom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Illumina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primers PE PCR Primer 1.0 and PE PCR Primer 2.0 according to the manufacturer’s instructions. Excess primers were removed via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AMPure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magnetic bead cleanup (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Agencourt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Bioscience Corporation) according to manufacturer’s instructions, and the products were size-selected using polyacrylamide gel electrophoresis (PAGE), selecting products in the size range of 200-450</w:t>
      </w:r>
      <w:r w:rsidR="00116C8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bp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to be excised and purified from the gel using the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QIAquick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gel extraction kit (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Qiagen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>).</w:t>
      </w:r>
    </w:p>
    <w:p w:rsidR="00DE1256" w:rsidRPr="002363A6" w:rsidRDefault="00DE1256" w:rsidP="0062059E">
      <w:pPr>
        <w:spacing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2363A6">
        <w:rPr>
          <w:rFonts w:ascii="Times New Roman" w:eastAsia="Times New Roman" w:hAnsi="Times New Roman"/>
          <w:b/>
          <w:sz w:val="24"/>
          <w:szCs w:val="24"/>
        </w:rPr>
        <w:t>3. Library sequencing</w:t>
      </w:r>
    </w:p>
    <w:p w:rsidR="00DF5795" w:rsidRPr="00D444E6" w:rsidRDefault="00DE1256" w:rsidP="00DF4569">
      <w:pPr>
        <w:spacing w:line="360" w:lineRule="auto"/>
        <w:rPr>
          <w:rFonts w:ascii="Times New Roman" w:hAnsi="Times New Roman"/>
          <w:sz w:val="20"/>
          <w:szCs w:val="20"/>
        </w:rPr>
      </w:pPr>
      <w:r w:rsidRPr="002363A6">
        <w:rPr>
          <w:rFonts w:ascii="Times New Roman" w:eastAsia="Times New Roman" w:hAnsi="Times New Roman"/>
          <w:i/>
          <w:sz w:val="24"/>
          <w:szCs w:val="24"/>
        </w:rPr>
        <w:t>Salmonella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 libraries were sequenced using a single lane, paired-end reads and 101 cycles, of an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Illumina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Genome Analyzer II (GAII) sequencing system and the custom </w:t>
      </w:r>
      <w:proofErr w:type="spellStart"/>
      <w:r w:rsidRPr="002363A6">
        <w:rPr>
          <w:rFonts w:ascii="Times New Roman" w:eastAsia="Times New Roman" w:hAnsi="Times New Roman"/>
          <w:sz w:val="24"/>
          <w:szCs w:val="24"/>
        </w:rPr>
        <w:t>Illumina</w:t>
      </w:r>
      <w:proofErr w:type="spellEnd"/>
      <w:r w:rsidRPr="002363A6">
        <w:rPr>
          <w:rFonts w:ascii="Times New Roman" w:eastAsia="Times New Roman" w:hAnsi="Times New Roman"/>
          <w:sz w:val="24"/>
          <w:szCs w:val="24"/>
        </w:rPr>
        <w:t xml:space="preserve"> PE Read 1 and Re</w:t>
      </w:r>
      <w:r w:rsidR="00116C81">
        <w:rPr>
          <w:rFonts w:ascii="Times New Roman" w:eastAsia="Times New Roman" w:hAnsi="Times New Roman"/>
          <w:sz w:val="24"/>
          <w:szCs w:val="24"/>
        </w:rPr>
        <w:t>ad 2 Sequencing Primers. Paired-</w:t>
      </w:r>
      <w:r w:rsidRPr="002363A6">
        <w:rPr>
          <w:rFonts w:ascii="Times New Roman" w:eastAsia="Times New Roman" w:hAnsi="Times New Roman"/>
          <w:sz w:val="24"/>
          <w:szCs w:val="24"/>
        </w:rPr>
        <w:t xml:space="preserve">end reads were only performed because of availability of that particular lane in a sequencer run, to avoid further delay. Sequencing was performed </w:t>
      </w:r>
      <w:r w:rsidR="00047008" w:rsidRPr="002363A6">
        <w:rPr>
          <w:rFonts w:ascii="Times New Roman" w:eastAsia="Times New Roman" w:hAnsi="Times New Roman"/>
          <w:sz w:val="24"/>
          <w:szCs w:val="24"/>
        </w:rPr>
        <w:t xml:space="preserve">at the </w:t>
      </w:r>
      <w:r w:rsidR="00047008">
        <w:rPr>
          <w:rFonts w:ascii="Times New Roman" w:eastAsia="Times New Roman" w:hAnsi="Times New Roman"/>
          <w:sz w:val="24"/>
          <w:szCs w:val="24"/>
        </w:rPr>
        <w:t xml:space="preserve">Genome Institute </w:t>
      </w:r>
      <w:r w:rsidR="00047008" w:rsidRPr="002363A6">
        <w:rPr>
          <w:rFonts w:ascii="Times New Roman" w:eastAsia="Times New Roman" w:hAnsi="Times New Roman"/>
          <w:sz w:val="24"/>
          <w:szCs w:val="24"/>
        </w:rPr>
        <w:t>at Washington University, St. Louis, M</w:t>
      </w:r>
      <w:r w:rsidR="00047008">
        <w:rPr>
          <w:rFonts w:ascii="Times New Roman" w:eastAsia="Times New Roman" w:hAnsi="Times New Roman"/>
          <w:sz w:val="24"/>
          <w:szCs w:val="24"/>
        </w:rPr>
        <w:t>O.</w:t>
      </w:r>
    </w:p>
    <w:sectPr w:rsidR="00DF5795" w:rsidRPr="00D444E6" w:rsidSect="00DF4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A46"/>
    <w:rsid w:val="00047008"/>
    <w:rsid w:val="00075957"/>
    <w:rsid w:val="000B2ECF"/>
    <w:rsid w:val="0010479F"/>
    <w:rsid w:val="00116C81"/>
    <w:rsid w:val="00230016"/>
    <w:rsid w:val="002363A6"/>
    <w:rsid w:val="00292F50"/>
    <w:rsid w:val="002E0F09"/>
    <w:rsid w:val="002E57A6"/>
    <w:rsid w:val="0037750B"/>
    <w:rsid w:val="004E0008"/>
    <w:rsid w:val="00520AA4"/>
    <w:rsid w:val="005A2FF9"/>
    <w:rsid w:val="0062059E"/>
    <w:rsid w:val="006508F2"/>
    <w:rsid w:val="007B5F59"/>
    <w:rsid w:val="007C4930"/>
    <w:rsid w:val="007C6C62"/>
    <w:rsid w:val="00A23A46"/>
    <w:rsid w:val="00A97A3E"/>
    <w:rsid w:val="00B635A4"/>
    <w:rsid w:val="00BC6DE7"/>
    <w:rsid w:val="00CF2A20"/>
    <w:rsid w:val="00CF31D6"/>
    <w:rsid w:val="00D444E6"/>
    <w:rsid w:val="00D701D8"/>
    <w:rsid w:val="00D76BAF"/>
    <w:rsid w:val="00DD6763"/>
    <w:rsid w:val="00DE1256"/>
    <w:rsid w:val="00DF1924"/>
    <w:rsid w:val="00DF4569"/>
    <w:rsid w:val="00DF5795"/>
    <w:rsid w:val="00E34695"/>
    <w:rsid w:val="00F568C6"/>
    <w:rsid w:val="00FA00A4"/>
    <w:rsid w:val="00FE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3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A23A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3A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E125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E1256"/>
    <w:pPr>
      <w:spacing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56"/>
    <w:rPr>
      <w:rFonts w:eastAsia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3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A23A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3A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E125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E1256"/>
    <w:pPr>
      <w:spacing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56"/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589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Supplemental Methods</vt:lpstr>
    </vt:vector>
  </TitlesOfParts>
  <Company>Microsoft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Methods</dc:title>
  <dc:creator>rcanals</dc:creator>
  <cp:lastModifiedBy>rcanals</cp:lastModifiedBy>
  <cp:revision>15</cp:revision>
  <dcterms:created xsi:type="dcterms:W3CDTF">2011-09-30T21:01:00Z</dcterms:created>
  <dcterms:modified xsi:type="dcterms:W3CDTF">2011-11-04T00:22:00Z</dcterms:modified>
</cp:coreProperties>
</file>