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D97CF1" w:rsidRDefault="00C437FE">
      <w:r>
        <w:rPr>
          <w:rFonts w:ascii="Calibri" w:hAnsi="Calibri"/>
          <w:b/>
          <w:color w:val="000000"/>
        </w:rPr>
        <w:t xml:space="preserve">Cost-effectiveness of transcriptome-based exon capture for population genetic </w:t>
      </w:r>
      <w:r w:rsidR="001C3717">
        <w:rPr>
          <w:rFonts w:ascii="Calibri" w:hAnsi="Calibri"/>
          <w:b/>
          <w:color w:val="000000"/>
        </w:rPr>
        <w:t xml:space="preserve">and phylogenetic </w:t>
      </w:r>
      <w:r>
        <w:rPr>
          <w:rFonts w:ascii="Calibri" w:hAnsi="Calibri"/>
          <w:b/>
          <w:color w:val="000000"/>
        </w:rPr>
        <w:t>applications</w:t>
      </w:r>
    </w:p>
    <w:p w:rsidR="00D97CF1" w:rsidRDefault="00C437FE">
      <w:pPr>
        <w:ind w:firstLine="720"/>
      </w:pPr>
      <w:r>
        <w:rPr>
          <w:rFonts w:ascii="Calibri" w:hAnsi="Calibri"/>
          <w:color w:val="000000"/>
        </w:rPr>
        <w:t xml:space="preserve">Our approach is suitable for population-level genomic scans in which both large sample size and genome-wide markers are preferable for inferring selection and demography. Each 1M </w:t>
      </w:r>
      <w:proofErr w:type="spellStart"/>
      <w:r>
        <w:rPr>
          <w:rFonts w:ascii="Calibri" w:hAnsi="Calibri"/>
          <w:color w:val="000000"/>
        </w:rPr>
        <w:t>SureSelect</w:t>
      </w:r>
      <w:proofErr w:type="spellEnd"/>
      <w:r>
        <w:rPr>
          <w:rFonts w:ascii="Calibri" w:hAnsi="Calibri"/>
          <w:color w:val="000000"/>
        </w:rPr>
        <w:t xml:space="preserve"> capture array costs only $700. Using the protocol outlined in [1] and [2], we estimated that the cost of reagents in library preparation and exon capture is ~$30 per individual. We demonstrated that capture performance is highly consistent among samples when multiplexing 20 individual libraries on a single array, however the number of multiplexed individual libraries on each array can be scaled up to 50 [3]. Including the cost of initial transcriptome sequencing, we estimate that the investment for a project involving 100 samples and 10,000 loci (total size of 4</w:t>
      </w:r>
      <w:r w:rsidR="00187E98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Mb) is around $8,138 or $81 per individual. Using the current </w:t>
      </w:r>
      <w:proofErr w:type="spellStart"/>
      <w:r>
        <w:rPr>
          <w:rFonts w:ascii="Calibri" w:hAnsi="Calibri"/>
          <w:color w:val="000000"/>
        </w:rPr>
        <w:t>illumina</w:t>
      </w:r>
      <w:proofErr w:type="spellEnd"/>
      <w:r>
        <w:rPr>
          <w:rFonts w:ascii="Calibri" w:hAnsi="Calibri"/>
          <w:color w:val="000000"/>
        </w:rPr>
        <w:t xml:space="preserve"> HiSeq2000 sequencing platform, 30-35</w:t>
      </w:r>
      <w:r w:rsidR="00187E98"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Gb</w:t>
      </w:r>
      <w:proofErr w:type="spellEnd"/>
      <w:r>
        <w:rPr>
          <w:rFonts w:ascii="Calibri" w:hAnsi="Calibri"/>
          <w:color w:val="000000"/>
        </w:rPr>
        <w:t xml:space="preserve"> of raw sequence reads can be expected from one lane of 100</w:t>
      </w:r>
      <w:r w:rsidR="00187E98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bp pair-end sequencing (as of April 2012, qb3). By taking the data loss during read filtration and mapping efficiency into consideration, the average per individual coverage is expected to be 16.5-20</w:t>
      </w:r>
      <w:r w:rsidR="00187E98">
        <w:rPr>
          <w:rFonts w:ascii="Calibri" w:hAnsi="Calibri"/>
          <w:color w:val="000000"/>
        </w:rPr>
        <w:t>X</w:t>
      </w:r>
      <w:r>
        <w:rPr>
          <w:rFonts w:ascii="Calibri" w:hAnsi="Calibri"/>
          <w:color w:val="000000"/>
        </w:rPr>
        <w:t>. This level of sequencing effort is necessary for confidently filtering sequencing errors and other uncertainties related to genotype and SNP calling [4].  For a typical population genomic study, a genome scan using a large sample size sequenced at shallower coverage achieves higher statistical power than a small number of samples sequenced at deeper coverage [5]. Accordingly, if a project aimed for 5</w:t>
      </w:r>
      <w:r w:rsidR="00187E98">
        <w:rPr>
          <w:rFonts w:ascii="Calibri" w:hAnsi="Calibri"/>
          <w:color w:val="000000"/>
        </w:rPr>
        <w:t>X</w:t>
      </w:r>
      <w:r>
        <w:rPr>
          <w:rFonts w:ascii="Calibri" w:hAnsi="Calibri"/>
          <w:color w:val="000000"/>
        </w:rPr>
        <w:t xml:space="preserve"> coverage per individual for 400 samples at 10,000 loci (4</w:t>
      </w:r>
      <w:r w:rsidR="00187E98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Mb), the cost would be ~$53 for each individual. Overall, beyond its unmatchable labor- and cost-effectiveness over traditional PCR and Sanger sequencing, the per individual cost using our approach is comparable to a project using solution-based hybrid enrichment involving the same sample size and fewer (up to 500) enriched nuclear markers[6]. </w:t>
      </w:r>
    </w:p>
    <w:p w:rsidR="00D97CF1" w:rsidRDefault="00D97CF1"/>
    <w:p w:rsidR="00D97CF1" w:rsidRDefault="00C437FE">
      <w:r>
        <w:rPr>
          <w:rFonts w:ascii="Calibri" w:hAnsi="Calibri"/>
          <w:color w:val="000000"/>
        </w:rPr>
        <w:t xml:space="preserve">Reference: </w:t>
      </w:r>
    </w:p>
    <w:p w:rsidR="00D97CF1" w:rsidRDefault="00C437FE">
      <w:pPr>
        <w:spacing w:before="120" w:after="0"/>
      </w:pPr>
      <w:r>
        <w:rPr>
          <w:rFonts w:ascii="Calibri" w:hAnsi="Calibri" w:cs="Verdana"/>
          <w:color w:val="000000"/>
          <w:szCs w:val="22"/>
        </w:rPr>
        <w:t xml:space="preserve">1. Meyer M, </w:t>
      </w:r>
      <w:proofErr w:type="spellStart"/>
      <w:r>
        <w:rPr>
          <w:rFonts w:ascii="Calibri" w:hAnsi="Calibri" w:cs="Verdana"/>
          <w:color w:val="000000"/>
          <w:szCs w:val="22"/>
        </w:rPr>
        <w:t>Kircher</w:t>
      </w:r>
      <w:proofErr w:type="spellEnd"/>
      <w:r>
        <w:rPr>
          <w:rFonts w:ascii="Calibri" w:hAnsi="Calibri" w:cs="Verdana"/>
          <w:color w:val="000000"/>
          <w:szCs w:val="22"/>
        </w:rPr>
        <w:t xml:space="preserve"> M</w:t>
      </w:r>
      <w:r>
        <w:rPr>
          <w:rFonts w:ascii="Calibri" w:hAnsi="Calibri" w:cs="Arial"/>
          <w:color w:val="000000"/>
        </w:rPr>
        <w:t xml:space="preserve">: </w:t>
      </w:r>
      <w:proofErr w:type="spellStart"/>
      <w:r>
        <w:rPr>
          <w:rFonts w:ascii="Calibri" w:hAnsi="Calibri" w:cs="Verdana"/>
          <w:b/>
          <w:color w:val="000000"/>
          <w:szCs w:val="22"/>
        </w:rPr>
        <w:t>Illumina</w:t>
      </w:r>
      <w:proofErr w:type="spellEnd"/>
      <w:r>
        <w:rPr>
          <w:rFonts w:ascii="Calibri" w:hAnsi="Calibri" w:cs="Verdana"/>
          <w:b/>
          <w:color w:val="000000"/>
          <w:szCs w:val="22"/>
        </w:rPr>
        <w:t xml:space="preserve"> sequencing library preparation for highly multiplexed target capture and sequencing.</w:t>
      </w:r>
      <w:r>
        <w:rPr>
          <w:rFonts w:ascii="Calibri" w:hAnsi="Calibri" w:cs="Verdana"/>
          <w:color w:val="000000"/>
          <w:szCs w:val="22"/>
        </w:rPr>
        <w:t xml:space="preserve"> </w:t>
      </w:r>
      <w:r>
        <w:rPr>
          <w:rFonts w:ascii="Calibri" w:hAnsi="Calibri" w:cs="Verdana"/>
          <w:i/>
          <w:color w:val="000000"/>
          <w:szCs w:val="22"/>
        </w:rPr>
        <w:t xml:space="preserve">Cold Spring </w:t>
      </w:r>
      <w:proofErr w:type="spellStart"/>
      <w:r>
        <w:rPr>
          <w:rFonts w:ascii="Calibri" w:hAnsi="Calibri" w:cs="Verdana"/>
          <w:i/>
          <w:color w:val="000000"/>
          <w:szCs w:val="22"/>
        </w:rPr>
        <w:t>Harb</w:t>
      </w:r>
      <w:proofErr w:type="spellEnd"/>
      <w:r>
        <w:rPr>
          <w:rFonts w:ascii="Calibri" w:hAnsi="Calibri" w:cs="Verdana"/>
          <w:i/>
          <w:color w:val="000000"/>
          <w:szCs w:val="22"/>
        </w:rPr>
        <w:t xml:space="preserve"> </w:t>
      </w:r>
      <w:proofErr w:type="spellStart"/>
      <w:r>
        <w:rPr>
          <w:rFonts w:ascii="Calibri" w:hAnsi="Calibri" w:cs="Verdana"/>
          <w:i/>
          <w:color w:val="000000"/>
          <w:szCs w:val="22"/>
        </w:rPr>
        <w:t>Protoc</w:t>
      </w:r>
      <w:proofErr w:type="spellEnd"/>
      <w:r>
        <w:rPr>
          <w:rFonts w:ascii="Calibri" w:hAnsi="Calibri" w:cs="Verdana"/>
          <w:color w:val="000000"/>
          <w:szCs w:val="22"/>
        </w:rPr>
        <w:t xml:space="preserve"> 2010, </w:t>
      </w:r>
      <w:r>
        <w:rPr>
          <w:rFonts w:ascii="Calibri" w:hAnsi="Calibri" w:cs="Verdana"/>
          <w:b/>
          <w:color w:val="000000"/>
          <w:szCs w:val="22"/>
        </w:rPr>
        <w:t>2010</w:t>
      </w:r>
      <w:r>
        <w:rPr>
          <w:rFonts w:ascii="Calibri" w:hAnsi="Calibri" w:cs="Verdana"/>
          <w:color w:val="000000"/>
          <w:szCs w:val="22"/>
        </w:rPr>
        <w:t>:</w:t>
      </w:r>
      <w:r>
        <w:rPr>
          <w:rFonts w:ascii="Calibri" w:eastAsia="Times New Roman" w:hAnsi="Calibri" w:cs="Lucida Sans Unicode"/>
          <w:color w:val="000000"/>
          <w:sz w:val="18"/>
          <w:szCs w:val="18"/>
          <w:lang w:eastAsia="en-US" w:bidi="ar-SA"/>
        </w:rPr>
        <w:t xml:space="preserve"> </w:t>
      </w:r>
      <w:r>
        <w:rPr>
          <w:rFonts w:ascii="Calibri" w:hAnsi="Calibri" w:cs="Verdana"/>
          <w:color w:val="000000"/>
          <w:szCs w:val="22"/>
        </w:rPr>
        <w:t>doi</w:t>
      </w:r>
      <w:proofErr w:type="gramStart"/>
      <w:r>
        <w:rPr>
          <w:rFonts w:ascii="Calibri" w:hAnsi="Calibri" w:cs="Verdana"/>
          <w:color w:val="000000"/>
          <w:szCs w:val="22"/>
        </w:rPr>
        <w:t>:10.1101</w:t>
      </w:r>
      <w:proofErr w:type="gramEnd"/>
      <w:r>
        <w:rPr>
          <w:rFonts w:ascii="Calibri" w:hAnsi="Calibri" w:cs="Verdana"/>
          <w:color w:val="000000"/>
          <w:szCs w:val="22"/>
        </w:rPr>
        <w:t xml:space="preserve">/pdb.prot5448. </w:t>
      </w:r>
    </w:p>
    <w:p w:rsidR="00D97CF1" w:rsidRDefault="00C437FE">
      <w:pPr>
        <w:spacing w:before="120" w:after="0"/>
      </w:pPr>
      <w:r>
        <w:rPr>
          <w:rFonts w:ascii="Calibri" w:hAnsi="Calibri" w:cs="Verdana"/>
          <w:color w:val="000000"/>
          <w:szCs w:val="22"/>
        </w:rPr>
        <w:t xml:space="preserve">2. Hodges E, Rooks M, </w:t>
      </w:r>
      <w:proofErr w:type="spellStart"/>
      <w:r>
        <w:rPr>
          <w:rFonts w:ascii="Calibri" w:hAnsi="Calibri" w:cs="Verdana"/>
          <w:color w:val="000000"/>
          <w:szCs w:val="22"/>
        </w:rPr>
        <w:t>Xuan</w:t>
      </w:r>
      <w:proofErr w:type="spellEnd"/>
      <w:r>
        <w:rPr>
          <w:rFonts w:ascii="Calibri" w:hAnsi="Calibri" w:cs="Verdana"/>
          <w:color w:val="000000"/>
          <w:szCs w:val="22"/>
        </w:rPr>
        <w:t xml:space="preserve"> Z, </w:t>
      </w:r>
      <w:proofErr w:type="spellStart"/>
      <w:r>
        <w:rPr>
          <w:rFonts w:ascii="Calibri" w:hAnsi="Calibri" w:cs="Verdana"/>
          <w:color w:val="000000"/>
          <w:szCs w:val="22"/>
        </w:rPr>
        <w:t>Bhattacharjee</w:t>
      </w:r>
      <w:proofErr w:type="spellEnd"/>
      <w:r>
        <w:rPr>
          <w:rFonts w:ascii="Calibri" w:hAnsi="Calibri" w:cs="Verdana"/>
          <w:color w:val="000000"/>
          <w:szCs w:val="22"/>
        </w:rPr>
        <w:t xml:space="preserve"> A, Benjamin Gordon D, </w:t>
      </w:r>
      <w:proofErr w:type="spellStart"/>
      <w:r>
        <w:rPr>
          <w:rFonts w:ascii="Calibri" w:hAnsi="Calibri" w:cs="Verdana"/>
          <w:color w:val="000000"/>
          <w:szCs w:val="22"/>
        </w:rPr>
        <w:t>Brizuela</w:t>
      </w:r>
      <w:proofErr w:type="spellEnd"/>
      <w:r>
        <w:rPr>
          <w:rFonts w:ascii="Calibri" w:hAnsi="Calibri" w:cs="Verdana"/>
          <w:color w:val="000000"/>
          <w:szCs w:val="22"/>
        </w:rPr>
        <w:t xml:space="preserve"> L, Richard </w:t>
      </w:r>
      <w:proofErr w:type="spellStart"/>
      <w:r>
        <w:rPr>
          <w:rFonts w:ascii="Calibri" w:hAnsi="Calibri" w:cs="Verdana"/>
          <w:color w:val="000000"/>
          <w:szCs w:val="22"/>
        </w:rPr>
        <w:t>McCombie</w:t>
      </w:r>
      <w:proofErr w:type="spellEnd"/>
      <w:r>
        <w:rPr>
          <w:rFonts w:ascii="Calibri" w:hAnsi="Calibri" w:cs="Verdana"/>
          <w:color w:val="000000"/>
          <w:szCs w:val="22"/>
        </w:rPr>
        <w:t xml:space="preserve"> W, Hannon GJ: </w:t>
      </w:r>
      <w:r>
        <w:rPr>
          <w:rFonts w:ascii="Calibri" w:hAnsi="Calibri" w:cs="Verdana"/>
          <w:b/>
          <w:color w:val="000000"/>
          <w:szCs w:val="22"/>
        </w:rPr>
        <w:t>Hybrid selection of discrete genomic intervals on custom-designed microarrays for massively parallel sequencing.</w:t>
      </w:r>
      <w:r>
        <w:rPr>
          <w:rFonts w:ascii="Calibri" w:hAnsi="Calibri" w:cs="Verdana"/>
          <w:color w:val="000000"/>
          <w:szCs w:val="22"/>
        </w:rPr>
        <w:t xml:space="preserve"> </w:t>
      </w:r>
      <w:r>
        <w:rPr>
          <w:rFonts w:ascii="Calibri" w:hAnsi="Calibri" w:cs="Verdana"/>
          <w:i/>
          <w:color w:val="000000"/>
          <w:szCs w:val="22"/>
        </w:rPr>
        <w:t xml:space="preserve">Nat </w:t>
      </w:r>
      <w:proofErr w:type="spellStart"/>
      <w:r>
        <w:rPr>
          <w:rFonts w:ascii="Calibri" w:hAnsi="Calibri" w:cs="Verdana"/>
          <w:i/>
          <w:color w:val="000000"/>
          <w:szCs w:val="22"/>
        </w:rPr>
        <w:t>Protoc</w:t>
      </w:r>
      <w:proofErr w:type="spellEnd"/>
      <w:r>
        <w:rPr>
          <w:rFonts w:ascii="Calibri" w:hAnsi="Calibri" w:cs="Verdana"/>
          <w:color w:val="000000"/>
          <w:szCs w:val="22"/>
        </w:rPr>
        <w:t xml:space="preserve"> 2009, </w:t>
      </w:r>
      <w:r>
        <w:rPr>
          <w:rFonts w:ascii="Calibri" w:hAnsi="Calibri" w:cs="Verdana"/>
          <w:b/>
          <w:color w:val="000000"/>
          <w:szCs w:val="22"/>
        </w:rPr>
        <w:t>4</w:t>
      </w:r>
      <w:r>
        <w:rPr>
          <w:rFonts w:ascii="Calibri" w:hAnsi="Calibri" w:cs="Verdana"/>
          <w:color w:val="000000"/>
          <w:szCs w:val="22"/>
        </w:rPr>
        <w:t>: 960-974.</w:t>
      </w:r>
    </w:p>
    <w:p w:rsidR="00D97CF1" w:rsidRDefault="00C437FE">
      <w:pPr>
        <w:spacing w:before="120" w:after="0"/>
      </w:pPr>
      <w:r>
        <w:rPr>
          <w:rFonts w:ascii="Calibri" w:hAnsi="Calibri" w:cs="Verdana"/>
          <w:color w:val="000000"/>
          <w:szCs w:val="22"/>
        </w:rPr>
        <w:t xml:space="preserve">3. </w:t>
      </w:r>
      <w:proofErr w:type="spellStart"/>
      <w:r>
        <w:rPr>
          <w:rFonts w:ascii="Calibri" w:hAnsi="Calibri" w:cs="Verdana"/>
          <w:color w:val="000000"/>
          <w:szCs w:val="22"/>
        </w:rPr>
        <w:t>Burbano</w:t>
      </w:r>
      <w:proofErr w:type="spellEnd"/>
      <w:r>
        <w:rPr>
          <w:rFonts w:ascii="Calibri" w:hAnsi="Calibri" w:cs="Verdana"/>
          <w:color w:val="000000"/>
          <w:szCs w:val="22"/>
        </w:rPr>
        <w:t xml:space="preserve"> HA, Hodges E, Green RE, Briggs AW, Krause J, Meyer M, Good JM, </w:t>
      </w:r>
      <w:proofErr w:type="spellStart"/>
      <w:r>
        <w:rPr>
          <w:rFonts w:ascii="Calibri" w:hAnsi="Calibri" w:cs="Verdana"/>
          <w:color w:val="000000"/>
          <w:szCs w:val="22"/>
        </w:rPr>
        <w:t>Maricic</w:t>
      </w:r>
      <w:proofErr w:type="spellEnd"/>
      <w:r>
        <w:rPr>
          <w:rFonts w:ascii="Calibri" w:hAnsi="Calibri" w:cs="Verdana"/>
          <w:color w:val="000000"/>
          <w:szCs w:val="22"/>
        </w:rPr>
        <w:t xml:space="preserve"> M, Johnson PLF, </w:t>
      </w:r>
      <w:proofErr w:type="spellStart"/>
      <w:r>
        <w:rPr>
          <w:rFonts w:ascii="Calibri" w:hAnsi="Calibri" w:cs="Verdana"/>
          <w:color w:val="000000"/>
          <w:szCs w:val="22"/>
        </w:rPr>
        <w:t>Xuan</w:t>
      </w:r>
      <w:proofErr w:type="spellEnd"/>
      <w:r>
        <w:rPr>
          <w:rFonts w:ascii="Calibri" w:hAnsi="Calibri" w:cs="Verdana"/>
          <w:color w:val="000000"/>
          <w:szCs w:val="22"/>
        </w:rPr>
        <w:t xml:space="preserve"> Z, Rooks M, </w:t>
      </w:r>
      <w:proofErr w:type="spellStart"/>
      <w:r>
        <w:rPr>
          <w:rFonts w:ascii="Calibri" w:hAnsi="Calibri" w:cs="Verdana"/>
          <w:color w:val="000000"/>
          <w:szCs w:val="22"/>
        </w:rPr>
        <w:t>Bhattacharjee</w:t>
      </w:r>
      <w:proofErr w:type="spellEnd"/>
      <w:r>
        <w:rPr>
          <w:rFonts w:ascii="Calibri" w:hAnsi="Calibri" w:cs="Verdana"/>
          <w:color w:val="000000"/>
          <w:szCs w:val="22"/>
        </w:rPr>
        <w:t xml:space="preserve"> A, </w:t>
      </w:r>
      <w:proofErr w:type="spellStart"/>
      <w:r>
        <w:rPr>
          <w:rFonts w:ascii="Calibri" w:hAnsi="Calibri" w:cs="Verdana"/>
          <w:color w:val="000000"/>
          <w:szCs w:val="22"/>
        </w:rPr>
        <w:t>Brizuela</w:t>
      </w:r>
      <w:proofErr w:type="spellEnd"/>
      <w:r>
        <w:rPr>
          <w:rFonts w:ascii="Calibri" w:hAnsi="Calibri" w:cs="Verdana"/>
          <w:color w:val="000000"/>
          <w:szCs w:val="22"/>
        </w:rPr>
        <w:t xml:space="preserve"> L, Albert FW, de la </w:t>
      </w:r>
      <w:proofErr w:type="spellStart"/>
      <w:r>
        <w:rPr>
          <w:rFonts w:ascii="Calibri" w:hAnsi="Calibri" w:cs="Verdana"/>
          <w:color w:val="000000"/>
          <w:szCs w:val="22"/>
        </w:rPr>
        <w:t>Rasilla</w:t>
      </w:r>
      <w:proofErr w:type="spellEnd"/>
      <w:r>
        <w:rPr>
          <w:rFonts w:ascii="Calibri" w:hAnsi="Calibri" w:cs="Verdana"/>
          <w:color w:val="000000"/>
          <w:szCs w:val="22"/>
        </w:rPr>
        <w:t xml:space="preserve"> M, </w:t>
      </w:r>
      <w:proofErr w:type="spellStart"/>
      <w:r>
        <w:rPr>
          <w:rFonts w:ascii="Calibri" w:hAnsi="Calibri" w:cs="Verdana"/>
          <w:color w:val="000000"/>
          <w:szCs w:val="22"/>
        </w:rPr>
        <w:t>Fortea</w:t>
      </w:r>
      <w:proofErr w:type="spellEnd"/>
      <w:r>
        <w:rPr>
          <w:rFonts w:ascii="Calibri" w:hAnsi="Calibri" w:cs="Verdana"/>
          <w:color w:val="000000"/>
          <w:szCs w:val="22"/>
        </w:rPr>
        <w:t xml:space="preserve"> J, Rosas A, </w:t>
      </w:r>
      <w:proofErr w:type="spellStart"/>
      <w:r>
        <w:rPr>
          <w:rFonts w:ascii="Calibri" w:hAnsi="Calibri" w:cs="Verdana"/>
          <w:color w:val="000000"/>
          <w:szCs w:val="22"/>
        </w:rPr>
        <w:t>Lachmann</w:t>
      </w:r>
      <w:proofErr w:type="spellEnd"/>
      <w:r>
        <w:rPr>
          <w:rFonts w:ascii="Calibri" w:hAnsi="Calibri" w:cs="Verdana"/>
          <w:color w:val="000000"/>
          <w:szCs w:val="22"/>
        </w:rPr>
        <w:t xml:space="preserve"> M, Hannon GJ, </w:t>
      </w:r>
      <w:proofErr w:type="spellStart"/>
      <w:r>
        <w:rPr>
          <w:rFonts w:ascii="Calibri" w:hAnsi="Calibri" w:cs="Verdana"/>
          <w:color w:val="000000"/>
          <w:szCs w:val="22"/>
        </w:rPr>
        <w:t>Pääbo</w:t>
      </w:r>
      <w:proofErr w:type="spellEnd"/>
      <w:r>
        <w:rPr>
          <w:rFonts w:ascii="Calibri" w:hAnsi="Calibri" w:cs="Verdana"/>
          <w:color w:val="000000"/>
          <w:szCs w:val="22"/>
        </w:rPr>
        <w:t xml:space="preserve"> S: </w:t>
      </w:r>
      <w:r>
        <w:rPr>
          <w:rFonts w:ascii="Calibri" w:hAnsi="Calibri" w:cs="Verdana"/>
          <w:b/>
          <w:color w:val="000000"/>
          <w:szCs w:val="22"/>
        </w:rPr>
        <w:t xml:space="preserve">Targeted investigation of the </w:t>
      </w:r>
      <w:proofErr w:type="spellStart"/>
      <w:r>
        <w:rPr>
          <w:rFonts w:ascii="Calibri" w:hAnsi="Calibri" w:cs="Verdana"/>
          <w:b/>
          <w:color w:val="000000"/>
          <w:szCs w:val="22"/>
        </w:rPr>
        <w:t>Neandertal</w:t>
      </w:r>
      <w:proofErr w:type="spellEnd"/>
      <w:r>
        <w:rPr>
          <w:rFonts w:ascii="Calibri" w:hAnsi="Calibri" w:cs="Verdana"/>
          <w:b/>
          <w:color w:val="000000"/>
          <w:szCs w:val="22"/>
        </w:rPr>
        <w:t xml:space="preserve"> genome by array-based sequence capture.</w:t>
      </w:r>
      <w:r>
        <w:rPr>
          <w:rFonts w:ascii="Calibri" w:hAnsi="Calibri" w:cs="Verdana"/>
          <w:i/>
          <w:color w:val="000000"/>
          <w:szCs w:val="22"/>
        </w:rPr>
        <w:t xml:space="preserve"> Science</w:t>
      </w:r>
      <w:r>
        <w:rPr>
          <w:rFonts w:ascii="Calibri" w:hAnsi="Calibri" w:cs="Verdana"/>
          <w:color w:val="000000"/>
          <w:szCs w:val="22"/>
        </w:rPr>
        <w:t xml:space="preserve"> 2010, </w:t>
      </w:r>
      <w:r>
        <w:rPr>
          <w:rFonts w:ascii="Calibri" w:hAnsi="Calibri" w:cs="Verdana"/>
          <w:b/>
          <w:color w:val="000000"/>
          <w:szCs w:val="22"/>
        </w:rPr>
        <w:t>328</w:t>
      </w:r>
      <w:r>
        <w:rPr>
          <w:rFonts w:ascii="Calibri" w:hAnsi="Calibri" w:cs="Verdana"/>
          <w:color w:val="000000"/>
          <w:szCs w:val="22"/>
        </w:rPr>
        <w:t>: 723-725.</w:t>
      </w:r>
    </w:p>
    <w:p w:rsidR="00D97CF1" w:rsidRDefault="00C437FE">
      <w:pPr>
        <w:spacing w:before="120" w:after="0"/>
      </w:pPr>
      <w:r>
        <w:rPr>
          <w:rFonts w:ascii="Calibri" w:hAnsi="Calibri" w:cs="Verdana"/>
          <w:color w:val="000000"/>
          <w:szCs w:val="22"/>
        </w:rPr>
        <w:t xml:space="preserve">4. Nielsen R, Paul JS, </w:t>
      </w:r>
      <w:proofErr w:type="spellStart"/>
      <w:r>
        <w:rPr>
          <w:rFonts w:ascii="Calibri" w:hAnsi="Calibri" w:cs="Verdana"/>
          <w:color w:val="000000"/>
          <w:szCs w:val="22"/>
        </w:rPr>
        <w:t>Albrechtsen</w:t>
      </w:r>
      <w:proofErr w:type="spellEnd"/>
      <w:r>
        <w:rPr>
          <w:rFonts w:ascii="Calibri" w:hAnsi="Calibri" w:cs="Verdana"/>
          <w:color w:val="000000"/>
          <w:szCs w:val="22"/>
        </w:rPr>
        <w:t xml:space="preserve"> A, Song YS: </w:t>
      </w:r>
      <w:r>
        <w:rPr>
          <w:rFonts w:ascii="Calibri" w:hAnsi="Calibri" w:cs="Verdana"/>
          <w:b/>
          <w:color w:val="000000"/>
          <w:szCs w:val="22"/>
        </w:rPr>
        <w:t xml:space="preserve">Genotype and SNP calling from next-generation sequencing data. </w:t>
      </w:r>
      <w:r>
        <w:rPr>
          <w:rFonts w:ascii="Calibri" w:hAnsi="Calibri" w:cs="Verdana"/>
          <w:i/>
          <w:color w:val="000000"/>
          <w:szCs w:val="22"/>
        </w:rPr>
        <w:t>Nat Rev Genet</w:t>
      </w:r>
      <w:r>
        <w:rPr>
          <w:rFonts w:ascii="Calibri" w:hAnsi="Calibri" w:cs="Verdana"/>
          <w:color w:val="000000"/>
          <w:szCs w:val="22"/>
        </w:rPr>
        <w:t xml:space="preserve"> 2011, </w:t>
      </w:r>
      <w:r>
        <w:rPr>
          <w:rFonts w:ascii="Calibri" w:hAnsi="Calibri" w:cs="Verdana"/>
          <w:b/>
          <w:color w:val="000000"/>
          <w:szCs w:val="22"/>
        </w:rPr>
        <w:t>12</w:t>
      </w:r>
      <w:r>
        <w:rPr>
          <w:rFonts w:ascii="Calibri" w:hAnsi="Calibri" w:cs="Verdana"/>
          <w:color w:val="000000"/>
          <w:szCs w:val="22"/>
        </w:rPr>
        <w:t>:443-451.</w:t>
      </w:r>
    </w:p>
    <w:p w:rsidR="00D97CF1" w:rsidRDefault="00C437FE">
      <w:pPr>
        <w:spacing w:before="120" w:after="0"/>
      </w:pPr>
      <w:r>
        <w:rPr>
          <w:rFonts w:ascii="Calibri" w:hAnsi="Calibri" w:cs="Verdana"/>
          <w:color w:val="000000"/>
          <w:szCs w:val="22"/>
        </w:rPr>
        <w:t xml:space="preserve">5. Kim SY, Li Y, </w:t>
      </w:r>
      <w:proofErr w:type="spellStart"/>
      <w:r>
        <w:rPr>
          <w:rFonts w:ascii="Calibri" w:hAnsi="Calibri" w:cs="Verdana"/>
          <w:color w:val="000000"/>
          <w:szCs w:val="22"/>
        </w:rPr>
        <w:t>Guo</w:t>
      </w:r>
      <w:proofErr w:type="spellEnd"/>
      <w:r>
        <w:rPr>
          <w:rFonts w:ascii="Calibri" w:hAnsi="Calibri" w:cs="Verdana"/>
          <w:color w:val="000000"/>
          <w:szCs w:val="22"/>
        </w:rPr>
        <w:t xml:space="preserve"> Y, Li R, </w:t>
      </w:r>
      <w:proofErr w:type="spellStart"/>
      <w:r>
        <w:rPr>
          <w:rFonts w:ascii="Calibri" w:hAnsi="Calibri" w:cs="Verdana"/>
          <w:color w:val="000000"/>
          <w:szCs w:val="22"/>
        </w:rPr>
        <w:t>Holmkvist</w:t>
      </w:r>
      <w:proofErr w:type="spellEnd"/>
      <w:r>
        <w:rPr>
          <w:rFonts w:ascii="Calibri" w:hAnsi="Calibri" w:cs="Verdana"/>
          <w:color w:val="000000"/>
          <w:szCs w:val="22"/>
        </w:rPr>
        <w:t xml:space="preserve"> J, Hansen T, Pedersen O, Wang J, Nielsen R: </w:t>
      </w:r>
      <w:r>
        <w:rPr>
          <w:rFonts w:ascii="Calibri" w:hAnsi="Calibri" w:cs="Verdana"/>
          <w:b/>
          <w:color w:val="000000"/>
          <w:szCs w:val="22"/>
        </w:rPr>
        <w:t>Design of association studies with pooled or un-pooled next-generation sequencing data.</w:t>
      </w:r>
      <w:r>
        <w:rPr>
          <w:rFonts w:ascii="Calibri" w:hAnsi="Calibri" w:cs="Verdana"/>
          <w:color w:val="000000"/>
          <w:szCs w:val="22"/>
        </w:rPr>
        <w:t xml:space="preserve"> </w:t>
      </w:r>
      <w:r>
        <w:rPr>
          <w:rFonts w:ascii="Calibri" w:hAnsi="Calibri" w:cs="Verdana"/>
          <w:i/>
          <w:color w:val="000000"/>
          <w:szCs w:val="22"/>
        </w:rPr>
        <w:t xml:space="preserve">Genet </w:t>
      </w:r>
      <w:proofErr w:type="spellStart"/>
      <w:r>
        <w:rPr>
          <w:rFonts w:ascii="Calibri" w:hAnsi="Calibri" w:cs="Verdana"/>
          <w:i/>
          <w:color w:val="000000"/>
          <w:szCs w:val="22"/>
        </w:rPr>
        <w:t>Epidemiol</w:t>
      </w:r>
      <w:proofErr w:type="spellEnd"/>
      <w:r>
        <w:rPr>
          <w:rFonts w:ascii="Calibri" w:hAnsi="Calibri" w:cs="Verdana"/>
          <w:color w:val="000000"/>
          <w:szCs w:val="22"/>
        </w:rPr>
        <w:t xml:space="preserve"> 2010, 34:479-491.</w:t>
      </w:r>
    </w:p>
    <w:p w:rsidR="00D97CF1" w:rsidRDefault="00C437FE">
      <w:pPr>
        <w:spacing w:before="120" w:after="0"/>
      </w:pPr>
      <w:r>
        <w:rPr>
          <w:rFonts w:ascii="Calibri" w:hAnsi="Calibri" w:cs="Verdana"/>
          <w:color w:val="000000"/>
          <w:szCs w:val="22"/>
        </w:rPr>
        <w:t xml:space="preserve">6. Lemmon A, </w:t>
      </w:r>
      <w:proofErr w:type="spellStart"/>
      <w:r>
        <w:rPr>
          <w:rFonts w:ascii="Calibri" w:hAnsi="Calibri" w:cs="Verdana"/>
          <w:color w:val="000000"/>
          <w:szCs w:val="22"/>
        </w:rPr>
        <w:t>Emme</w:t>
      </w:r>
      <w:proofErr w:type="spellEnd"/>
      <w:r>
        <w:rPr>
          <w:rFonts w:ascii="Calibri" w:hAnsi="Calibri" w:cs="Verdana"/>
          <w:color w:val="000000"/>
          <w:szCs w:val="22"/>
        </w:rPr>
        <w:t xml:space="preserve"> S, Lemmon E:  </w:t>
      </w:r>
      <w:r>
        <w:rPr>
          <w:rFonts w:ascii="Calibri" w:hAnsi="Calibri" w:cs="Verdana"/>
          <w:b/>
          <w:color w:val="000000"/>
          <w:szCs w:val="22"/>
        </w:rPr>
        <w:t>Anchored hybrid enrichment for massively high-throughput phylogenomics</w:t>
      </w:r>
      <w:r>
        <w:rPr>
          <w:rFonts w:ascii="Calibri" w:hAnsi="Calibri" w:cs="Verdana"/>
          <w:color w:val="000000"/>
          <w:szCs w:val="22"/>
        </w:rPr>
        <w:t xml:space="preserve">. </w:t>
      </w:r>
      <w:proofErr w:type="spellStart"/>
      <w:r>
        <w:rPr>
          <w:rFonts w:ascii="Calibri" w:hAnsi="Calibri" w:cs="Verdana"/>
          <w:i/>
          <w:color w:val="000000"/>
          <w:szCs w:val="22"/>
        </w:rPr>
        <w:t>Syst</w:t>
      </w:r>
      <w:proofErr w:type="spellEnd"/>
      <w:r>
        <w:rPr>
          <w:rFonts w:ascii="Calibri" w:hAnsi="Calibri" w:cs="Verdana"/>
          <w:i/>
          <w:color w:val="000000"/>
          <w:szCs w:val="22"/>
        </w:rPr>
        <w:t xml:space="preserve"> </w:t>
      </w:r>
      <w:proofErr w:type="spellStart"/>
      <w:r>
        <w:rPr>
          <w:rFonts w:ascii="Calibri" w:hAnsi="Calibri" w:cs="Verdana"/>
          <w:i/>
          <w:color w:val="000000"/>
          <w:szCs w:val="22"/>
        </w:rPr>
        <w:t>Biol</w:t>
      </w:r>
      <w:proofErr w:type="spellEnd"/>
      <w:r>
        <w:rPr>
          <w:rFonts w:ascii="Calibri" w:hAnsi="Calibri" w:cs="Verdana"/>
          <w:color w:val="000000"/>
          <w:szCs w:val="22"/>
        </w:rPr>
        <w:t>, in press.</w:t>
      </w:r>
    </w:p>
    <w:p w:rsidR="00D97CF1" w:rsidRDefault="00D97CF1">
      <w:pPr>
        <w:spacing w:before="120" w:after="0"/>
      </w:pPr>
    </w:p>
    <w:p w:rsidR="00D97CF1" w:rsidRDefault="00D97CF1">
      <w:pPr>
        <w:spacing w:before="120" w:after="0"/>
      </w:pPr>
    </w:p>
    <w:p w:rsidR="00D97CF1" w:rsidRDefault="00D97CF1">
      <w:pPr>
        <w:spacing w:before="120" w:after="0"/>
      </w:pPr>
    </w:p>
    <w:p w:rsidR="00D97CF1" w:rsidRDefault="00D97CF1"/>
    <w:p w:rsidR="00D97CF1" w:rsidRDefault="00D97CF1"/>
    <w:sectPr w:rsidR="00D97CF1" w:rsidSect="00D97CF1">
      <w:pgSz w:w="12240" w:h="15840"/>
      <w:pgMar w:top="1440" w:right="1800" w:bottom="1440" w:left="1800" w:header="0" w:footer="0" w:gutter="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80"/>
    <w:family w:val="roman"/>
    <w:pitch w:val="variable"/>
    <w:sig w:usb0="00000000" w:usb1="00000000" w:usb2="00000000" w:usb3="00000000" w:csb0="00000000" w:csb1="00000000"/>
  </w:font>
  <w:font w:name="WenQuanYi Micro Hei">
    <w:altName w:val="Cambria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Cambria"/>
    <w:charset w:val="00"/>
    <w:family w:val="roman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roman"/>
    <w:pitch w:val="default"/>
    <w:sig w:usb0="00000000" w:usb1="00000000" w:usb2="00000000" w:usb3="00000000" w:csb0="00000000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compat>
    <w:useFELayout/>
  </w:compat>
  <w:rsids>
    <w:rsidRoot w:val="00D97CF1"/>
    <w:rsid w:val="00187E98"/>
    <w:rsid w:val="001C3717"/>
    <w:rsid w:val="003276CC"/>
    <w:rsid w:val="00C437FE"/>
    <w:rsid w:val="00D97CF1"/>
  </w:rsids>
  <m:mathPr>
    <m:mathFont m:val="WenQuanYi Micro Hei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7CF1"/>
    <w:pPr>
      <w:widowControl w:val="0"/>
      <w:tabs>
        <w:tab w:val="left" w:pos="720"/>
      </w:tabs>
      <w:suppressAutoHyphens/>
    </w:pPr>
    <w:rPr>
      <w:rFonts w:ascii="Liberation Serif" w:eastAsia="WenQuanYi Micro Hei" w:hAnsi="Liberation Serif" w:cs="Lohit Hindi"/>
      <w:lang w:eastAsia="zh-CN" w:bidi="hi-I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ListLabel1">
    <w:name w:val="ListLabel 1"/>
    <w:rsid w:val="00D97CF1"/>
    <w:rPr>
      <w:rFonts w:cs="Lohit Hindi"/>
    </w:rPr>
  </w:style>
  <w:style w:type="paragraph" w:customStyle="1" w:styleId="Heading">
    <w:name w:val="Heading"/>
    <w:basedOn w:val="Normal"/>
    <w:next w:val="Textbody"/>
    <w:rsid w:val="00D97CF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rsid w:val="00D97CF1"/>
    <w:pPr>
      <w:spacing w:after="120"/>
    </w:pPr>
  </w:style>
  <w:style w:type="paragraph" w:styleId="List">
    <w:name w:val="List"/>
    <w:basedOn w:val="Textbody"/>
    <w:rsid w:val="00D97CF1"/>
  </w:style>
  <w:style w:type="paragraph" w:styleId="Caption">
    <w:name w:val="caption"/>
    <w:basedOn w:val="Normal"/>
    <w:rsid w:val="00D97CF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D97CF1"/>
    <w:pPr>
      <w:suppressLineNumbers/>
    </w:pPr>
  </w:style>
  <w:style w:type="paragraph" w:styleId="ListParagraph">
    <w:name w:val="List Paragraph"/>
    <w:basedOn w:val="Normal"/>
    <w:rsid w:val="00D97CF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3717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717"/>
    <w:rPr>
      <w:rFonts w:ascii="Lucida Grande" w:eastAsia="WenQuanYi Micro Hei" w:hAnsi="Lucida Grande" w:cs="Lohit Hindi"/>
      <w:sz w:val="18"/>
      <w:szCs w:val="18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477</Words>
  <Characters>2723</Characters>
  <Application>Microsoft Word 12.0.0</Application>
  <DocSecurity>0</DocSecurity>
  <Lines>22</Lines>
  <Paragraphs>5</Paragraphs>
  <ScaleCrop>false</ScaleCrop>
  <Company>University of California at Berkeley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 Bi</dc:creator>
  <cp:lastModifiedBy>Ke Bi</cp:lastModifiedBy>
  <cp:revision>3</cp:revision>
  <dcterms:created xsi:type="dcterms:W3CDTF">2012-04-26T08:07:00Z</dcterms:created>
  <dcterms:modified xsi:type="dcterms:W3CDTF">2012-06-13T07:20:00Z</dcterms:modified>
</cp:coreProperties>
</file>