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7F" w:rsidRPr="00C8527F" w:rsidRDefault="00C8527F" w:rsidP="00C8527F">
      <w:pPr>
        <w:rPr>
          <w:bCs/>
        </w:rPr>
      </w:pPr>
      <w:proofErr w:type="gramStart"/>
      <w:r w:rsidRPr="00582819">
        <w:rPr>
          <w:b/>
        </w:rPr>
        <w:t xml:space="preserve">Supplementary Figure </w:t>
      </w:r>
      <w:r w:rsidR="00E02382">
        <w:rPr>
          <w:b/>
        </w:rPr>
        <w:t>1</w:t>
      </w:r>
      <w:r w:rsidRPr="00582819">
        <w:rPr>
          <w:b/>
        </w:rPr>
        <w:t>.</w:t>
      </w:r>
      <w:proofErr w:type="gramEnd"/>
      <w:r w:rsidRPr="00C8527F">
        <w:rPr>
          <w:bCs/>
        </w:rPr>
        <w:t xml:space="preserve"> </w:t>
      </w:r>
      <w:r>
        <w:rPr>
          <w:bCs/>
        </w:rPr>
        <w:t xml:space="preserve"> </w:t>
      </w:r>
      <w:r w:rsidRPr="00C8527F">
        <w:rPr>
          <w:bCs/>
        </w:rPr>
        <w:t xml:space="preserve">Comparison of </w:t>
      </w:r>
      <w:r>
        <w:rPr>
          <w:bCs/>
        </w:rPr>
        <w:t>Velvet/</w:t>
      </w:r>
      <w:r w:rsidRPr="00C8527F">
        <w:rPr>
          <w:bCs/>
        </w:rPr>
        <w:t>Oases assemblies to the OM set.  The total length of alignments (left, as fraction of total sequence) to the OM set as well as average %-Identity of Blast matches (right) as a function of k-</w:t>
      </w:r>
      <w:proofErr w:type="spellStart"/>
      <w:r w:rsidRPr="00C8527F">
        <w:rPr>
          <w:bCs/>
        </w:rPr>
        <w:t>mer</w:t>
      </w:r>
      <w:proofErr w:type="spellEnd"/>
      <w:r w:rsidRPr="00C8527F">
        <w:rPr>
          <w:bCs/>
        </w:rPr>
        <w:t xml:space="preserve"> length is shown.  With increasing k-</w:t>
      </w:r>
      <w:proofErr w:type="spellStart"/>
      <w:r w:rsidRPr="00C8527F">
        <w:rPr>
          <w:bCs/>
        </w:rPr>
        <w:t>mer</w:t>
      </w:r>
      <w:proofErr w:type="spellEnd"/>
      <w:r w:rsidRPr="00C8527F">
        <w:rPr>
          <w:bCs/>
        </w:rPr>
        <w:t xml:space="preserve"> size the assemblies become more homoeolog-specific, at the expense of total sequence coverage.</w:t>
      </w:r>
    </w:p>
    <w:p w:rsidR="00C8527F" w:rsidRPr="00C8527F" w:rsidRDefault="00C8527F" w:rsidP="00C8527F"/>
    <w:p w:rsidR="00C8527F" w:rsidRPr="00C8527F" w:rsidRDefault="00C8527F" w:rsidP="00C8527F">
      <w:r w:rsidRPr="00C8527F">
        <w:rPr>
          <w:noProof/>
          <w:lang w:eastAsia="en-AU"/>
        </w:rPr>
        <w:drawing>
          <wp:inline distT="0" distB="0" distL="0" distR="0">
            <wp:extent cx="2572804" cy="1743075"/>
            <wp:effectExtent l="19050" t="0" r="0" b="0"/>
            <wp:docPr id="1" name="Picture 3" descr="kmerChoicePl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erChoicePlot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804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27F">
        <w:rPr>
          <w:noProof/>
          <w:lang w:eastAsia="en-AU"/>
        </w:rPr>
        <w:drawing>
          <wp:inline distT="0" distB="0" distL="0" distR="0">
            <wp:extent cx="2609182" cy="1676400"/>
            <wp:effectExtent l="19050" t="0" r="668" b="0"/>
            <wp:docPr id="2" name="Picture 6" descr="kmerChoicePlo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erChoicePlot2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881" cy="167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4BC" w:rsidRDefault="007004BC" w:rsidP="00C8527F"/>
    <w:sectPr w:rsidR="007004BC" w:rsidSect="00700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8527F"/>
    <w:rsid w:val="000D519F"/>
    <w:rsid w:val="00546A4F"/>
    <w:rsid w:val="00582819"/>
    <w:rsid w:val="007004BC"/>
    <w:rsid w:val="00C8527F"/>
    <w:rsid w:val="00D473F4"/>
    <w:rsid w:val="00E02382"/>
    <w:rsid w:val="00E7365F"/>
    <w:rsid w:val="00EB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>ACPFG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andreas.schreiber</dc:creator>
  <cp:lastModifiedBy>andreas.schreiber</cp:lastModifiedBy>
  <cp:revision>3</cp:revision>
  <dcterms:created xsi:type="dcterms:W3CDTF">2011-06-03T00:57:00Z</dcterms:created>
  <dcterms:modified xsi:type="dcterms:W3CDTF">2011-11-07T00:04:00Z</dcterms:modified>
</cp:coreProperties>
</file>