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A7F" w:rsidRPr="00E02513" w:rsidRDefault="004F6D00" w:rsidP="00E02513">
      <w:pPr>
        <w:spacing w:after="0" w:line="480" w:lineRule="auto"/>
        <w:rPr>
          <w:rFonts w:asciiTheme="minorHAnsi" w:hAnsiTheme="minorHAnsi" w:cstheme="minorHAnsi"/>
          <w:b/>
          <w:sz w:val="24"/>
          <w:szCs w:val="24"/>
        </w:rPr>
      </w:pPr>
      <w:bookmarkStart w:id="0" w:name="_GoBack"/>
      <w:bookmarkEnd w:id="0"/>
      <w:r w:rsidRPr="00E02513">
        <w:rPr>
          <w:rFonts w:asciiTheme="minorHAnsi" w:hAnsiTheme="minorHAnsi" w:cstheme="minorHAnsi"/>
          <w:b/>
          <w:sz w:val="24"/>
          <w:szCs w:val="24"/>
        </w:rPr>
        <w:t>Additional file 1</w:t>
      </w:r>
    </w:p>
    <w:p w:rsidR="00F80A7F" w:rsidRPr="00E02513" w:rsidRDefault="00EA76D9" w:rsidP="00E02513">
      <w:pPr>
        <w:spacing w:after="0" w:line="480" w:lineRule="auto"/>
        <w:rPr>
          <w:rFonts w:asciiTheme="minorHAnsi" w:hAnsiTheme="minorHAnsi" w:cstheme="minorHAnsi"/>
          <w:b/>
          <w:sz w:val="24"/>
          <w:szCs w:val="24"/>
        </w:rPr>
      </w:pPr>
      <w:r w:rsidRPr="00E02513">
        <w:rPr>
          <w:rFonts w:asciiTheme="minorHAnsi" w:hAnsiTheme="minorHAnsi" w:cstheme="minorHAnsi"/>
          <w:b/>
          <w:sz w:val="24"/>
          <w:szCs w:val="24"/>
        </w:rPr>
        <w:t>Background</w:t>
      </w:r>
    </w:p>
    <w:p w:rsidR="00DD2EF5" w:rsidRPr="00E02513" w:rsidRDefault="00DD2EF5" w:rsidP="00E02513">
      <w:pPr>
        <w:spacing w:after="0" w:line="480" w:lineRule="auto"/>
        <w:rPr>
          <w:rFonts w:asciiTheme="minorHAnsi" w:hAnsiTheme="minorHAnsi" w:cstheme="minorHAnsi"/>
          <w:b/>
          <w:sz w:val="24"/>
          <w:szCs w:val="24"/>
        </w:rPr>
      </w:pPr>
    </w:p>
    <w:p w:rsidR="00DD2EF5" w:rsidRPr="00E02513" w:rsidRDefault="00DD2EF5" w:rsidP="00E02513">
      <w:pPr>
        <w:spacing w:after="0" w:line="480" w:lineRule="auto"/>
        <w:ind w:firstLine="720"/>
        <w:rPr>
          <w:rFonts w:asciiTheme="minorHAnsi" w:hAnsiTheme="minorHAnsi" w:cstheme="minorHAnsi"/>
          <w:sz w:val="24"/>
          <w:szCs w:val="24"/>
          <w:u w:val="single"/>
        </w:rPr>
      </w:pPr>
      <w:r w:rsidRPr="00E02513">
        <w:rPr>
          <w:rFonts w:asciiTheme="minorHAnsi" w:hAnsiTheme="minorHAnsi" w:cstheme="minorHAnsi"/>
          <w:sz w:val="24"/>
          <w:szCs w:val="24"/>
        </w:rPr>
        <w:t xml:space="preserve">Prior to use of the emulsion haplotype fusion PCR approach used for reconstructing haplotypes at </w:t>
      </w:r>
      <w:r w:rsidRPr="00E02513">
        <w:rPr>
          <w:rFonts w:asciiTheme="minorHAnsi" w:hAnsiTheme="minorHAnsi" w:cstheme="minorHAnsi"/>
          <w:i/>
          <w:sz w:val="24"/>
          <w:szCs w:val="24"/>
        </w:rPr>
        <w:t>DEFA1A3</w:t>
      </w:r>
      <w:r w:rsidRPr="00E02513">
        <w:rPr>
          <w:rFonts w:asciiTheme="minorHAnsi" w:hAnsiTheme="minorHAnsi" w:cstheme="minorHAnsi"/>
          <w:sz w:val="24"/>
          <w:szCs w:val="24"/>
        </w:rPr>
        <w:t xml:space="preserve">, initial work centred on the </w:t>
      </w:r>
      <w:r w:rsidRPr="00E02513">
        <w:rPr>
          <w:rFonts w:asciiTheme="minorHAnsi" w:hAnsiTheme="minorHAnsi" w:cstheme="minorHAnsi"/>
          <w:i/>
          <w:sz w:val="24"/>
          <w:szCs w:val="24"/>
        </w:rPr>
        <w:t>CCL3L1</w:t>
      </w:r>
      <w:r w:rsidRPr="00E02513">
        <w:rPr>
          <w:rFonts w:asciiTheme="minorHAnsi" w:hAnsiTheme="minorHAnsi" w:cstheme="minorHAnsi"/>
          <w:sz w:val="24"/>
          <w:szCs w:val="24"/>
        </w:rPr>
        <w:t>/</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locus</w:t>
      </w:r>
      <w:r w:rsidR="00773288" w:rsidRPr="00E02513">
        <w:rPr>
          <w:rFonts w:asciiTheme="minorHAnsi" w:hAnsiTheme="minorHAnsi" w:cstheme="minorHAnsi"/>
          <w:sz w:val="24"/>
          <w:szCs w:val="24"/>
        </w:rPr>
        <w:t xml:space="preserve"> </w:t>
      </w:r>
      <w:r w:rsidRPr="00E02513">
        <w:rPr>
          <w:rFonts w:asciiTheme="minorHAnsi" w:hAnsiTheme="minorHAnsi" w:cstheme="minorHAnsi"/>
          <w:sz w:val="24"/>
          <w:szCs w:val="24"/>
        </w:rPr>
        <w:t xml:space="preserve">as a test system. </w:t>
      </w:r>
    </w:p>
    <w:p w:rsidR="00DD2EF5" w:rsidRPr="00E02513" w:rsidRDefault="00DD2EF5" w:rsidP="00E02513">
      <w:pPr>
        <w:spacing w:after="0" w:line="480" w:lineRule="auto"/>
        <w:rPr>
          <w:rFonts w:asciiTheme="minorHAnsi" w:hAnsiTheme="minorHAnsi" w:cstheme="minorHAnsi"/>
          <w:sz w:val="24"/>
          <w:szCs w:val="24"/>
        </w:rPr>
      </w:pPr>
    </w:p>
    <w:p w:rsidR="00F80A7F" w:rsidRPr="00E02513" w:rsidRDefault="00F80A7F" w:rsidP="00E02513">
      <w:pPr>
        <w:spacing w:after="0" w:line="480" w:lineRule="auto"/>
        <w:ind w:firstLine="720"/>
        <w:rPr>
          <w:rFonts w:asciiTheme="minorHAnsi" w:hAnsiTheme="minorHAnsi" w:cstheme="minorHAnsi"/>
          <w:sz w:val="24"/>
          <w:szCs w:val="24"/>
          <w:u w:val="single"/>
        </w:rPr>
      </w:pPr>
      <w:r w:rsidRPr="00E02513">
        <w:rPr>
          <w:rFonts w:asciiTheme="minorHAnsi" w:hAnsiTheme="minorHAnsi" w:cstheme="minorHAnsi"/>
          <w:i/>
          <w:sz w:val="24"/>
          <w:szCs w:val="24"/>
          <w:u w:val="single"/>
        </w:rPr>
        <w:t>CCL3L1</w:t>
      </w:r>
      <w:r w:rsidRPr="00E02513">
        <w:rPr>
          <w:rFonts w:asciiTheme="minorHAnsi" w:hAnsiTheme="minorHAnsi" w:cstheme="minorHAnsi"/>
          <w:sz w:val="24"/>
          <w:szCs w:val="24"/>
          <w:u w:val="single"/>
        </w:rPr>
        <w:t>/</w:t>
      </w:r>
      <w:r w:rsidRPr="00E02513">
        <w:rPr>
          <w:rFonts w:asciiTheme="minorHAnsi" w:hAnsiTheme="minorHAnsi" w:cstheme="minorHAnsi"/>
          <w:i/>
          <w:sz w:val="24"/>
          <w:szCs w:val="24"/>
          <w:u w:val="single"/>
        </w:rPr>
        <w:t>CCL4L1</w:t>
      </w:r>
      <w:r w:rsidRPr="00E02513">
        <w:rPr>
          <w:rFonts w:asciiTheme="minorHAnsi" w:hAnsiTheme="minorHAnsi" w:cstheme="minorHAnsi"/>
          <w:sz w:val="24"/>
          <w:szCs w:val="24"/>
          <w:u w:val="single"/>
        </w:rPr>
        <w:t xml:space="preserve"> locus</w:t>
      </w:r>
    </w:p>
    <w:p w:rsidR="00F80A7F" w:rsidRPr="00E02513" w:rsidRDefault="00F80A7F" w:rsidP="00E02513">
      <w:pPr>
        <w:spacing w:after="0" w:line="480" w:lineRule="auto"/>
        <w:ind w:firstLine="720"/>
        <w:rPr>
          <w:rFonts w:asciiTheme="minorHAnsi" w:hAnsiTheme="minorHAnsi" w:cstheme="minorHAnsi"/>
          <w:sz w:val="24"/>
          <w:szCs w:val="24"/>
        </w:rPr>
      </w:pPr>
      <w:r w:rsidRPr="00E02513">
        <w:rPr>
          <w:rFonts w:asciiTheme="minorHAnsi" w:hAnsiTheme="minorHAnsi" w:cstheme="minorHAnsi"/>
          <w:sz w:val="24"/>
          <w:szCs w:val="24"/>
        </w:rPr>
        <w:t xml:space="preserve">The region consists of an approximately 90kb repeat unit containing two genes, </w:t>
      </w:r>
      <w:r w:rsidRPr="00E02513">
        <w:rPr>
          <w:rFonts w:asciiTheme="minorHAnsi" w:hAnsiTheme="minorHAnsi" w:cstheme="minorHAnsi"/>
          <w:i/>
          <w:iCs/>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iCs/>
          <w:sz w:val="24"/>
          <w:szCs w:val="24"/>
        </w:rPr>
        <w:t>CCL4L1</w:t>
      </w:r>
      <w:r w:rsidRPr="00E02513">
        <w:rPr>
          <w:rFonts w:asciiTheme="minorHAnsi" w:hAnsiTheme="minorHAnsi" w:cstheme="minorHAnsi"/>
          <w:sz w:val="24"/>
          <w:szCs w:val="24"/>
        </w:rPr>
        <w:t xml:space="preserve">. </w:t>
      </w:r>
      <w:r w:rsidRPr="00E02513">
        <w:rPr>
          <w:rFonts w:asciiTheme="minorHAnsi" w:hAnsiTheme="minorHAnsi" w:cstheme="minorHAnsi"/>
          <w:i/>
          <w:iCs/>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iCs/>
          <w:sz w:val="24"/>
          <w:szCs w:val="24"/>
        </w:rPr>
        <w:t xml:space="preserve">CCL4L1 </w:t>
      </w:r>
      <w:r w:rsidRPr="00E02513">
        <w:rPr>
          <w:rFonts w:asciiTheme="minorHAnsi" w:hAnsiTheme="minorHAnsi" w:cstheme="minorHAnsi"/>
          <w:sz w:val="24"/>
          <w:szCs w:val="24"/>
        </w:rPr>
        <w:t xml:space="preserve">show 95% nucleotide sequence identity to their respective paralogues </w:t>
      </w:r>
      <w:r w:rsidRPr="00E02513">
        <w:rPr>
          <w:rFonts w:asciiTheme="minorHAnsi" w:hAnsiTheme="minorHAnsi" w:cstheme="minorHAnsi"/>
          <w:i/>
          <w:sz w:val="24"/>
          <w:szCs w:val="24"/>
        </w:rPr>
        <w:t>CCL3</w:t>
      </w:r>
      <w:r w:rsidRPr="00E02513">
        <w:rPr>
          <w:rFonts w:asciiTheme="minorHAnsi" w:hAnsiTheme="minorHAnsi" w:cstheme="minorHAnsi"/>
          <w:sz w:val="24"/>
          <w:szCs w:val="24"/>
        </w:rPr>
        <w:t xml:space="preserve"> and </w:t>
      </w:r>
      <w:r w:rsidRPr="00E02513">
        <w:rPr>
          <w:rFonts w:asciiTheme="minorHAnsi" w:hAnsiTheme="minorHAnsi" w:cstheme="minorHAnsi"/>
          <w:i/>
          <w:sz w:val="24"/>
          <w:szCs w:val="24"/>
        </w:rPr>
        <w:t>CCL4</w:t>
      </w:r>
      <w:r w:rsidRPr="00E02513">
        <w:rPr>
          <w:rFonts w:asciiTheme="minorHAnsi" w:hAnsiTheme="minorHAnsi" w:cstheme="minorHAnsi"/>
          <w:sz w:val="24"/>
          <w:szCs w:val="24"/>
        </w:rPr>
        <w:t xml:space="preserve">, which do not vary in copy number </w:t>
      </w:r>
      <w:r w:rsidR="00F9134B" w:rsidRPr="00E02513">
        <w:rPr>
          <w:rFonts w:asciiTheme="minorHAnsi" w:hAnsiTheme="minorHAnsi" w:cstheme="minorHAnsi"/>
          <w:sz w:val="24"/>
          <w:szCs w:val="24"/>
        </w:rPr>
        <w:fldChar w:fldCharType="begin"/>
      </w:r>
      <w:r w:rsidR="00EA76D9" w:rsidRPr="00E02513">
        <w:rPr>
          <w:rFonts w:asciiTheme="minorHAnsi" w:hAnsiTheme="minorHAnsi" w:cstheme="minorHAnsi"/>
          <w:sz w:val="24"/>
          <w:szCs w:val="24"/>
        </w:rPr>
        <w:instrText xml:space="preserve"> ADDIN EN.CITE &lt;EndNote&gt;&lt;Cite&gt;&lt;Author&gt;Modi&lt;/Author&gt;&lt;Year&gt;2004&lt;/Year&gt;&lt;RecNum&gt;778&lt;/RecNum&gt;&lt;DisplayText&gt;[1]&lt;/DisplayText&gt;&lt;record&gt;&lt;rec-number&gt;778&lt;/rec-number&gt;&lt;foreign-keys&gt;&lt;key app="EN" db-id="ftx9v9s96fwx0mepf29pxspfarw950zxwzvv"&gt;778&lt;/key&gt;&lt;/foreign-keys&gt;&lt;ref-type name="Journal Article"&gt;17&lt;/ref-type&gt;&lt;contributors&gt;&lt;authors&gt;&lt;author&gt;Modi, William S.&lt;/author&gt;&lt;/authors&gt;&lt;/contributors&gt;&lt;titles&gt;&lt;title&gt;CCL3L1 and CCL4L1 chemokine genes are located in a segmental duplication at chromosome 17q12&lt;/title&gt;&lt;secondary-title&gt;Genomics&lt;/secondary-title&gt;&lt;/titles&gt;&lt;periodical&gt;&lt;full-title&gt;Genomics&lt;/full-title&gt;&lt;/periodical&gt;&lt;pages&gt;735-738&lt;/pages&gt;&lt;volume&gt;83&lt;/volume&gt;&lt;number&gt;4&lt;/number&gt;&lt;dates&gt;&lt;year&gt;2004&lt;/year&gt;&lt;/dates&gt;&lt;isbn&gt;0888-7543&lt;/isbn&gt;&lt;urls&gt;&lt;related-urls&gt;&lt;url&gt;http://www.sciencedirect.com/science/article/pii/S0888754303003070&lt;/url&gt;&lt;/related-urls&gt;&lt;/urls&gt;&lt;/record&gt;&lt;/Cite&gt;&lt;Cite&gt;&lt;Author&gt;Modi&lt;/Author&gt;&lt;Year&gt;2004&lt;/Year&gt;&lt;RecNum&gt;778&lt;/RecNum&gt;&lt;record&gt;&lt;rec-number&gt;778&lt;/rec-number&gt;&lt;foreign-keys&gt;&lt;key app="EN" db-id="ftx9v9s96fwx0mepf29pxspfarw950zxwzvv"&gt;778&lt;/key&gt;&lt;/foreign-keys&gt;&lt;ref-type name="Journal Article"&gt;17&lt;/ref-type&gt;&lt;contributors&gt;&lt;authors&gt;&lt;author&gt;Modi, William S.&lt;/author&gt;&lt;/authors&gt;&lt;/contributors&gt;&lt;titles&gt;&lt;title&gt;CCL3L1 and CCL4L1 chemokine genes are located in a segmental duplication at chromosome 17q12&lt;/title&gt;&lt;secondary-title&gt;Genomics&lt;/secondary-title&gt;&lt;/titles&gt;&lt;periodical&gt;&lt;full-title&gt;Genomics&lt;/full-title&gt;&lt;/periodical&gt;&lt;pages&gt;735-738&lt;/pages&gt;&lt;volume&gt;83&lt;/volume&gt;&lt;number&gt;4&lt;/number&gt;&lt;dates&gt;&lt;year&gt;2004&lt;/year&gt;&lt;/dates&gt;&lt;isbn&gt;0888-7543&lt;/isbn&gt;&lt;urls&gt;&lt;related-urls&gt;&lt;url&gt;http://www.sciencedirect.com/science/article/pii/S0888754303003070&lt;/url&gt;&lt;/related-urls&gt;&lt;/urls&gt;&lt;/record&gt;&lt;/Cite&gt;&lt;/EndNote&gt;</w:instrText>
      </w:r>
      <w:r w:rsidR="00F9134B" w:rsidRPr="00E02513">
        <w:rPr>
          <w:rFonts w:asciiTheme="minorHAnsi" w:hAnsiTheme="minorHAnsi" w:cstheme="minorHAnsi"/>
          <w:sz w:val="24"/>
          <w:szCs w:val="24"/>
        </w:rPr>
        <w:fldChar w:fldCharType="separate"/>
      </w:r>
      <w:r w:rsidR="00EA76D9" w:rsidRPr="00E02513">
        <w:rPr>
          <w:rFonts w:asciiTheme="minorHAnsi" w:hAnsiTheme="minorHAnsi" w:cstheme="minorHAnsi"/>
          <w:noProof/>
          <w:sz w:val="24"/>
          <w:szCs w:val="24"/>
        </w:rPr>
        <w:t>[</w:t>
      </w:r>
      <w:hyperlink w:anchor="_ENREF_1" w:tooltip="Modi, 2004 #778" w:history="1">
        <w:r w:rsidR="00EA76D9" w:rsidRPr="00E02513">
          <w:rPr>
            <w:rFonts w:asciiTheme="minorHAnsi" w:hAnsiTheme="minorHAnsi" w:cstheme="minorHAnsi"/>
            <w:noProof/>
            <w:sz w:val="24"/>
            <w:szCs w:val="24"/>
          </w:rPr>
          <w:t>1</w:t>
        </w:r>
      </w:hyperlink>
      <w:r w:rsidR="00EA76D9" w:rsidRPr="00E02513">
        <w:rPr>
          <w:rFonts w:asciiTheme="minorHAnsi" w:hAnsiTheme="minorHAnsi" w:cstheme="minorHAnsi"/>
          <w:noProof/>
          <w:sz w:val="24"/>
          <w:szCs w:val="24"/>
        </w:rPr>
        <w:t>]</w:t>
      </w:r>
      <w:r w:rsidR="00F9134B"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Each copy of the repeat unit is flanked by copies of an unrelated gene </w:t>
      </w:r>
      <w:r w:rsidRPr="00E02513">
        <w:rPr>
          <w:rFonts w:asciiTheme="minorHAnsi" w:hAnsiTheme="minorHAnsi" w:cstheme="minorHAnsi"/>
          <w:i/>
          <w:iCs/>
          <w:sz w:val="24"/>
          <w:szCs w:val="24"/>
        </w:rPr>
        <w:t>TBC1D3</w:t>
      </w:r>
      <w:r w:rsidRPr="00E02513">
        <w:rPr>
          <w:rFonts w:asciiTheme="minorHAnsi" w:hAnsiTheme="minorHAnsi" w:cstheme="minorHAnsi"/>
          <w:sz w:val="24"/>
          <w:szCs w:val="24"/>
        </w:rPr>
        <w:t>. The structure of the region according to the UCSC genome browser (2006 assembly)</w:t>
      </w:r>
      <w:r w:rsidR="00F9134B" w:rsidRPr="00E02513">
        <w:rPr>
          <w:rFonts w:asciiTheme="minorHAnsi" w:hAnsiTheme="minorHAnsi" w:cstheme="minorHAnsi"/>
          <w:sz w:val="24"/>
          <w:szCs w:val="24"/>
        </w:rPr>
        <w:fldChar w:fldCharType="begin"/>
      </w:r>
      <w:r w:rsidR="00EA76D9" w:rsidRPr="00E02513">
        <w:rPr>
          <w:rFonts w:asciiTheme="minorHAnsi" w:hAnsiTheme="minorHAnsi" w:cstheme="minorHAnsi"/>
          <w:sz w:val="24"/>
          <w:szCs w:val="24"/>
        </w:rPr>
        <w:instrText xml:space="preserve"> ADDIN EN.CITE &lt;EndNote&gt;&lt;Cite&gt;&lt;Author&gt;Kent&lt;/Author&gt;&lt;Year&gt;2002&lt;/Year&gt;&lt;RecNum&gt;29&lt;/RecNum&gt;&lt;DisplayText&gt;[2]&lt;/DisplayText&gt;&lt;record&gt;&lt;rec-number&gt;29&lt;/rec-number&gt;&lt;foreign-keys&gt;&lt;key app="EN" db-id="ftx9v9s96fwx0mepf29pxspfarw950zxwzvv"&gt;29&lt;/key&gt;&lt;/foreign-keys&gt;&lt;ref-type name="Journal Article"&gt;17&lt;/ref-type&gt;&lt;contributors&gt;&lt;authors&gt;&lt;author&gt;Kent, W.J.&lt;/author&gt;&lt;author&gt;Sugnet, C.W.&lt;/author&gt;&lt;author&gt;Furey, T.S.&lt;/author&gt;&lt;author&gt;Roskin, K.M.&lt;/author&gt;&lt;author&gt;Pringle, T.H.&lt;/author&gt;&lt;author&gt;Zahler, A.M.&lt;/author&gt;&lt;author&gt;Haussler, D.&lt;/author&gt;&lt;/authors&gt;&lt;/contributors&gt;&lt;titles&gt;&lt;title&gt;The human genome browser at UCSC&lt;/title&gt;&lt;secondary-title&gt;Genome Res.&lt;/secondary-title&gt;&lt;alt-title&gt;Genome Res&lt;/alt-title&gt;&lt;/titles&gt;&lt;periodical&gt;&lt;abbr-1&gt;Genome Res.&lt;/abbr-1&gt;&lt;/periodical&gt;&lt;alt-periodical&gt;&lt;full-title&gt;Genome Res&lt;/full-title&gt;&lt;abbr-1&gt;Genome Res&lt;/abbr-1&gt;&lt;/alt-periodical&gt;&lt;pages&gt;996 - 1006&lt;/pages&gt;&lt;volume&gt;12&lt;/volume&gt;&lt;dates&gt;&lt;year&gt;2002&lt;/year&gt;&lt;/dates&gt;&lt;urls&gt;&lt;/urls&gt;&lt;/record&gt;&lt;/Cite&gt;&lt;/EndNote&gt;</w:instrText>
      </w:r>
      <w:r w:rsidR="00F9134B" w:rsidRPr="00E02513">
        <w:rPr>
          <w:rFonts w:asciiTheme="minorHAnsi" w:hAnsiTheme="minorHAnsi" w:cstheme="minorHAnsi"/>
          <w:sz w:val="24"/>
          <w:szCs w:val="24"/>
        </w:rPr>
        <w:fldChar w:fldCharType="separate"/>
      </w:r>
      <w:r w:rsidR="00EA76D9" w:rsidRPr="00E02513">
        <w:rPr>
          <w:rFonts w:asciiTheme="minorHAnsi" w:hAnsiTheme="minorHAnsi" w:cstheme="minorHAnsi"/>
          <w:noProof/>
          <w:sz w:val="24"/>
          <w:szCs w:val="24"/>
        </w:rPr>
        <w:t>[</w:t>
      </w:r>
      <w:hyperlink w:anchor="_ENREF_2" w:tooltip="Kent, 2002 #29" w:history="1">
        <w:r w:rsidR="00EA76D9" w:rsidRPr="00E02513">
          <w:rPr>
            <w:rFonts w:asciiTheme="minorHAnsi" w:hAnsiTheme="minorHAnsi" w:cstheme="minorHAnsi"/>
            <w:noProof/>
            <w:sz w:val="24"/>
            <w:szCs w:val="24"/>
          </w:rPr>
          <w:t>2</w:t>
        </w:r>
      </w:hyperlink>
      <w:r w:rsidR="00EA76D9" w:rsidRPr="00E02513">
        <w:rPr>
          <w:rFonts w:asciiTheme="minorHAnsi" w:hAnsiTheme="minorHAnsi" w:cstheme="minorHAnsi"/>
          <w:noProof/>
          <w:sz w:val="24"/>
          <w:szCs w:val="24"/>
        </w:rPr>
        <w:t>]</w:t>
      </w:r>
      <w:r w:rsidR="00F9134B"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is shown in </w:t>
      </w:r>
      <w:r w:rsidR="00EA76D9" w:rsidRPr="00E02513">
        <w:rPr>
          <w:rFonts w:asciiTheme="minorHAnsi" w:hAnsiTheme="minorHAnsi" w:cstheme="minorHAnsi"/>
          <w:sz w:val="24"/>
          <w:szCs w:val="24"/>
        </w:rPr>
        <w:t>Supplementary figure</w:t>
      </w:r>
      <w:r w:rsidRPr="00E02513">
        <w:rPr>
          <w:rFonts w:asciiTheme="minorHAnsi" w:hAnsiTheme="minorHAnsi" w:cstheme="minorHAnsi"/>
          <w:sz w:val="24"/>
          <w:szCs w:val="24"/>
        </w:rPr>
        <w:t xml:space="preserve"> 1A. In Europeans, the copy number of this region commonly ranges from 0 to 4 </w:t>
      </w:r>
      <w:r w:rsidR="00F9134B" w:rsidRPr="00E02513">
        <w:rPr>
          <w:rFonts w:asciiTheme="minorHAnsi" w:hAnsiTheme="minorHAnsi" w:cstheme="minorHAnsi"/>
          <w:sz w:val="24"/>
          <w:szCs w:val="24"/>
        </w:rPr>
        <w:fldChar w:fldCharType="begin"/>
      </w:r>
      <w:r w:rsidR="00EA76D9" w:rsidRPr="00E02513">
        <w:rPr>
          <w:rFonts w:asciiTheme="minorHAnsi" w:hAnsiTheme="minorHAnsi" w:cstheme="minorHAnsi"/>
          <w:sz w:val="24"/>
          <w:szCs w:val="24"/>
        </w:rPr>
        <w:instrText xml:space="preserve"> ADDIN EN.CITE &lt;EndNote&gt;&lt;Cite&gt;&lt;Author&gt;Walker&lt;/Author&gt;&lt;Year&gt;2009&lt;/Year&gt;&lt;RecNum&gt;779&lt;/RecNum&gt;&lt;DisplayText&gt;[3]&lt;/DisplayText&gt;&lt;record&gt;&lt;rec-number&gt;779&lt;/rec-number&gt;&lt;foreign-keys&gt;&lt;key app="EN" db-id="ftx9v9s96fwx0mepf29pxspfarw950zxwzvv"&gt;779&lt;/key&gt;&lt;/foreign-keys&gt;&lt;ref-type name="Journal Article"&gt;17&lt;/ref-type&gt;&lt;contributors&gt;&lt;authors&gt;&lt;author&gt;Walker, Susan&lt;/author&gt;&lt;author&gt;Janyakhantikul, Somwang&lt;/author&gt;&lt;author&gt;Armour, John A. L.&lt;/author&gt;&lt;/authors&gt;&lt;/contributors&gt;&lt;titles&gt;&lt;title&gt;Multiplex Paralogue Ratio Tests for accurate measurement of multiallelic CNVs&lt;/title&gt;&lt;secondary-title&gt;Genomics&lt;/secondary-title&gt;&lt;/titles&gt;&lt;periodical&gt;&lt;full-title&gt;Genomics&lt;/full-title&gt;&lt;/periodical&gt;&lt;pages&gt;98-103&lt;/pages&gt;&lt;volume&gt;93&lt;/volume&gt;&lt;number&gt;1&lt;/number&gt;&lt;keywords&gt;&lt;keyword&gt;Copy number&lt;/keyword&gt;&lt;keyword&gt;Association study&lt;/keyword&gt;&lt;keyword&gt;CCL3L1&lt;/keyword&gt;&lt;/keywords&gt;&lt;dates&gt;&lt;year&gt;2009&lt;/year&gt;&lt;/dates&gt;&lt;isbn&gt;0888-7543&lt;/isbn&gt;&lt;urls&gt;&lt;related-urls&gt;&lt;url&gt;http://www.sciencedirect.com/science/article/pii/S0888754308002164&lt;/url&gt;&lt;/related-urls&gt;&lt;/urls&gt;&lt;/record&gt;&lt;/Cite&gt;&lt;/EndNote&gt;</w:instrText>
      </w:r>
      <w:r w:rsidR="00F9134B" w:rsidRPr="00E02513">
        <w:rPr>
          <w:rFonts w:asciiTheme="minorHAnsi" w:hAnsiTheme="minorHAnsi" w:cstheme="minorHAnsi"/>
          <w:sz w:val="24"/>
          <w:szCs w:val="24"/>
        </w:rPr>
        <w:fldChar w:fldCharType="separate"/>
      </w:r>
      <w:r w:rsidR="00EA76D9" w:rsidRPr="00E02513">
        <w:rPr>
          <w:rFonts w:asciiTheme="minorHAnsi" w:hAnsiTheme="minorHAnsi" w:cstheme="minorHAnsi"/>
          <w:noProof/>
          <w:sz w:val="24"/>
          <w:szCs w:val="24"/>
        </w:rPr>
        <w:t>[</w:t>
      </w:r>
      <w:hyperlink w:anchor="_ENREF_3" w:tooltip="Walker, 2009 #779" w:history="1">
        <w:r w:rsidR="00EA76D9" w:rsidRPr="00E02513">
          <w:rPr>
            <w:rFonts w:asciiTheme="minorHAnsi" w:hAnsiTheme="minorHAnsi" w:cstheme="minorHAnsi"/>
            <w:noProof/>
            <w:sz w:val="24"/>
            <w:szCs w:val="24"/>
          </w:rPr>
          <w:t>3</w:t>
        </w:r>
      </w:hyperlink>
      <w:r w:rsidR="00EA76D9" w:rsidRPr="00E02513">
        <w:rPr>
          <w:rFonts w:asciiTheme="minorHAnsi" w:hAnsiTheme="minorHAnsi" w:cstheme="minorHAnsi"/>
          <w:noProof/>
          <w:sz w:val="24"/>
          <w:szCs w:val="24"/>
        </w:rPr>
        <w:t>]</w:t>
      </w:r>
      <w:r w:rsidR="00F9134B"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Approximately 2% of the UK population have two null alleles of </w:t>
      </w:r>
      <w:r w:rsidRPr="00E02513">
        <w:rPr>
          <w:rFonts w:asciiTheme="minorHAnsi" w:hAnsiTheme="minorHAnsi" w:cstheme="minorHAnsi"/>
          <w:i/>
          <w:iCs/>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iCs/>
          <w:sz w:val="24"/>
          <w:szCs w:val="24"/>
        </w:rPr>
        <w:t>CCL4L1</w:t>
      </w:r>
      <w:r w:rsidRPr="00E02513">
        <w:rPr>
          <w:rFonts w:asciiTheme="minorHAnsi" w:hAnsiTheme="minorHAnsi" w:cstheme="minorHAnsi"/>
          <w:iCs/>
          <w:sz w:val="24"/>
          <w:szCs w:val="24"/>
        </w:rPr>
        <w:t xml:space="preserve"> and therefore lack </w:t>
      </w:r>
      <w:r w:rsidRPr="00E02513">
        <w:rPr>
          <w:rFonts w:asciiTheme="minorHAnsi" w:hAnsiTheme="minorHAnsi" w:cstheme="minorHAnsi"/>
          <w:i/>
          <w:iCs/>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iCs/>
          <w:sz w:val="24"/>
          <w:szCs w:val="24"/>
        </w:rPr>
        <w:t>CCL4L1</w:t>
      </w:r>
      <w:r w:rsidRPr="00E02513">
        <w:rPr>
          <w:rFonts w:asciiTheme="minorHAnsi" w:hAnsiTheme="minorHAnsi" w:cstheme="minorHAnsi"/>
          <w:iCs/>
          <w:sz w:val="24"/>
          <w:szCs w:val="24"/>
        </w:rPr>
        <w:t xml:space="preserve"> entirely</w:t>
      </w:r>
      <w:r w:rsidRPr="00E02513">
        <w:rPr>
          <w:rFonts w:asciiTheme="minorHAnsi" w:hAnsiTheme="minorHAnsi" w:cstheme="minorHAnsi"/>
          <w:sz w:val="24"/>
          <w:szCs w:val="24"/>
        </w:rPr>
        <w:t xml:space="preserve">. These are denoted as zero-copy samples and provide an important control for specificity of the primers. </w:t>
      </w:r>
    </w:p>
    <w:p w:rsidR="00F80A7F" w:rsidRPr="00E02513" w:rsidRDefault="00F80A7F" w:rsidP="00E02513">
      <w:pPr>
        <w:spacing w:after="0" w:line="480" w:lineRule="auto"/>
        <w:rPr>
          <w:rFonts w:asciiTheme="minorHAnsi" w:hAnsiTheme="minorHAnsi" w:cstheme="minorHAnsi"/>
          <w:i/>
          <w:sz w:val="24"/>
          <w:szCs w:val="24"/>
          <w:u w:val="single"/>
        </w:rPr>
      </w:pPr>
    </w:p>
    <w:p w:rsidR="00F80A7F" w:rsidRPr="00E02513" w:rsidRDefault="00F80A7F" w:rsidP="00E02513">
      <w:pPr>
        <w:spacing w:after="0" w:line="480" w:lineRule="auto"/>
        <w:rPr>
          <w:rFonts w:asciiTheme="minorHAnsi" w:hAnsiTheme="minorHAnsi" w:cstheme="minorHAnsi"/>
          <w:sz w:val="24"/>
          <w:szCs w:val="24"/>
          <w:u w:val="single"/>
        </w:rPr>
      </w:pPr>
      <w:r w:rsidRPr="00E02513">
        <w:rPr>
          <w:rFonts w:asciiTheme="minorHAnsi" w:hAnsiTheme="minorHAnsi" w:cstheme="minorHAnsi"/>
          <w:i/>
          <w:sz w:val="24"/>
          <w:szCs w:val="24"/>
          <w:u w:val="single"/>
        </w:rPr>
        <w:t>CCL3L1</w:t>
      </w:r>
      <w:r w:rsidRPr="00E02513">
        <w:rPr>
          <w:rFonts w:asciiTheme="minorHAnsi" w:hAnsiTheme="minorHAnsi" w:cstheme="minorHAnsi"/>
          <w:sz w:val="24"/>
          <w:szCs w:val="24"/>
          <w:u w:val="single"/>
        </w:rPr>
        <w:t>/</w:t>
      </w:r>
      <w:r w:rsidRPr="00E02513">
        <w:rPr>
          <w:rFonts w:asciiTheme="minorHAnsi" w:hAnsiTheme="minorHAnsi" w:cstheme="minorHAnsi"/>
          <w:i/>
          <w:sz w:val="24"/>
          <w:szCs w:val="24"/>
          <w:u w:val="single"/>
        </w:rPr>
        <w:t>CCL4L1</w:t>
      </w:r>
      <w:r w:rsidRPr="00E02513">
        <w:rPr>
          <w:rFonts w:asciiTheme="minorHAnsi" w:hAnsiTheme="minorHAnsi" w:cstheme="minorHAnsi"/>
          <w:sz w:val="24"/>
          <w:szCs w:val="24"/>
          <w:u w:val="single"/>
        </w:rPr>
        <w:t xml:space="preserve"> copy number and sequence analysis.</w:t>
      </w:r>
    </w:p>
    <w:p w:rsidR="00F80A7F" w:rsidRPr="00E02513" w:rsidRDefault="00F80A7F" w:rsidP="00E02513">
      <w:pPr>
        <w:spacing w:after="0" w:line="480" w:lineRule="auto"/>
        <w:ind w:firstLine="720"/>
        <w:rPr>
          <w:rFonts w:asciiTheme="minorHAnsi" w:hAnsiTheme="minorHAnsi" w:cstheme="minorHAnsi"/>
          <w:sz w:val="24"/>
          <w:szCs w:val="24"/>
        </w:rPr>
      </w:pPr>
      <w:r w:rsidRPr="00E02513">
        <w:rPr>
          <w:rFonts w:asciiTheme="minorHAnsi" w:hAnsiTheme="minorHAnsi" w:cstheme="minorHAnsi"/>
          <w:sz w:val="24"/>
          <w:szCs w:val="24"/>
        </w:rPr>
        <w:t xml:space="preserve">Prior to this work, HapMap CEU samples had been extensively studied from a copy number and sequence point of view. The copy number of this locus was measured by Paralogue ratio test (PRT) </w:t>
      </w:r>
      <w:r w:rsidR="00F9134B" w:rsidRPr="00E02513">
        <w:rPr>
          <w:rFonts w:asciiTheme="minorHAnsi" w:hAnsiTheme="minorHAnsi" w:cstheme="minorHAnsi"/>
          <w:sz w:val="24"/>
          <w:szCs w:val="24"/>
        </w:rPr>
        <w:fldChar w:fldCharType="begin"/>
      </w:r>
      <w:r w:rsidR="00EA76D9" w:rsidRPr="00E02513">
        <w:rPr>
          <w:rFonts w:asciiTheme="minorHAnsi" w:hAnsiTheme="minorHAnsi" w:cstheme="minorHAnsi"/>
          <w:sz w:val="24"/>
          <w:szCs w:val="24"/>
        </w:rPr>
        <w:instrText xml:space="preserve"> ADDIN EN.CITE &lt;EndNote&gt;&lt;Cite&gt;&lt;Author&gt;Walker&lt;/Author&gt;&lt;Year&gt;2009&lt;/Year&gt;&lt;RecNum&gt;779&lt;/RecNum&gt;&lt;DisplayText&gt;[3]&lt;/DisplayText&gt;&lt;record&gt;&lt;rec-number&gt;779&lt;/rec-number&gt;&lt;foreign-keys&gt;&lt;key app="EN" db-id="ftx9v9s96fwx0mepf29pxspfarw950zxwzvv"&gt;779&lt;/key&gt;&lt;/foreign-keys&gt;&lt;ref-type name="Journal Article"&gt;17&lt;/ref-type&gt;&lt;contributors&gt;&lt;authors&gt;&lt;author&gt;Walker, Susan&lt;/author&gt;&lt;author&gt;Janyakhantikul, Somwang&lt;/author&gt;&lt;author&gt;Armour, John A. L.&lt;/author&gt;&lt;/authors&gt;&lt;/contributors&gt;&lt;titles&gt;&lt;title&gt;Multiplex Paralogue Ratio Tests for accurate measurement of multiallelic CNVs&lt;/title&gt;&lt;secondary-title&gt;Genomics&lt;/secondary-title&gt;&lt;/titles&gt;&lt;periodical&gt;&lt;full-title&gt;Genomics&lt;/full-title&gt;&lt;/periodical&gt;&lt;pages&gt;98-103&lt;/pages&gt;&lt;volume&gt;93&lt;/volume&gt;&lt;number&gt;1&lt;/number&gt;&lt;keywords&gt;&lt;keyword&gt;Copy number&lt;/keyword&gt;&lt;keyword&gt;Association study&lt;/keyword&gt;&lt;keyword&gt;CCL3L1&lt;/keyword&gt;&lt;/keywords&gt;&lt;dates&gt;&lt;year&gt;2009&lt;/year&gt;&lt;/dates&gt;&lt;isbn&gt;0888-7543&lt;/isbn&gt;&lt;urls&gt;&lt;related-urls&gt;&lt;url&gt;http://www.sciencedirect.com/science/article/pii/S0888754308002164&lt;/url&gt;&lt;/related-urls&gt;&lt;/urls&gt;&lt;/record&gt;&lt;/Cite&gt;&lt;/EndNote&gt;</w:instrText>
      </w:r>
      <w:r w:rsidR="00F9134B" w:rsidRPr="00E02513">
        <w:rPr>
          <w:rFonts w:asciiTheme="minorHAnsi" w:hAnsiTheme="minorHAnsi" w:cstheme="minorHAnsi"/>
          <w:sz w:val="24"/>
          <w:szCs w:val="24"/>
        </w:rPr>
        <w:fldChar w:fldCharType="separate"/>
      </w:r>
      <w:r w:rsidR="00EA76D9" w:rsidRPr="00E02513">
        <w:rPr>
          <w:rFonts w:asciiTheme="minorHAnsi" w:hAnsiTheme="minorHAnsi" w:cstheme="minorHAnsi"/>
          <w:noProof/>
          <w:sz w:val="24"/>
          <w:szCs w:val="24"/>
        </w:rPr>
        <w:t>[</w:t>
      </w:r>
      <w:hyperlink w:anchor="_ENREF_3" w:tooltip="Walker, 2009 #779" w:history="1">
        <w:r w:rsidR="00EA76D9" w:rsidRPr="00E02513">
          <w:rPr>
            <w:rFonts w:asciiTheme="minorHAnsi" w:hAnsiTheme="minorHAnsi" w:cstheme="minorHAnsi"/>
            <w:noProof/>
            <w:sz w:val="24"/>
            <w:szCs w:val="24"/>
          </w:rPr>
          <w:t>3</w:t>
        </w:r>
      </w:hyperlink>
      <w:r w:rsidR="00EA76D9" w:rsidRPr="00E02513">
        <w:rPr>
          <w:rFonts w:asciiTheme="minorHAnsi" w:hAnsiTheme="minorHAnsi" w:cstheme="minorHAnsi"/>
          <w:noProof/>
          <w:sz w:val="24"/>
          <w:szCs w:val="24"/>
        </w:rPr>
        <w:t>]</w:t>
      </w:r>
      <w:r w:rsidR="00F9134B"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In addition, </w:t>
      </w:r>
      <w:r w:rsidRPr="00E02513">
        <w:rPr>
          <w:rFonts w:asciiTheme="minorHAnsi" w:hAnsiTheme="minorHAnsi" w:cstheme="minorHAnsi"/>
          <w:i/>
          <w:iCs/>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iCs/>
          <w:sz w:val="24"/>
          <w:szCs w:val="24"/>
        </w:rPr>
        <w:t xml:space="preserve">CCL4L1 </w:t>
      </w:r>
      <w:r w:rsidRPr="00E02513">
        <w:rPr>
          <w:rFonts w:asciiTheme="minorHAnsi" w:hAnsiTheme="minorHAnsi" w:cstheme="minorHAnsi"/>
          <w:iCs/>
          <w:sz w:val="24"/>
          <w:szCs w:val="24"/>
        </w:rPr>
        <w:t xml:space="preserve">were individually amplified and sequenced with single nucleotide variants identified and validated (JALA and Somwang Janyakhantikul, unpublished data). Individuals that possessed 1 or 2 copies of </w:t>
      </w:r>
      <w:r w:rsidRPr="00E02513">
        <w:rPr>
          <w:rFonts w:asciiTheme="minorHAnsi" w:hAnsiTheme="minorHAnsi" w:cstheme="minorHAnsi"/>
          <w:i/>
          <w:iCs/>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iCs/>
          <w:sz w:val="24"/>
          <w:szCs w:val="24"/>
        </w:rPr>
        <w:lastRenderedPageBreak/>
        <w:t>CCL4L1</w:t>
      </w:r>
      <w:r w:rsidRPr="00E02513">
        <w:rPr>
          <w:rFonts w:asciiTheme="minorHAnsi" w:hAnsiTheme="minorHAnsi" w:cstheme="minorHAnsi"/>
          <w:iCs/>
          <w:sz w:val="24"/>
          <w:szCs w:val="24"/>
        </w:rPr>
        <w:t>, in which the individual gene haplotype was unambiguously established, were identified</w:t>
      </w:r>
      <w:r w:rsidRPr="00E02513">
        <w:rPr>
          <w:rFonts w:asciiTheme="minorHAnsi" w:hAnsiTheme="minorHAnsi" w:cstheme="minorHAnsi"/>
          <w:sz w:val="24"/>
          <w:szCs w:val="24"/>
        </w:rPr>
        <w:t>.</w:t>
      </w:r>
    </w:p>
    <w:p w:rsidR="00F80A7F" w:rsidRPr="00E02513" w:rsidRDefault="00F80A7F" w:rsidP="00E02513">
      <w:pPr>
        <w:spacing w:after="0" w:line="480" w:lineRule="auto"/>
        <w:ind w:firstLine="720"/>
        <w:rPr>
          <w:rFonts w:asciiTheme="minorHAnsi" w:hAnsiTheme="minorHAnsi" w:cstheme="minorHAnsi"/>
          <w:sz w:val="24"/>
          <w:szCs w:val="24"/>
        </w:rPr>
      </w:pPr>
    </w:p>
    <w:p w:rsidR="00F80A7F" w:rsidRPr="00E02513" w:rsidRDefault="00F80A7F" w:rsidP="00E02513">
      <w:pPr>
        <w:spacing w:after="0" w:line="480" w:lineRule="auto"/>
        <w:rPr>
          <w:rFonts w:asciiTheme="minorHAnsi" w:hAnsiTheme="minorHAnsi" w:cstheme="minorHAnsi"/>
          <w:sz w:val="24"/>
          <w:szCs w:val="24"/>
          <w:u w:val="single"/>
        </w:rPr>
      </w:pPr>
      <w:proofErr w:type="gramStart"/>
      <w:r w:rsidRPr="00E02513">
        <w:rPr>
          <w:rFonts w:asciiTheme="minorHAnsi" w:hAnsiTheme="minorHAnsi" w:cstheme="minorHAnsi"/>
          <w:iCs/>
          <w:sz w:val="24"/>
          <w:szCs w:val="24"/>
          <w:u w:val="single"/>
        </w:rPr>
        <w:t>Segregation analysis and allele-specific sequencing.</w:t>
      </w:r>
      <w:proofErr w:type="gramEnd"/>
    </w:p>
    <w:p w:rsidR="00F80A7F" w:rsidRPr="00E02513" w:rsidRDefault="00F80A7F" w:rsidP="00E02513">
      <w:pPr>
        <w:spacing w:after="0" w:line="480" w:lineRule="auto"/>
        <w:ind w:firstLine="720"/>
        <w:rPr>
          <w:rFonts w:asciiTheme="minorHAnsi" w:hAnsiTheme="minorHAnsi" w:cstheme="minorHAnsi"/>
          <w:sz w:val="24"/>
          <w:szCs w:val="24"/>
        </w:rPr>
      </w:pPr>
      <w:r w:rsidRPr="00E02513">
        <w:rPr>
          <w:rFonts w:asciiTheme="minorHAnsi" w:hAnsiTheme="minorHAnsi" w:cstheme="minorHAnsi"/>
          <w:iCs/>
          <w:sz w:val="24"/>
          <w:szCs w:val="24"/>
        </w:rPr>
        <w:t xml:space="preserve">HapMap CEU trio from family 1254, which comprises father (NA12812), child (NA12801) and mother (NA12813) whose diploid copy numbers (CN) for </w:t>
      </w:r>
      <w:r w:rsidRPr="00E02513">
        <w:rPr>
          <w:rFonts w:asciiTheme="minorHAnsi" w:hAnsiTheme="minorHAnsi" w:cstheme="minorHAnsi"/>
          <w:i/>
          <w:iCs/>
          <w:sz w:val="24"/>
          <w:szCs w:val="24"/>
        </w:rPr>
        <w:t>CCL3L1</w:t>
      </w:r>
      <w:r w:rsidRPr="00E02513">
        <w:rPr>
          <w:rFonts w:asciiTheme="minorHAnsi" w:hAnsiTheme="minorHAnsi" w:cstheme="minorHAnsi"/>
          <w:iCs/>
          <w:sz w:val="24"/>
          <w:szCs w:val="24"/>
        </w:rPr>
        <w:t>/</w:t>
      </w:r>
      <w:r w:rsidRPr="00E02513">
        <w:rPr>
          <w:rFonts w:asciiTheme="minorHAnsi" w:hAnsiTheme="minorHAnsi" w:cstheme="minorHAnsi"/>
          <w:i/>
          <w:iCs/>
          <w:sz w:val="24"/>
          <w:szCs w:val="24"/>
        </w:rPr>
        <w:t>CCL4L1</w:t>
      </w:r>
      <w:r w:rsidRPr="00E02513">
        <w:rPr>
          <w:rFonts w:asciiTheme="minorHAnsi" w:hAnsiTheme="minorHAnsi" w:cstheme="minorHAnsi"/>
          <w:iCs/>
          <w:sz w:val="24"/>
          <w:szCs w:val="24"/>
        </w:rPr>
        <w:t xml:space="preserve"> are 2, 1 and 1 respectively were chosen to study further.</w:t>
      </w:r>
      <w:r w:rsidRPr="00E02513">
        <w:rPr>
          <w:rFonts w:asciiTheme="minorHAnsi" w:hAnsiTheme="minorHAnsi" w:cstheme="minorHAnsi"/>
          <w:i/>
          <w:iCs/>
          <w:sz w:val="24"/>
          <w:szCs w:val="24"/>
        </w:rPr>
        <w:t xml:space="preserve"> CCL3L1/CCL4L1 </w:t>
      </w:r>
      <w:r w:rsidRPr="00E02513">
        <w:rPr>
          <w:rFonts w:asciiTheme="minorHAnsi" w:hAnsiTheme="minorHAnsi" w:cstheme="minorHAnsi"/>
          <w:iCs/>
          <w:sz w:val="24"/>
          <w:szCs w:val="24"/>
        </w:rPr>
        <w:t xml:space="preserve">copy number inheritance transmission patterns were inferred by segregation of microsatellites within the copy variable region in conjunction with genetic data from the CEPH linkage database (http://www.cephb.fr/en/cephdb/). This allowed the determination of the </w:t>
      </w:r>
      <w:r w:rsidRPr="00E02513">
        <w:rPr>
          <w:rFonts w:asciiTheme="minorHAnsi" w:hAnsiTheme="minorHAnsi" w:cstheme="minorHAnsi"/>
          <w:i/>
          <w:iCs/>
          <w:sz w:val="24"/>
          <w:szCs w:val="24"/>
        </w:rPr>
        <w:t xml:space="preserve">CCL3L1/CCL4L1 </w:t>
      </w:r>
      <w:r w:rsidRPr="00E02513">
        <w:rPr>
          <w:rFonts w:asciiTheme="minorHAnsi" w:hAnsiTheme="minorHAnsi" w:cstheme="minorHAnsi"/>
          <w:iCs/>
          <w:sz w:val="24"/>
          <w:szCs w:val="24"/>
        </w:rPr>
        <w:t xml:space="preserve">copy number per chromosome. By means of segregation analysis and allele-specific sequencing, sequence variants could be assigned to haplotypes within </w:t>
      </w:r>
      <w:r w:rsidRPr="00E02513">
        <w:rPr>
          <w:rFonts w:asciiTheme="minorHAnsi" w:hAnsiTheme="minorHAnsi" w:cstheme="minorHAnsi"/>
          <w:i/>
          <w:iCs/>
          <w:sz w:val="24"/>
          <w:szCs w:val="24"/>
        </w:rPr>
        <w:t>CCL3L1</w:t>
      </w:r>
      <w:r w:rsidRPr="00E02513">
        <w:rPr>
          <w:rFonts w:asciiTheme="minorHAnsi" w:hAnsiTheme="minorHAnsi" w:cstheme="minorHAnsi"/>
          <w:iCs/>
          <w:sz w:val="24"/>
          <w:szCs w:val="24"/>
        </w:rPr>
        <w:t xml:space="preserve"> and separately within </w:t>
      </w:r>
      <w:r w:rsidRPr="00E02513">
        <w:rPr>
          <w:rFonts w:asciiTheme="minorHAnsi" w:hAnsiTheme="minorHAnsi" w:cstheme="minorHAnsi"/>
          <w:i/>
          <w:iCs/>
          <w:sz w:val="24"/>
          <w:szCs w:val="24"/>
        </w:rPr>
        <w:t>CCL4L1</w:t>
      </w:r>
      <w:r w:rsidRPr="00E02513">
        <w:rPr>
          <w:rFonts w:asciiTheme="minorHAnsi" w:hAnsiTheme="minorHAnsi" w:cstheme="minorHAnsi"/>
          <w:iCs/>
          <w:sz w:val="24"/>
          <w:szCs w:val="24"/>
        </w:rPr>
        <w:t xml:space="preserve">. In this HapMap trio, segregation analysis could also determine the combination of the </w:t>
      </w:r>
      <w:r w:rsidRPr="00E02513">
        <w:rPr>
          <w:rFonts w:asciiTheme="minorHAnsi" w:hAnsiTheme="minorHAnsi" w:cstheme="minorHAnsi"/>
          <w:i/>
          <w:iCs/>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iCs/>
          <w:sz w:val="24"/>
          <w:szCs w:val="24"/>
        </w:rPr>
        <w:t>CCL4L1</w:t>
      </w:r>
      <w:r w:rsidRPr="00E02513">
        <w:rPr>
          <w:rFonts w:asciiTheme="minorHAnsi" w:hAnsiTheme="minorHAnsi" w:cstheme="minorHAnsi"/>
          <w:iCs/>
          <w:sz w:val="24"/>
          <w:szCs w:val="24"/>
        </w:rPr>
        <w:t xml:space="preserve"> haplotypes into a complete haplotype for the two genes within the same repeat unit. Both child (NA12801) and mother (NA12813) have a diploid CN of 1, and therefore both possess a chromosome with a single repeat allele (1-copy chromosome) and chromosome lacking the </w:t>
      </w:r>
      <w:r w:rsidRPr="00E02513">
        <w:rPr>
          <w:rFonts w:asciiTheme="minorHAnsi" w:hAnsiTheme="minorHAnsi" w:cstheme="minorHAnsi"/>
          <w:i/>
          <w:iCs/>
          <w:sz w:val="24"/>
          <w:szCs w:val="24"/>
        </w:rPr>
        <w:t>CCL3L1</w:t>
      </w:r>
      <w:r w:rsidRPr="00E02513">
        <w:rPr>
          <w:rFonts w:asciiTheme="minorHAnsi" w:hAnsiTheme="minorHAnsi" w:cstheme="minorHAnsi"/>
          <w:iCs/>
          <w:sz w:val="24"/>
          <w:szCs w:val="24"/>
        </w:rPr>
        <w:t>/</w:t>
      </w:r>
      <w:r w:rsidRPr="00E02513">
        <w:rPr>
          <w:rFonts w:asciiTheme="minorHAnsi" w:hAnsiTheme="minorHAnsi" w:cstheme="minorHAnsi"/>
          <w:i/>
          <w:iCs/>
          <w:sz w:val="24"/>
          <w:szCs w:val="24"/>
        </w:rPr>
        <w:t>CCL4L1</w:t>
      </w:r>
      <w:r w:rsidRPr="00E02513">
        <w:rPr>
          <w:rFonts w:asciiTheme="minorHAnsi" w:hAnsiTheme="minorHAnsi" w:cstheme="minorHAnsi"/>
          <w:iCs/>
          <w:sz w:val="24"/>
          <w:szCs w:val="24"/>
        </w:rPr>
        <w:t xml:space="preserve"> repeat unit i.e. a zero-copy chromosome or null allele.</w:t>
      </w:r>
      <w:r w:rsidRPr="00E02513">
        <w:rPr>
          <w:rFonts w:asciiTheme="minorHAnsi" w:hAnsiTheme="minorHAnsi" w:cstheme="minorHAnsi"/>
          <w:sz w:val="24"/>
          <w:szCs w:val="24"/>
        </w:rPr>
        <w:t xml:space="preserve"> Segregation analysis demonstrated the transmission of the zero-copy chromosome from mother to child, implying that the 1-copy haplotype possessed by the child has been transmitted from the father. This provides evidence for the father having 1 copy of the repeat unit per chromosome, as opposed to possessing a zero-copy chromosome and a 2-copy chromosome. Sequencing in the child allows the identification of which one-copy haplotype is transmitted from the father, and hence the haplotype content of the second untransmitted paternal copy can be deduced. Therefore through sequencing </w:t>
      </w:r>
      <w:r w:rsidRPr="00E02513">
        <w:rPr>
          <w:rFonts w:asciiTheme="minorHAnsi" w:hAnsiTheme="minorHAnsi" w:cstheme="minorHAnsi"/>
          <w:sz w:val="24"/>
          <w:szCs w:val="24"/>
        </w:rPr>
        <w:lastRenderedPageBreak/>
        <w:t xml:space="preserve">in all three individuals, the haplotype of sequence variants within </w:t>
      </w:r>
      <w:r w:rsidRPr="00E02513">
        <w:rPr>
          <w:rFonts w:asciiTheme="minorHAnsi" w:hAnsiTheme="minorHAnsi" w:cstheme="minorHAnsi"/>
          <w:i/>
          <w:sz w:val="24"/>
          <w:szCs w:val="24"/>
        </w:rPr>
        <w:t xml:space="preserve">CCL3L1 </w:t>
      </w:r>
      <w:r w:rsidRPr="00E02513">
        <w:rPr>
          <w:rFonts w:asciiTheme="minorHAnsi" w:hAnsiTheme="minorHAnsi" w:cstheme="minorHAnsi"/>
          <w:sz w:val="24"/>
          <w:szCs w:val="24"/>
        </w:rPr>
        <w:t xml:space="preserve">and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for each copy is known. Given this knowledge, these samples provided a vital resource to test the accuracy of the emulsion haplotype fusion PCR approach outlined below in linking sequence and maintaining phase. </w:t>
      </w:r>
    </w:p>
    <w:p w:rsidR="00F80A7F" w:rsidRPr="00E02513" w:rsidRDefault="00F80A7F" w:rsidP="00E02513">
      <w:pPr>
        <w:spacing w:after="0" w:line="480" w:lineRule="auto"/>
        <w:ind w:firstLine="720"/>
        <w:rPr>
          <w:rFonts w:asciiTheme="minorHAnsi" w:hAnsiTheme="minorHAnsi" w:cstheme="minorHAnsi"/>
          <w:sz w:val="24"/>
          <w:szCs w:val="24"/>
        </w:rPr>
      </w:pPr>
    </w:p>
    <w:p w:rsidR="00F80A7F" w:rsidRPr="00E02513" w:rsidRDefault="00F80A7F" w:rsidP="00E02513">
      <w:pPr>
        <w:spacing w:after="0" w:line="480" w:lineRule="auto"/>
        <w:rPr>
          <w:rFonts w:asciiTheme="minorHAnsi" w:hAnsiTheme="minorHAnsi" w:cstheme="minorHAnsi"/>
          <w:sz w:val="24"/>
          <w:szCs w:val="24"/>
          <w:u w:val="single"/>
        </w:rPr>
      </w:pPr>
      <w:r w:rsidRPr="00E02513">
        <w:rPr>
          <w:rFonts w:asciiTheme="minorHAnsi" w:hAnsiTheme="minorHAnsi" w:cstheme="minorHAnsi"/>
          <w:sz w:val="24"/>
          <w:szCs w:val="24"/>
          <w:u w:val="single"/>
        </w:rPr>
        <w:t>Primer design</w:t>
      </w:r>
    </w:p>
    <w:p w:rsidR="00F80A7F" w:rsidRPr="00E02513" w:rsidRDefault="00F80A7F" w:rsidP="00E02513">
      <w:pPr>
        <w:spacing w:after="0" w:line="480" w:lineRule="auto"/>
        <w:ind w:firstLine="720"/>
        <w:rPr>
          <w:rFonts w:asciiTheme="minorHAnsi" w:hAnsiTheme="minorHAnsi" w:cstheme="minorHAnsi"/>
          <w:sz w:val="24"/>
          <w:szCs w:val="24"/>
        </w:rPr>
      </w:pPr>
      <w:r w:rsidRPr="00E02513">
        <w:rPr>
          <w:rFonts w:asciiTheme="minorHAnsi" w:hAnsiTheme="minorHAnsi" w:cstheme="minorHAnsi"/>
          <w:sz w:val="24"/>
          <w:szCs w:val="24"/>
        </w:rPr>
        <w:t xml:space="preserve">Primers were designed to amplify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and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but discriminate against their respective paralogues (</w:t>
      </w:r>
      <w:r w:rsidRPr="00E02513">
        <w:rPr>
          <w:rFonts w:asciiTheme="minorHAnsi" w:hAnsiTheme="minorHAnsi" w:cstheme="minorHAnsi"/>
          <w:i/>
          <w:sz w:val="24"/>
          <w:szCs w:val="24"/>
        </w:rPr>
        <w:t>CCL3</w:t>
      </w:r>
      <w:r w:rsidRPr="00E02513">
        <w:rPr>
          <w:rFonts w:asciiTheme="minorHAnsi" w:hAnsiTheme="minorHAnsi" w:cstheme="minorHAnsi"/>
          <w:sz w:val="24"/>
          <w:szCs w:val="24"/>
        </w:rPr>
        <w:t>/</w:t>
      </w:r>
      <w:r w:rsidRPr="00E02513">
        <w:rPr>
          <w:rFonts w:asciiTheme="minorHAnsi" w:hAnsiTheme="minorHAnsi" w:cstheme="minorHAnsi"/>
          <w:i/>
          <w:sz w:val="24"/>
          <w:szCs w:val="24"/>
        </w:rPr>
        <w:t>CCL4</w:t>
      </w:r>
      <w:r w:rsidRPr="00E02513">
        <w:rPr>
          <w:rFonts w:asciiTheme="minorHAnsi" w:hAnsiTheme="minorHAnsi" w:cstheme="minorHAnsi"/>
          <w:sz w:val="24"/>
          <w:szCs w:val="24"/>
        </w:rPr>
        <w:t xml:space="preserve">). A further complication arises from the presence of a 5’ truncated pseudogene of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in some copy variable repeat units </w:t>
      </w:r>
      <w:r w:rsidR="00F9134B" w:rsidRPr="00E02513">
        <w:rPr>
          <w:rFonts w:asciiTheme="minorHAnsi" w:hAnsiTheme="minorHAnsi" w:cstheme="minorHAnsi"/>
          <w:sz w:val="24"/>
          <w:szCs w:val="24"/>
        </w:rPr>
        <w:fldChar w:fldCharType="begin"/>
      </w:r>
      <w:r w:rsidR="00EA76D9" w:rsidRPr="00E02513">
        <w:rPr>
          <w:rFonts w:asciiTheme="minorHAnsi" w:hAnsiTheme="minorHAnsi" w:cstheme="minorHAnsi"/>
          <w:sz w:val="24"/>
          <w:szCs w:val="24"/>
        </w:rPr>
        <w:instrText xml:space="preserve"> ADDIN EN.CITE &lt;EndNote&gt;&lt;Cite&gt;&lt;Author&gt;Modi&lt;/Author&gt;&lt;Year&gt;2004&lt;/Year&gt;&lt;RecNum&gt;778&lt;/RecNum&gt;&lt;DisplayText&gt;[1]&lt;/DisplayText&gt;&lt;record&gt;&lt;rec-number&gt;778&lt;/rec-number&gt;&lt;foreign-keys&gt;&lt;key app="EN" db-id="ftx9v9s96fwx0mepf29pxspfarw950zxwzvv"&gt;778&lt;/key&gt;&lt;/foreign-keys&gt;&lt;ref-type name="Journal Article"&gt;17&lt;/ref-type&gt;&lt;contributors&gt;&lt;authors&gt;&lt;author&gt;Modi, William S.&lt;/author&gt;&lt;/authors&gt;&lt;/contributors&gt;&lt;titles&gt;&lt;title&gt;CCL3L1 and CCL4L1 chemokine genes are located in a segmental duplication at chromosome 17q12&lt;/title&gt;&lt;secondary-title&gt;Genomics&lt;/secondary-title&gt;&lt;/titles&gt;&lt;periodical&gt;&lt;full-title&gt;Genomics&lt;/full-title&gt;&lt;/periodical&gt;&lt;pages&gt;735-738&lt;/pages&gt;&lt;volume&gt;83&lt;/volume&gt;&lt;number&gt;4&lt;/number&gt;&lt;dates&gt;&lt;year&gt;2004&lt;/year&gt;&lt;/dates&gt;&lt;isbn&gt;0888-7543&lt;/isbn&gt;&lt;urls&gt;&lt;related-urls&gt;&lt;url&gt;http://www.sciencedirect.com/science/article/pii/S0888754303003070&lt;/url&gt;&lt;/related-urls&gt;&lt;/urls&gt;&lt;/record&gt;&lt;/Cite&gt;&lt;/EndNote&gt;</w:instrText>
      </w:r>
      <w:r w:rsidR="00F9134B" w:rsidRPr="00E02513">
        <w:rPr>
          <w:rFonts w:asciiTheme="minorHAnsi" w:hAnsiTheme="minorHAnsi" w:cstheme="minorHAnsi"/>
          <w:sz w:val="24"/>
          <w:szCs w:val="24"/>
        </w:rPr>
        <w:fldChar w:fldCharType="separate"/>
      </w:r>
      <w:r w:rsidR="00EA76D9" w:rsidRPr="00E02513">
        <w:rPr>
          <w:rFonts w:asciiTheme="minorHAnsi" w:hAnsiTheme="minorHAnsi" w:cstheme="minorHAnsi"/>
          <w:noProof/>
          <w:sz w:val="24"/>
          <w:szCs w:val="24"/>
        </w:rPr>
        <w:t>[</w:t>
      </w:r>
      <w:hyperlink w:anchor="_ENREF_1" w:tooltip="Modi, 2004 #778" w:history="1">
        <w:r w:rsidR="00EA76D9" w:rsidRPr="00E02513">
          <w:rPr>
            <w:rFonts w:asciiTheme="minorHAnsi" w:hAnsiTheme="minorHAnsi" w:cstheme="minorHAnsi"/>
            <w:noProof/>
            <w:sz w:val="24"/>
            <w:szCs w:val="24"/>
          </w:rPr>
          <w:t>1</w:t>
        </w:r>
      </w:hyperlink>
      <w:r w:rsidR="00EA76D9" w:rsidRPr="00E02513">
        <w:rPr>
          <w:rFonts w:asciiTheme="minorHAnsi" w:hAnsiTheme="minorHAnsi" w:cstheme="minorHAnsi"/>
          <w:noProof/>
          <w:sz w:val="24"/>
          <w:szCs w:val="24"/>
        </w:rPr>
        <w:t>]</w:t>
      </w:r>
      <w:r w:rsidR="00F9134B"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Since sequences common to full length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and the pseudogene cannot be distinguished, primers were designed so that at least one primer, either F1 or R1, was positioned in sequence not shared between full length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and the truncated version. A zero-copy sample was included in all PCR experiments as a control for primer specificity to demonstrate specific amplification from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and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and not their respective paralogues, </w:t>
      </w:r>
      <w:r w:rsidRPr="00E02513">
        <w:rPr>
          <w:rFonts w:asciiTheme="minorHAnsi" w:hAnsiTheme="minorHAnsi" w:cstheme="minorHAnsi"/>
          <w:i/>
          <w:sz w:val="24"/>
          <w:szCs w:val="24"/>
        </w:rPr>
        <w:t>CCL3</w:t>
      </w:r>
      <w:r w:rsidRPr="00E02513">
        <w:rPr>
          <w:rFonts w:asciiTheme="minorHAnsi" w:hAnsiTheme="minorHAnsi" w:cstheme="minorHAnsi"/>
          <w:sz w:val="24"/>
          <w:szCs w:val="24"/>
        </w:rPr>
        <w:t xml:space="preserve"> and </w:t>
      </w:r>
      <w:r w:rsidRPr="00E02513">
        <w:rPr>
          <w:rFonts w:asciiTheme="minorHAnsi" w:hAnsiTheme="minorHAnsi" w:cstheme="minorHAnsi"/>
          <w:i/>
          <w:sz w:val="24"/>
          <w:szCs w:val="24"/>
        </w:rPr>
        <w:t>CCL4</w:t>
      </w:r>
      <w:r w:rsidRPr="00E02513">
        <w:rPr>
          <w:rFonts w:asciiTheme="minorHAnsi" w:hAnsiTheme="minorHAnsi" w:cstheme="minorHAnsi"/>
          <w:sz w:val="24"/>
          <w:szCs w:val="24"/>
        </w:rPr>
        <w:t>.</w:t>
      </w:r>
      <w:r w:rsidR="002165A9" w:rsidRPr="00E02513">
        <w:rPr>
          <w:rFonts w:asciiTheme="minorHAnsi" w:hAnsiTheme="minorHAnsi" w:cstheme="minorHAnsi"/>
          <w:sz w:val="24"/>
          <w:szCs w:val="24"/>
        </w:rPr>
        <w:t>All primers are shown in supplementary table 2.</w:t>
      </w:r>
      <w:r w:rsidRPr="00E02513">
        <w:rPr>
          <w:rFonts w:asciiTheme="minorHAnsi" w:hAnsiTheme="minorHAnsi" w:cstheme="minorHAnsi"/>
          <w:sz w:val="24"/>
          <w:szCs w:val="24"/>
        </w:rPr>
        <w:t xml:space="preserve"> </w:t>
      </w:r>
    </w:p>
    <w:p w:rsidR="00785651" w:rsidRDefault="00785651" w:rsidP="00B80831">
      <w:pPr>
        <w:spacing w:after="0" w:line="480" w:lineRule="auto"/>
        <w:rPr>
          <w:rFonts w:asciiTheme="minorHAnsi" w:hAnsiTheme="minorHAnsi" w:cstheme="minorHAnsi"/>
          <w:sz w:val="24"/>
          <w:szCs w:val="24"/>
        </w:rPr>
      </w:pPr>
    </w:p>
    <w:p w:rsidR="00EA76D9" w:rsidRPr="00785651" w:rsidRDefault="00B80831" w:rsidP="00B80831">
      <w:pPr>
        <w:spacing w:after="0" w:line="480" w:lineRule="auto"/>
        <w:rPr>
          <w:rFonts w:asciiTheme="minorHAnsi" w:hAnsiTheme="minorHAnsi" w:cstheme="minorHAnsi"/>
          <w:sz w:val="24"/>
          <w:szCs w:val="24"/>
          <w:highlight w:val="yellow"/>
          <w:u w:val="single"/>
        </w:rPr>
      </w:pPr>
      <w:r w:rsidRPr="00785651">
        <w:rPr>
          <w:rFonts w:asciiTheme="minorHAnsi" w:hAnsiTheme="minorHAnsi" w:cstheme="minorHAnsi"/>
          <w:sz w:val="24"/>
          <w:szCs w:val="24"/>
          <w:highlight w:val="yellow"/>
          <w:u w:val="single"/>
        </w:rPr>
        <w:t>Primer concentration</w:t>
      </w:r>
    </w:p>
    <w:p w:rsidR="00B80831" w:rsidRPr="00E02513" w:rsidRDefault="00122DF1" w:rsidP="00B80831">
      <w:pPr>
        <w:spacing w:after="0" w:line="480" w:lineRule="auto"/>
        <w:rPr>
          <w:rFonts w:asciiTheme="minorHAnsi" w:hAnsiTheme="minorHAnsi" w:cstheme="minorHAnsi"/>
          <w:sz w:val="24"/>
          <w:szCs w:val="24"/>
        </w:rPr>
      </w:pPr>
      <w:r w:rsidRPr="00785651">
        <w:rPr>
          <w:rFonts w:asciiTheme="minorHAnsi" w:hAnsiTheme="minorHAnsi" w:cstheme="minorHAnsi"/>
          <w:sz w:val="24"/>
          <w:szCs w:val="24"/>
          <w:highlight w:val="yellow"/>
        </w:rPr>
        <w:t xml:space="preserve">In </w:t>
      </w:r>
      <w:r>
        <w:rPr>
          <w:rFonts w:asciiTheme="minorHAnsi" w:hAnsiTheme="minorHAnsi" w:cstheme="minorHAnsi"/>
          <w:sz w:val="24"/>
          <w:szCs w:val="24"/>
          <w:highlight w:val="yellow"/>
        </w:rPr>
        <w:t>order to establish</w:t>
      </w:r>
      <w:r w:rsidRPr="00785651">
        <w:rPr>
          <w:rFonts w:asciiTheme="minorHAnsi" w:hAnsiTheme="minorHAnsi" w:cstheme="minorHAnsi"/>
          <w:sz w:val="24"/>
          <w:szCs w:val="24"/>
          <w:highlight w:val="yellow"/>
        </w:rPr>
        <w:t xml:space="preserve"> an optimum concentration </w:t>
      </w:r>
      <w:r>
        <w:rPr>
          <w:rFonts w:asciiTheme="minorHAnsi" w:hAnsiTheme="minorHAnsi" w:cstheme="minorHAnsi"/>
          <w:sz w:val="24"/>
          <w:szCs w:val="24"/>
          <w:highlight w:val="yellow"/>
        </w:rPr>
        <w:t>for F2’R1, e</w:t>
      </w:r>
      <w:r w:rsidR="00B80831" w:rsidRPr="00785651">
        <w:rPr>
          <w:rFonts w:asciiTheme="minorHAnsi" w:hAnsiTheme="minorHAnsi" w:cstheme="minorHAnsi"/>
          <w:sz w:val="24"/>
          <w:szCs w:val="24"/>
          <w:highlight w:val="yellow"/>
        </w:rPr>
        <w:t xml:space="preserve">xperiments were carried out with a range of F2’R1 concentrations from 10nM to 250nM, in </w:t>
      </w:r>
      <w:r w:rsidR="00E36026">
        <w:rPr>
          <w:rFonts w:asciiTheme="minorHAnsi" w:hAnsiTheme="minorHAnsi" w:cstheme="minorHAnsi"/>
          <w:sz w:val="24"/>
          <w:szCs w:val="24"/>
          <w:highlight w:val="yellow"/>
        </w:rPr>
        <w:t xml:space="preserve">both </w:t>
      </w:r>
      <w:r w:rsidR="00B80831" w:rsidRPr="00785651">
        <w:rPr>
          <w:rFonts w:asciiTheme="minorHAnsi" w:hAnsiTheme="minorHAnsi" w:cstheme="minorHAnsi"/>
          <w:sz w:val="24"/>
          <w:szCs w:val="24"/>
          <w:highlight w:val="yellow"/>
        </w:rPr>
        <w:t>non</w:t>
      </w:r>
      <w:r w:rsidR="00785651" w:rsidRPr="00785651">
        <w:rPr>
          <w:rFonts w:asciiTheme="minorHAnsi" w:hAnsiTheme="minorHAnsi" w:cstheme="minorHAnsi"/>
          <w:sz w:val="24"/>
          <w:szCs w:val="24"/>
          <w:highlight w:val="yellow"/>
        </w:rPr>
        <w:t xml:space="preserve">-emulsion and emulsion </w:t>
      </w:r>
      <w:r w:rsidR="00E36026">
        <w:rPr>
          <w:rFonts w:asciiTheme="minorHAnsi" w:hAnsiTheme="minorHAnsi" w:cstheme="minorHAnsi"/>
          <w:sz w:val="24"/>
          <w:szCs w:val="24"/>
          <w:highlight w:val="yellow"/>
        </w:rPr>
        <w:t>PCR</w:t>
      </w:r>
      <w:r>
        <w:rPr>
          <w:rFonts w:asciiTheme="minorHAnsi" w:hAnsiTheme="minorHAnsi" w:cstheme="minorHAnsi"/>
          <w:sz w:val="24"/>
          <w:szCs w:val="24"/>
        </w:rPr>
        <w:t>.</w:t>
      </w:r>
      <w:r w:rsidR="00785651">
        <w:rPr>
          <w:rFonts w:asciiTheme="minorHAnsi" w:hAnsiTheme="minorHAnsi" w:cstheme="minorHAnsi"/>
          <w:sz w:val="24"/>
          <w:szCs w:val="24"/>
        </w:rPr>
        <w:t xml:space="preserve"> </w:t>
      </w:r>
    </w:p>
    <w:p w:rsidR="003D3BE8" w:rsidRPr="00E02513" w:rsidRDefault="003D3BE8" w:rsidP="00E02513">
      <w:pPr>
        <w:spacing w:after="0" w:line="480" w:lineRule="auto"/>
        <w:rPr>
          <w:rFonts w:asciiTheme="minorHAnsi" w:hAnsiTheme="minorHAnsi" w:cstheme="minorHAnsi"/>
          <w:b/>
          <w:sz w:val="24"/>
          <w:szCs w:val="24"/>
        </w:rPr>
      </w:pPr>
    </w:p>
    <w:p w:rsidR="00F80A7F" w:rsidRPr="00E02513" w:rsidRDefault="004F6D00" w:rsidP="00E02513">
      <w:pPr>
        <w:spacing w:after="0" w:line="480" w:lineRule="auto"/>
        <w:rPr>
          <w:rFonts w:asciiTheme="minorHAnsi" w:hAnsiTheme="minorHAnsi" w:cstheme="minorHAnsi"/>
          <w:b/>
          <w:sz w:val="24"/>
          <w:szCs w:val="24"/>
        </w:rPr>
      </w:pPr>
      <w:r w:rsidRPr="00E02513">
        <w:rPr>
          <w:rFonts w:asciiTheme="minorHAnsi" w:hAnsiTheme="minorHAnsi" w:cstheme="minorHAnsi"/>
          <w:b/>
          <w:sz w:val="24"/>
          <w:szCs w:val="24"/>
        </w:rPr>
        <w:t>Results</w:t>
      </w:r>
      <w:r w:rsidR="00EA76D9" w:rsidRPr="00E02513">
        <w:rPr>
          <w:rFonts w:asciiTheme="minorHAnsi" w:hAnsiTheme="minorHAnsi" w:cstheme="minorHAnsi"/>
          <w:b/>
          <w:sz w:val="24"/>
          <w:szCs w:val="24"/>
        </w:rPr>
        <w:t xml:space="preserve"> and discussion</w:t>
      </w:r>
    </w:p>
    <w:p w:rsidR="002438EE" w:rsidRPr="00E02513" w:rsidRDefault="00EA76D9" w:rsidP="00E02513">
      <w:pPr>
        <w:spacing w:after="0" w:line="480" w:lineRule="auto"/>
        <w:rPr>
          <w:rFonts w:asciiTheme="minorHAnsi" w:hAnsiTheme="minorHAnsi" w:cstheme="minorHAnsi"/>
          <w:sz w:val="24"/>
          <w:szCs w:val="24"/>
        </w:rPr>
      </w:pPr>
      <w:r w:rsidRPr="00E02513">
        <w:rPr>
          <w:rFonts w:asciiTheme="minorHAnsi" w:hAnsiTheme="minorHAnsi" w:cstheme="minorHAnsi"/>
          <w:sz w:val="24"/>
          <w:szCs w:val="24"/>
        </w:rPr>
        <w:t xml:space="preserve">Emulsion haplotype fusion PCR for the 2025bp </w:t>
      </w:r>
      <w:r w:rsidRPr="00E02513">
        <w:rPr>
          <w:rFonts w:asciiTheme="minorHAnsi" w:hAnsiTheme="minorHAnsi" w:cstheme="minorHAnsi"/>
          <w:i/>
          <w:sz w:val="24"/>
          <w:szCs w:val="24"/>
        </w:rPr>
        <w:t>CCL3L1</w:t>
      </w:r>
      <w:r w:rsidRPr="00E02513">
        <w:rPr>
          <w:rFonts w:asciiTheme="minorHAnsi" w:hAnsiTheme="minorHAnsi" w:cstheme="minorHAnsi"/>
          <w:sz w:val="24"/>
          <w:szCs w:val="24"/>
        </w:rPr>
        <w:t>/</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test system (illustrated in supplementary figure 1) was carried out for NA12812 and controls. Sequencing of the </w:t>
      </w:r>
      <w:r w:rsidRPr="00E02513">
        <w:rPr>
          <w:rFonts w:asciiTheme="minorHAnsi" w:hAnsiTheme="minorHAnsi" w:cstheme="minorHAnsi"/>
          <w:sz w:val="24"/>
          <w:szCs w:val="24"/>
        </w:rPr>
        <w:lastRenderedPageBreak/>
        <w:t xml:space="preserve">nested PCR product from NA12812 was then carried out to resolve the phase of variants in the fused amplicon. This was investigated using a combination of both non-discriminatory and allele-specific PCR primers designed to sequence the product in its entirety and to make sure the fusion breakpoint was covered. Due to the length of the fused product (1740bp), sequencing to determine phase was established in three sections. Sequencing with an allele-specific reverse primer (ASPCR2086R) located within the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4L1</w:t>
      </w:r>
      <w:r w:rsidRPr="00E02513">
        <w:rPr>
          <w:rFonts w:asciiTheme="minorHAnsi" w:hAnsiTheme="minorHAnsi" w:cstheme="minorHAnsi"/>
          <w:sz w:val="24"/>
          <w:szCs w:val="24"/>
        </w:rPr>
        <w:t xml:space="preserve"> portion of the fused product provides sequence information across the fusion junction and hence provides phase information coupling SNPs in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3L1</w:t>
      </w:r>
      <w:r w:rsidRPr="00E02513">
        <w:rPr>
          <w:rFonts w:asciiTheme="minorHAnsi" w:hAnsiTheme="minorHAnsi" w:cstheme="minorHAnsi"/>
          <w:sz w:val="24"/>
          <w:szCs w:val="24"/>
        </w:rPr>
        <w:t xml:space="preserve"> to those in the </w:t>
      </w:r>
      <w:r w:rsidRPr="00E02513">
        <w:rPr>
          <w:rFonts w:asciiTheme="minorHAnsi" w:hAnsiTheme="minorHAnsi" w:cstheme="minorHAnsi"/>
          <w:i/>
          <w:sz w:val="24"/>
          <w:szCs w:val="24"/>
        </w:rPr>
        <w:t>cis</w:t>
      </w:r>
      <w:r w:rsidRPr="00E02513">
        <w:rPr>
          <w:rFonts w:asciiTheme="minorHAnsi" w:hAnsiTheme="minorHAnsi" w:cstheme="minorHAnsi"/>
          <w:sz w:val="24"/>
          <w:szCs w:val="24"/>
        </w:rPr>
        <w:t xml:space="preserve">-adjacent copy of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4L1</w:t>
      </w:r>
      <w:r w:rsidRPr="00E02513">
        <w:rPr>
          <w:rFonts w:asciiTheme="minorHAnsi" w:hAnsiTheme="minorHAnsi" w:cstheme="minorHAnsi"/>
          <w:sz w:val="24"/>
          <w:szCs w:val="24"/>
        </w:rPr>
        <w:t xml:space="preserve"> (see supplementary figure 1A for position of primer). A portion of this sequence is shown in Supplementary figure 1C. Sequencing with a non-discriminatory primer 2086R reveals a mixed position at rs1804185 in this 2-copy individual (Supplementary figure 1C: panel i). Sequencing with allele-specific 2086R-T demonstrates that T at position rs2277660 in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4L1</w:t>
      </w:r>
      <w:r w:rsidRPr="00E02513">
        <w:rPr>
          <w:rFonts w:asciiTheme="minorHAnsi" w:hAnsiTheme="minorHAnsi" w:cstheme="minorHAnsi"/>
          <w:sz w:val="24"/>
          <w:szCs w:val="24"/>
        </w:rPr>
        <w:t xml:space="preserve"> is on the same haplotype as C at rs1804185 in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 xml:space="preserve">3L1 </w:t>
      </w:r>
      <w:r w:rsidRPr="00E02513">
        <w:rPr>
          <w:rFonts w:asciiTheme="minorHAnsi" w:hAnsiTheme="minorHAnsi" w:cstheme="minorHAnsi"/>
          <w:sz w:val="24"/>
          <w:szCs w:val="24"/>
        </w:rPr>
        <w:t xml:space="preserve">(Supplementary figure 1C: panel ii). Sequencing with ASPCR2086R-G demonstrates that G at position rs2277660 in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4L1</w:t>
      </w:r>
      <w:r w:rsidRPr="00E02513">
        <w:rPr>
          <w:rFonts w:asciiTheme="minorHAnsi" w:hAnsiTheme="minorHAnsi" w:cstheme="minorHAnsi"/>
          <w:sz w:val="24"/>
          <w:szCs w:val="24"/>
        </w:rPr>
        <w:t xml:space="preserve"> is on the same haplotype as T at rs1804185 in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 xml:space="preserve">3L1 </w:t>
      </w:r>
      <w:r w:rsidRPr="00E02513">
        <w:rPr>
          <w:rFonts w:asciiTheme="minorHAnsi" w:hAnsiTheme="minorHAnsi" w:cstheme="minorHAnsi"/>
          <w:sz w:val="24"/>
          <w:szCs w:val="24"/>
        </w:rPr>
        <w:t xml:space="preserve">(supplementary Figure 1C: panel iii). Since the complete haplotype of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3L1</w:t>
      </w:r>
      <w:r w:rsidRPr="00E02513">
        <w:rPr>
          <w:rFonts w:asciiTheme="minorHAnsi" w:hAnsiTheme="minorHAnsi" w:cstheme="minorHAnsi"/>
          <w:sz w:val="24"/>
          <w:szCs w:val="24"/>
        </w:rPr>
        <w:t xml:space="preserve"> and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 xml:space="preserve">4L1 </w:t>
      </w:r>
      <w:r w:rsidRPr="00E02513">
        <w:rPr>
          <w:rFonts w:asciiTheme="minorHAnsi" w:hAnsiTheme="minorHAnsi" w:cstheme="minorHAnsi"/>
          <w:sz w:val="24"/>
          <w:szCs w:val="24"/>
        </w:rPr>
        <w:t xml:space="preserve">for each 1-copy chromosome possessed by </w:t>
      </w:r>
      <w:smartTag w:uri="urn:schemas-microsoft-com:office:smarttags" w:element="stockticker">
        <w:r w:rsidRPr="00E02513">
          <w:rPr>
            <w:rFonts w:asciiTheme="minorHAnsi" w:hAnsiTheme="minorHAnsi" w:cstheme="minorHAnsi"/>
            <w:sz w:val="24"/>
            <w:szCs w:val="24"/>
          </w:rPr>
          <w:t>NA</w:t>
        </w:r>
      </w:smartTag>
      <w:r w:rsidRPr="00E02513">
        <w:rPr>
          <w:rFonts w:asciiTheme="minorHAnsi" w:hAnsiTheme="minorHAnsi" w:cstheme="minorHAnsi"/>
          <w:sz w:val="24"/>
          <w:szCs w:val="24"/>
        </w:rPr>
        <w:t xml:space="preserve">12812 was derived through segregation and sequencing analysis prior to this work (see Supplementary Information), this could be used to support data obtained from the emulsion experiment. The two 1-copy haplotypes for NA12812 are shown in supplementary figure 1D. Sequencing across both the fusion junction and within the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3L1</w:t>
      </w:r>
      <w:r w:rsidRPr="00E02513">
        <w:rPr>
          <w:rFonts w:asciiTheme="minorHAnsi" w:hAnsiTheme="minorHAnsi" w:cstheme="minorHAnsi"/>
          <w:sz w:val="24"/>
          <w:szCs w:val="24"/>
        </w:rPr>
        <w:t xml:space="preserve"> and </w:t>
      </w:r>
      <w:smartTag w:uri="urn:schemas-microsoft-com:office:smarttags" w:element="stockticker">
        <w:r w:rsidRPr="00E02513">
          <w:rPr>
            <w:rFonts w:asciiTheme="minorHAnsi" w:hAnsiTheme="minorHAnsi" w:cstheme="minorHAnsi"/>
            <w:i/>
            <w:sz w:val="24"/>
            <w:szCs w:val="24"/>
          </w:rPr>
          <w:t>CCL</w:t>
        </w:r>
      </w:smartTag>
      <w:r w:rsidRPr="00E02513">
        <w:rPr>
          <w:rFonts w:asciiTheme="minorHAnsi" w:hAnsiTheme="minorHAnsi" w:cstheme="minorHAnsi"/>
          <w:i/>
          <w:sz w:val="24"/>
          <w:szCs w:val="24"/>
        </w:rPr>
        <w:t>4L1</w:t>
      </w:r>
      <w:r w:rsidRPr="00E02513">
        <w:rPr>
          <w:rFonts w:asciiTheme="minorHAnsi" w:hAnsiTheme="minorHAnsi" w:cstheme="minorHAnsi"/>
          <w:sz w:val="24"/>
          <w:szCs w:val="24"/>
        </w:rPr>
        <w:t xml:space="preserve"> portions verifies that the emulsion fusion procedure has not created recombinant </w:t>
      </w:r>
      <w:smartTag w:uri="urn:schemas-microsoft-com:office:smarttags" w:element="stockticker">
        <w:r w:rsidRPr="00E02513">
          <w:rPr>
            <w:rFonts w:asciiTheme="minorHAnsi" w:hAnsiTheme="minorHAnsi" w:cstheme="minorHAnsi"/>
            <w:sz w:val="24"/>
            <w:szCs w:val="24"/>
          </w:rPr>
          <w:t>PCR</w:t>
        </w:r>
      </w:smartTag>
      <w:r w:rsidRPr="00E02513">
        <w:rPr>
          <w:rFonts w:asciiTheme="minorHAnsi" w:hAnsiTheme="minorHAnsi" w:cstheme="minorHAnsi"/>
          <w:sz w:val="24"/>
          <w:szCs w:val="24"/>
        </w:rPr>
        <w:t xml:space="preserve"> products in which the haplotypes have been scrambled. </w:t>
      </w:r>
    </w:p>
    <w:p w:rsidR="004F6D00" w:rsidRPr="00E02513" w:rsidRDefault="004F6D00" w:rsidP="00E02513">
      <w:pPr>
        <w:spacing w:after="0" w:line="480" w:lineRule="auto"/>
        <w:rPr>
          <w:rFonts w:asciiTheme="minorHAnsi" w:hAnsiTheme="minorHAnsi" w:cstheme="minorHAnsi"/>
          <w:sz w:val="24"/>
          <w:szCs w:val="24"/>
          <w:u w:val="single"/>
        </w:rPr>
      </w:pPr>
    </w:p>
    <w:p w:rsidR="002438EE" w:rsidRPr="00E02513" w:rsidRDefault="002438EE" w:rsidP="00E02513">
      <w:pPr>
        <w:spacing w:after="0" w:line="480" w:lineRule="auto"/>
        <w:rPr>
          <w:rFonts w:asciiTheme="minorHAnsi" w:hAnsiTheme="minorHAnsi" w:cstheme="minorHAnsi"/>
          <w:sz w:val="24"/>
          <w:szCs w:val="24"/>
          <w:u w:val="single"/>
        </w:rPr>
      </w:pPr>
      <w:proofErr w:type="gramStart"/>
      <w:r w:rsidRPr="00E02513">
        <w:rPr>
          <w:rFonts w:asciiTheme="minorHAnsi" w:hAnsiTheme="minorHAnsi" w:cstheme="minorHAnsi"/>
          <w:sz w:val="24"/>
          <w:szCs w:val="24"/>
          <w:u w:val="single"/>
        </w:rPr>
        <w:t xml:space="preserve">Clarification of phase of SNPs within </w:t>
      </w:r>
      <w:r w:rsidRPr="00E02513">
        <w:rPr>
          <w:rFonts w:asciiTheme="minorHAnsi" w:hAnsiTheme="minorHAnsi" w:cstheme="minorHAnsi"/>
          <w:i/>
          <w:sz w:val="24"/>
          <w:szCs w:val="24"/>
          <w:u w:val="single"/>
        </w:rPr>
        <w:t>CCL3L1</w:t>
      </w:r>
      <w:r w:rsidRPr="00E02513">
        <w:rPr>
          <w:rFonts w:asciiTheme="minorHAnsi" w:hAnsiTheme="minorHAnsi" w:cstheme="minorHAnsi"/>
          <w:sz w:val="24"/>
          <w:szCs w:val="24"/>
          <w:u w:val="single"/>
        </w:rPr>
        <w:t xml:space="preserve"> and within </w:t>
      </w:r>
      <w:r w:rsidRPr="00E02513">
        <w:rPr>
          <w:rFonts w:asciiTheme="minorHAnsi" w:hAnsiTheme="minorHAnsi" w:cstheme="minorHAnsi"/>
          <w:i/>
          <w:sz w:val="24"/>
          <w:szCs w:val="24"/>
          <w:u w:val="single"/>
        </w:rPr>
        <w:t>CCL4L1</w:t>
      </w:r>
      <w:r w:rsidRPr="00E02513">
        <w:rPr>
          <w:rFonts w:asciiTheme="minorHAnsi" w:hAnsiTheme="minorHAnsi" w:cstheme="minorHAnsi"/>
          <w:sz w:val="24"/>
          <w:szCs w:val="24"/>
          <w:u w:val="single"/>
        </w:rPr>
        <w:t>.</w:t>
      </w:r>
      <w:proofErr w:type="gramEnd"/>
    </w:p>
    <w:p w:rsidR="002438EE" w:rsidRPr="00E02513" w:rsidRDefault="002438EE" w:rsidP="00E02513">
      <w:pPr>
        <w:spacing w:after="0" w:line="480" w:lineRule="auto"/>
        <w:ind w:firstLine="360"/>
        <w:rPr>
          <w:rFonts w:asciiTheme="minorHAnsi" w:hAnsiTheme="minorHAnsi" w:cstheme="minorHAnsi"/>
          <w:sz w:val="24"/>
          <w:szCs w:val="24"/>
        </w:rPr>
      </w:pPr>
      <w:r w:rsidRPr="00E02513">
        <w:rPr>
          <w:rFonts w:asciiTheme="minorHAnsi" w:hAnsiTheme="minorHAnsi" w:cstheme="minorHAnsi"/>
          <w:sz w:val="24"/>
          <w:szCs w:val="24"/>
        </w:rPr>
        <w:lastRenderedPageBreak/>
        <w:t xml:space="preserve">The phase of SNPs within the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portion of the fused product was verified using PCR and sequencing with either F1N or allele-specific primers ASPCR532F-A or ASPCR532F-G with R2N as the reverse primer. Sequencing of the fused product with F1N reveals mixed positions at rs17850251 (supplementary figure </w:t>
      </w:r>
      <w:r w:rsidR="002165A9" w:rsidRPr="00E02513">
        <w:rPr>
          <w:rFonts w:asciiTheme="minorHAnsi" w:hAnsiTheme="minorHAnsi" w:cstheme="minorHAnsi"/>
          <w:sz w:val="24"/>
          <w:szCs w:val="24"/>
        </w:rPr>
        <w:t>2</w:t>
      </w:r>
      <w:r w:rsidRPr="00E02513">
        <w:rPr>
          <w:rFonts w:asciiTheme="minorHAnsi" w:hAnsiTheme="minorHAnsi" w:cstheme="minorHAnsi"/>
          <w:sz w:val="24"/>
          <w:szCs w:val="24"/>
        </w:rPr>
        <w:t xml:space="preserve">: panel IA) and rs1804185 (supplementary figure 2: panel IB). When the same first round product is amplified and subsequently sequenced using either allele-specific primer ASPCR532F-A or ASPCR532F-G in the second round, the variant bases which are on the same haplotype as the discriminatory base at the 3’ position of the allele-specific primer are revealed (supplementary figure </w:t>
      </w:r>
      <w:r w:rsidR="0071338F" w:rsidRPr="00E02513">
        <w:rPr>
          <w:rFonts w:asciiTheme="minorHAnsi" w:hAnsiTheme="minorHAnsi" w:cstheme="minorHAnsi"/>
          <w:sz w:val="24"/>
          <w:szCs w:val="24"/>
        </w:rPr>
        <w:t>2</w:t>
      </w:r>
      <w:r w:rsidRPr="00E02513">
        <w:rPr>
          <w:rFonts w:asciiTheme="minorHAnsi" w:hAnsiTheme="minorHAnsi" w:cstheme="minorHAnsi"/>
          <w:sz w:val="24"/>
          <w:szCs w:val="24"/>
        </w:rPr>
        <w:t xml:space="preserve">: panel IIA and B; panel IIIA and B). The haplotype revealed by emulsion fusion PCR is supported by previous </w:t>
      </w:r>
      <w:r w:rsidRPr="00E02513">
        <w:rPr>
          <w:rFonts w:asciiTheme="minorHAnsi" w:hAnsiTheme="minorHAnsi" w:cstheme="minorHAnsi"/>
          <w:i/>
          <w:sz w:val="24"/>
          <w:szCs w:val="24"/>
        </w:rPr>
        <w:t xml:space="preserve">CCL3L1 </w:t>
      </w:r>
      <w:r w:rsidRPr="00E02513">
        <w:rPr>
          <w:rFonts w:asciiTheme="minorHAnsi" w:hAnsiTheme="minorHAnsi" w:cstheme="minorHAnsi"/>
          <w:sz w:val="24"/>
          <w:szCs w:val="24"/>
        </w:rPr>
        <w:t xml:space="preserve">allele-specific sequence data derived from genomic DNA and confirms that the phase of the sequence variants within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is maintained in the fused PCR product. </w:t>
      </w:r>
    </w:p>
    <w:p w:rsidR="004F6D00" w:rsidRPr="00E02513" w:rsidRDefault="004F6D00" w:rsidP="00E02513">
      <w:pPr>
        <w:spacing w:after="0" w:line="480" w:lineRule="auto"/>
        <w:ind w:firstLine="360"/>
        <w:rPr>
          <w:rFonts w:asciiTheme="minorHAnsi" w:hAnsiTheme="minorHAnsi" w:cstheme="minorHAnsi"/>
          <w:sz w:val="24"/>
          <w:szCs w:val="24"/>
        </w:rPr>
      </w:pPr>
    </w:p>
    <w:p w:rsidR="002438EE" w:rsidRPr="00E02513" w:rsidRDefault="002438EE" w:rsidP="00E02513">
      <w:pPr>
        <w:spacing w:after="0" w:line="480" w:lineRule="auto"/>
        <w:ind w:firstLine="360"/>
        <w:rPr>
          <w:rFonts w:asciiTheme="minorHAnsi" w:hAnsiTheme="minorHAnsi" w:cstheme="minorHAnsi"/>
          <w:sz w:val="24"/>
          <w:szCs w:val="24"/>
        </w:rPr>
      </w:pPr>
      <w:r w:rsidRPr="00E02513">
        <w:rPr>
          <w:rFonts w:asciiTheme="minorHAnsi" w:hAnsiTheme="minorHAnsi" w:cstheme="minorHAnsi"/>
          <w:sz w:val="24"/>
          <w:szCs w:val="24"/>
        </w:rPr>
        <w:t xml:space="preserve">The haplotype of sequence variants within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were similarly established by sequencing of the F1N to R2N (1740bp) fusion PCR product with either R2N or allele-specific primer ASPCR1467R-T or ASPCR1467R-G. Sequencing with R2N reveals mixed positions at chromosome 17:31664359 </w:t>
      </w:r>
      <w:r w:rsidRPr="00E02513">
        <w:rPr>
          <w:rFonts w:asciiTheme="minorHAnsi" w:hAnsiTheme="minorHAnsi" w:cstheme="minorHAnsi"/>
          <w:sz w:val="24"/>
          <w:szCs w:val="24"/>
        </w:rPr>
        <w:fldChar w:fldCharType="begin"/>
      </w:r>
      <w:r w:rsidRPr="00E02513">
        <w:rPr>
          <w:rFonts w:asciiTheme="minorHAnsi" w:hAnsiTheme="minorHAnsi" w:cstheme="minorHAnsi"/>
          <w:sz w:val="24"/>
          <w:szCs w:val="24"/>
        </w:rPr>
        <w:instrText xml:space="preserve"> ADDIN EN.CITE &lt;EndNote&gt;&lt;Cite&gt;&lt;Author&gt;Kent&lt;/Author&gt;&lt;Year&gt;2002&lt;/Year&gt;&lt;RecNum&gt;29&lt;/RecNum&gt;&lt;DisplayText&gt;[2]&lt;/DisplayText&gt;&lt;record&gt;&lt;rec-number&gt;29&lt;/rec-number&gt;&lt;foreign-keys&gt;&lt;key app="EN" db-id="ftx9v9s96fwx0mepf29pxspfarw950zxwzvv"&gt;29&lt;/key&gt;&lt;/foreign-keys&gt;&lt;ref-type name="Journal Article"&gt;17&lt;/ref-type&gt;&lt;contributors&gt;&lt;authors&gt;&lt;author&gt;Kent, W.J.&lt;/author&gt;&lt;author&gt;Sugnet, C.W.&lt;/author&gt;&lt;author&gt;Furey, T.S.&lt;/author&gt;&lt;author&gt;Roskin, K.M.&lt;/author&gt;&lt;author&gt;Pringle, T.H.&lt;/author&gt;&lt;author&gt;Zahler, A.M.&lt;/author&gt;&lt;author&gt;Haussler, D.&lt;/author&gt;&lt;/authors&gt;&lt;/contributors&gt;&lt;titles&gt;&lt;title&gt;The human genome browser at UCSC&lt;/title&gt;&lt;secondary-title&gt;Genome Res.&lt;/secondary-title&gt;&lt;alt-title&gt;Genome Res&lt;/alt-title&gt;&lt;/titles&gt;&lt;periodical&gt;&lt;abbr-1&gt;Genome Res.&lt;/abbr-1&gt;&lt;/periodical&gt;&lt;alt-periodical&gt;&lt;full-title&gt;Genome Res&lt;/full-title&gt;&lt;abbr-1&gt;Genome Res&lt;/abbr-1&gt;&lt;/alt-periodical&gt;&lt;pages&gt;996 - 1006&lt;/pages&gt;&lt;volume&gt;12&lt;/volume&gt;&lt;dates&gt;&lt;year&gt;2002&lt;/year&gt;&lt;/dates&gt;&lt;urls&gt;&lt;/urls&gt;&lt;/record&gt;&lt;/Cite&gt;&lt;/EndNote&gt;</w:instrText>
      </w:r>
      <w:r w:rsidRPr="00E02513">
        <w:rPr>
          <w:rFonts w:asciiTheme="minorHAnsi" w:hAnsiTheme="minorHAnsi" w:cstheme="minorHAnsi"/>
          <w:sz w:val="24"/>
          <w:szCs w:val="24"/>
        </w:rPr>
        <w:fldChar w:fldCharType="separate"/>
      </w:r>
      <w:r w:rsidRPr="00E02513">
        <w:rPr>
          <w:rFonts w:asciiTheme="minorHAnsi" w:hAnsiTheme="minorHAnsi" w:cstheme="minorHAnsi"/>
          <w:noProof/>
          <w:sz w:val="24"/>
          <w:szCs w:val="24"/>
        </w:rPr>
        <w:t>[</w:t>
      </w:r>
      <w:hyperlink w:anchor="_ENREF_2" w:tooltip="Kent, 2002 #29" w:history="1">
        <w:r w:rsidRPr="00E02513">
          <w:rPr>
            <w:rFonts w:asciiTheme="minorHAnsi" w:hAnsiTheme="minorHAnsi" w:cstheme="minorHAnsi"/>
            <w:noProof/>
            <w:sz w:val="24"/>
            <w:szCs w:val="24"/>
          </w:rPr>
          <w:t>2</w:t>
        </w:r>
      </w:hyperlink>
      <w:r w:rsidRPr="00E02513">
        <w:rPr>
          <w:rFonts w:asciiTheme="minorHAnsi" w:hAnsiTheme="minorHAnsi" w:cstheme="minorHAnsi"/>
          <w:noProof/>
          <w:sz w:val="24"/>
          <w:szCs w:val="24"/>
        </w:rPr>
        <w:t>]</w:t>
      </w:r>
      <w:r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(March 2006 assembly) and rs2277660 in this 2-copy individual (supplementary figure 3: panel IA and 1B). Haplotypes were revealed by PCR and sequencing with F1N and either allele-specific primer ASPCR1467R-T or ASPCR1467R-G as the reverse primer (supplementary figure</w:t>
      </w:r>
      <w:r w:rsidR="00CF0E47" w:rsidRPr="00E02513">
        <w:rPr>
          <w:rFonts w:asciiTheme="minorHAnsi" w:hAnsiTheme="minorHAnsi" w:cstheme="minorHAnsi"/>
          <w:sz w:val="24"/>
          <w:szCs w:val="24"/>
        </w:rPr>
        <w:t xml:space="preserve"> 3</w:t>
      </w:r>
      <w:r w:rsidRPr="00E02513">
        <w:rPr>
          <w:rFonts w:asciiTheme="minorHAnsi" w:hAnsiTheme="minorHAnsi" w:cstheme="minorHAnsi"/>
          <w:sz w:val="24"/>
          <w:szCs w:val="24"/>
        </w:rPr>
        <w:t xml:space="preserve">: panel IIA and B; panel IIIA and B). As is the case for the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portion of the fused product, the use of previous data derived from genomic DNA verifies that the phase of SNPs within this part of the fused product is maintained in the emulsion fusion PCR. </w:t>
      </w:r>
    </w:p>
    <w:p w:rsidR="002165A9" w:rsidRPr="00E02513" w:rsidRDefault="002165A9" w:rsidP="00E02513">
      <w:pPr>
        <w:spacing w:after="0" w:line="480" w:lineRule="auto"/>
        <w:ind w:firstLine="360"/>
        <w:rPr>
          <w:rFonts w:asciiTheme="minorHAnsi" w:hAnsiTheme="minorHAnsi" w:cstheme="minorHAnsi"/>
          <w:sz w:val="24"/>
          <w:szCs w:val="24"/>
        </w:rPr>
      </w:pPr>
    </w:p>
    <w:p w:rsidR="00EA76D9" w:rsidRPr="00E02513" w:rsidRDefault="00EA76D9" w:rsidP="00E02513">
      <w:pPr>
        <w:spacing w:after="0" w:line="480" w:lineRule="auto"/>
        <w:ind w:firstLine="360"/>
        <w:rPr>
          <w:rFonts w:asciiTheme="minorHAnsi" w:hAnsiTheme="minorHAnsi" w:cstheme="minorHAnsi"/>
          <w:sz w:val="24"/>
          <w:szCs w:val="24"/>
        </w:rPr>
      </w:pPr>
      <w:r w:rsidRPr="00E02513">
        <w:rPr>
          <w:rFonts w:asciiTheme="minorHAnsi" w:hAnsiTheme="minorHAnsi" w:cstheme="minorHAnsi"/>
          <w:sz w:val="24"/>
          <w:szCs w:val="24"/>
        </w:rPr>
        <w:lastRenderedPageBreak/>
        <w:t>No evidence of alternative haplotypes, in which the known phase was not maintained, was observed, nor were there any mixed positions on allele-specific sequence traces to indicate incomplete resolution or illegitimate junctions.</w:t>
      </w:r>
    </w:p>
    <w:p w:rsidR="002438EE" w:rsidRPr="00E02513" w:rsidRDefault="002438EE" w:rsidP="00E02513">
      <w:pPr>
        <w:spacing w:after="0" w:line="480" w:lineRule="auto"/>
        <w:ind w:firstLine="360"/>
        <w:rPr>
          <w:rFonts w:asciiTheme="minorHAnsi" w:hAnsiTheme="minorHAnsi" w:cstheme="minorHAnsi"/>
          <w:sz w:val="24"/>
          <w:szCs w:val="24"/>
        </w:rPr>
      </w:pPr>
    </w:p>
    <w:p w:rsidR="00EA76D9" w:rsidRPr="00E02513" w:rsidRDefault="00EA76D9" w:rsidP="00E02513">
      <w:pPr>
        <w:spacing w:after="0" w:line="480" w:lineRule="auto"/>
        <w:ind w:firstLine="360"/>
        <w:rPr>
          <w:rFonts w:asciiTheme="minorHAnsi" w:hAnsiTheme="minorHAnsi" w:cstheme="minorHAnsi"/>
          <w:sz w:val="24"/>
          <w:szCs w:val="24"/>
        </w:rPr>
      </w:pPr>
      <w:r w:rsidRPr="00E02513">
        <w:rPr>
          <w:rFonts w:asciiTheme="minorHAnsi" w:hAnsiTheme="minorHAnsi" w:cstheme="minorHAnsi"/>
          <w:sz w:val="24"/>
          <w:szCs w:val="24"/>
        </w:rPr>
        <w:t xml:space="preserve">In order to successfully produce 1kb amplicons </w:t>
      </w:r>
      <w:r w:rsidR="002438EE" w:rsidRPr="00E02513">
        <w:rPr>
          <w:rFonts w:asciiTheme="minorHAnsi" w:hAnsiTheme="minorHAnsi" w:cstheme="minorHAnsi"/>
          <w:sz w:val="24"/>
          <w:szCs w:val="24"/>
        </w:rPr>
        <w:t xml:space="preserve">and longer </w:t>
      </w:r>
      <w:r w:rsidRPr="00E02513">
        <w:rPr>
          <w:rFonts w:asciiTheme="minorHAnsi" w:hAnsiTheme="minorHAnsi" w:cstheme="minorHAnsi"/>
          <w:sz w:val="24"/>
          <w:szCs w:val="24"/>
        </w:rPr>
        <w:t>in an emulsion</w:t>
      </w:r>
      <w:r w:rsidR="002438EE" w:rsidRPr="00E02513">
        <w:rPr>
          <w:rFonts w:asciiTheme="minorHAnsi" w:hAnsiTheme="minorHAnsi" w:cstheme="minorHAnsi"/>
          <w:sz w:val="24"/>
          <w:szCs w:val="24"/>
        </w:rPr>
        <w:t xml:space="preserve"> </w:t>
      </w:r>
      <w:r w:rsidRPr="00E02513">
        <w:rPr>
          <w:rFonts w:asciiTheme="minorHAnsi" w:hAnsiTheme="minorHAnsi" w:cstheme="minorHAnsi"/>
          <w:sz w:val="24"/>
          <w:szCs w:val="24"/>
        </w:rPr>
        <w:t xml:space="preserve">the design and inclusion of an additional primer (F2A, designed at locus 2) in the emulsion PCR stage was necessary. Previous emulsion haplotype fusion methods </w:t>
      </w:r>
      <w:r w:rsidR="00F9134B" w:rsidRPr="00E02513">
        <w:rPr>
          <w:rFonts w:asciiTheme="minorHAnsi" w:hAnsiTheme="minorHAnsi" w:cstheme="minorHAnsi"/>
          <w:sz w:val="24"/>
          <w:szCs w:val="24"/>
        </w:rPr>
        <w:fldChar w:fldCharType="begin"/>
      </w:r>
      <w:r w:rsidRPr="00E02513">
        <w:rPr>
          <w:rFonts w:asciiTheme="minorHAnsi" w:hAnsiTheme="minorHAnsi" w:cstheme="minorHAnsi"/>
          <w:sz w:val="24"/>
          <w:szCs w:val="24"/>
        </w:rPr>
        <w:instrText xml:space="preserve"> ADDIN EN.CITE &lt;EndNote&gt;&lt;Cite&gt;&lt;Author&gt;Turner&lt;/Author&gt;&lt;Year&gt;2009&lt;/Year&gt;&lt;RecNum&gt;755&lt;/RecNum&gt;&lt;DisplayText&gt;[4, 5]&lt;/DisplayText&gt;&lt;record&gt;&lt;rec-number&gt;755&lt;/rec-number&gt;&lt;foreign-keys&gt;&lt;key app="EN" db-id="ftx9v9s96fwx0mepf29pxspfarw950zxwzvv"&gt;755&lt;/key&gt;&lt;/foreign-keys&gt;&lt;ref-type name="Journal Article"&gt;17&lt;/ref-type&gt;&lt;contributors&gt;&lt;authors&gt;&lt;author&gt;Turner, Daniel J.&lt;/author&gt;&lt;author&gt;Hurles, Matthew E.&lt;/author&gt;&lt;/authors&gt;&lt;/contributors&gt;&lt;titles&gt;&lt;title&gt;High-throughput haplotype determination over long distances by haplotype fusion PCR and ligation haplotyping&lt;/title&gt;&lt;secondary-title&gt;Nat. Protocols&lt;/secondary-title&gt;&lt;/titles&gt;&lt;periodical&gt;&lt;full-title&gt;Nat. Protocols&lt;/full-title&gt;&lt;/periodical&gt;&lt;pages&gt;1771-1783&lt;/pages&gt;&lt;volume&gt;4&lt;/volume&gt;&lt;number&gt;12&lt;/number&gt;&lt;dates&gt;&lt;year&gt;2009&lt;/year&gt;&lt;/dates&gt;&lt;publisher&gt;Nature Publishing Group&lt;/publisher&gt;&lt;isbn&gt;1754-2189&lt;/isbn&gt;&lt;urls&gt;&lt;related-urls&gt;&lt;url&gt;http://dx.doi.org/10.1038/nprot.2009.184&lt;/url&gt;&lt;/related-urls&gt;&lt;/urls&gt;&lt;/record&gt;&lt;/Cite&gt;&lt;Cite&gt;&lt;Author&gt;Wetmur&lt;/Author&gt;&lt;RecNum&gt;753&lt;/RecNum&gt;&lt;record&gt;&lt;rec-number&gt;753&lt;/rec-number&gt;&lt;foreign-keys&gt;&lt;key app="EN" db-id="ftx9v9s96fwx0mepf29pxspfarw950zxwzvv"&gt;753&lt;/key&gt;&lt;/foreign-keys&gt;&lt;ref-type name="Journal Article"&gt;17&lt;/ref-type&gt;&lt;contributors&gt;&lt;authors&gt;&lt;author&gt;Wetmur, James G.&lt;/author&gt;&lt;author&gt;Kumar, Madhu&lt;/author&gt;&lt;author&gt;Zhang, Li&lt;/author&gt;&lt;author&gt;Palomeque, Caroline&lt;/author&gt;&lt;author&gt;Wallenstein, Sylvan&lt;/author&gt;&lt;author&gt;Chen, Jia&lt;/author&gt;&lt;/authors&gt;&lt;/contributors&gt;&lt;titles&gt;&lt;title&gt;Molecular haplotyping by linking emulsion PCR: analysis of paraoxonase 1 haplotypes and phenotypes&lt;/title&gt;&lt;secondary-title&gt;Nucleic Acids Res.&lt;/secondary-title&gt;&lt;/titles&gt;&lt;periodical&gt;&lt;abbr-1&gt;Nucleic Acids Res.&lt;/abbr-1&gt;&lt;/periodical&gt;&lt;pages&gt;2615-2619&lt;/pages&gt;&lt;volume&gt;33&lt;/volume&gt;&lt;number&gt;8&lt;/number&gt;&lt;dates&gt;&lt;year&gt;2005&lt;/year&gt;&lt;/dates&gt;&lt;urls&gt;&lt;related-urls&gt;&lt;url&gt;http://nar.oxfordjournals.org/content/33/8/2615.abstract&lt;/url&gt;&lt;/related-urls&gt;&lt;/urls&gt;&lt;electronic-resource-num&gt;10.1093/nar/gki556&lt;/electronic-resource-num&gt;&lt;/record&gt;&lt;/Cite&gt;&lt;/EndNote&gt;</w:instrText>
      </w:r>
      <w:r w:rsidR="00F9134B" w:rsidRPr="00E02513">
        <w:rPr>
          <w:rFonts w:asciiTheme="minorHAnsi" w:hAnsiTheme="minorHAnsi" w:cstheme="minorHAnsi"/>
          <w:sz w:val="24"/>
          <w:szCs w:val="24"/>
        </w:rPr>
        <w:fldChar w:fldCharType="separate"/>
      </w:r>
      <w:r w:rsidRPr="00E02513">
        <w:rPr>
          <w:rFonts w:asciiTheme="minorHAnsi" w:hAnsiTheme="minorHAnsi" w:cstheme="minorHAnsi"/>
          <w:noProof/>
          <w:sz w:val="24"/>
          <w:szCs w:val="24"/>
        </w:rPr>
        <w:t>[</w:t>
      </w:r>
      <w:hyperlink w:anchor="_ENREF_4" w:tooltip="Turner, 2009 #755" w:history="1">
        <w:r w:rsidRPr="00E02513">
          <w:rPr>
            <w:rFonts w:asciiTheme="minorHAnsi" w:hAnsiTheme="minorHAnsi" w:cstheme="minorHAnsi"/>
            <w:noProof/>
            <w:sz w:val="24"/>
            <w:szCs w:val="24"/>
          </w:rPr>
          <w:t>4</w:t>
        </w:r>
      </w:hyperlink>
      <w:r w:rsidRPr="00E02513">
        <w:rPr>
          <w:rFonts w:asciiTheme="minorHAnsi" w:hAnsiTheme="minorHAnsi" w:cstheme="minorHAnsi"/>
          <w:noProof/>
          <w:sz w:val="24"/>
          <w:szCs w:val="24"/>
        </w:rPr>
        <w:t xml:space="preserve">, </w:t>
      </w:r>
      <w:hyperlink w:anchor="_ENREF_5" w:tooltip="Wetmur, 2005 #753" w:history="1">
        <w:r w:rsidRPr="00E02513">
          <w:rPr>
            <w:rFonts w:asciiTheme="minorHAnsi" w:hAnsiTheme="minorHAnsi" w:cstheme="minorHAnsi"/>
            <w:noProof/>
            <w:sz w:val="24"/>
            <w:szCs w:val="24"/>
          </w:rPr>
          <w:t>5</w:t>
        </w:r>
      </w:hyperlink>
      <w:r w:rsidRPr="00E02513">
        <w:rPr>
          <w:rFonts w:asciiTheme="minorHAnsi" w:hAnsiTheme="minorHAnsi" w:cstheme="minorHAnsi"/>
          <w:noProof/>
          <w:sz w:val="24"/>
          <w:szCs w:val="24"/>
        </w:rPr>
        <w:t>]</w:t>
      </w:r>
      <w:r w:rsidR="00F9134B"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have used three primers in the emulsion stage of the PCR, allowing exponential amplification to occur between F1 and F2’R1 (locus 1, or in this test case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and a single-stranded product to be synthesised from the R2 primer (locus 2, or in this test case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The F2A primer was designed to enable exponential amplification between F2A and R2 and thus remove the reliance on linear synthesis from the R2 primer. The inclusion of F2A was not necessary to produce satisfactory yields for amplicons of less than 1kb. </w:t>
      </w:r>
    </w:p>
    <w:p w:rsidR="00EA76D9" w:rsidRPr="00E02513" w:rsidRDefault="00EA76D9" w:rsidP="00E02513">
      <w:pPr>
        <w:spacing w:after="0" w:line="480" w:lineRule="auto"/>
        <w:ind w:firstLine="360"/>
        <w:rPr>
          <w:rFonts w:asciiTheme="minorHAnsi" w:hAnsiTheme="minorHAnsi" w:cstheme="minorHAnsi"/>
          <w:sz w:val="24"/>
          <w:szCs w:val="24"/>
        </w:rPr>
      </w:pPr>
    </w:p>
    <w:p w:rsidR="00EA76D9" w:rsidRPr="00E02513" w:rsidRDefault="00EA76D9" w:rsidP="00E02513">
      <w:pPr>
        <w:spacing w:after="0" w:line="480" w:lineRule="auto"/>
        <w:ind w:firstLine="426"/>
        <w:rPr>
          <w:rFonts w:asciiTheme="minorHAnsi" w:hAnsiTheme="minorHAnsi" w:cstheme="minorHAnsi"/>
          <w:sz w:val="24"/>
          <w:szCs w:val="24"/>
        </w:rPr>
      </w:pPr>
      <w:r w:rsidRPr="00E02513">
        <w:rPr>
          <w:rFonts w:asciiTheme="minorHAnsi" w:hAnsiTheme="minorHAnsi" w:cstheme="minorHAnsi"/>
          <w:sz w:val="24"/>
          <w:szCs w:val="24"/>
        </w:rPr>
        <w:t xml:space="preserve">Designing an additional primer, designated F2A, which is used in the emulsion PCR stage means that a longer fused amplicon can be reliably produced. The addition of F2A, set back from the “F2” region, means that early in the process a double-stranded product is exponentially amplified from the right-hand amplicon or locus 2, and thus removes the reliance on the generation of a linear product from R2. We designed the primer F2A set back from the F2 sequence, rather than using the F2 sequence itself, to avoid two complementary sequences (F2’R1 and F2) interfering with each other directly in the emulsion PCR. We assume that inclusion of an F2A primer improves the efficiency and specificity of the fusion stage by promoting exponential, rather than linear, amplification of the R2 amplicon. The design and addition of F2A is not necessary for shorter condensed </w:t>
      </w:r>
      <w:r w:rsidRPr="00E02513">
        <w:rPr>
          <w:rFonts w:asciiTheme="minorHAnsi" w:hAnsiTheme="minorHAnsi" w:cstheme="minorHAnsi"/>
          <w:sz w:val="24"/>
          <w:szCs w:val="24"/>
        </w:rPr>
        <w:lastRenderedPageBreak/>
        <w:t>products; nevertheless, even when fusion could be successfully achieved without it, the yield of fused product was greatly enhanced by F2A - for the shorter-product systems carried out as a proof of principle, addition of this primer meant that the fused product appeared after a total of 45 PCR cycles as opposed to 65 cycles without F2A (data not shown).</w:t>
      </w:r>
    </w:p>
    <w:p w:rsidR="00EA76D9" w:rsidRPr="00E02513" w:rsidRDefault="00EA76D9" w:rsidP="00E02513">
      <w:pPr>
        <w:spacing w:after="0" w:line="480" w:lineRule="auto"/>
        <w:rPr>
          <w:rFonts w:asciiTheme="minorHAnsi" w:hAnsiTheme="minorHAnsi" w:cstheme="minorHAnsi"/>
          <w:sz w:val="24"/>
          <w:szCs w:val="24"/>
        </w:rPr>
      </w:pPr>
    </w:p>
    <w:p w:rsidR="00AF0936" w:rsidRPr="00E02513" w:rsidRDefault="00AF0936" w:rsidP="00E02513">
      <w:pPr>
        <w:spacing w:line="480" w:lineRule="auto"/>
        <w:rPr>
          <w:rFonts w:asciiTheme="minorHAnsi" w:hAnsiTheme="minorHAnsi" w:cstheme="minorHAnsi"/>
          <w:sz w:val="24"/>
          <w:szCs w:val="24"/>
        </w:rPr>
      </w:pPr>
    </w:p>
    <w:p w:rsidR="00AF0936" w:rsidRPr="00E02513" w:rsidRDefault="00AF0936" w:rsidP="00E02513">
      <w:pPr>
        <w:spacing w:line="480" w:lineRule="auto"/>
        <w:rPr>
          <w:rFonts w:asciiTheme="minorHAnsi" w:hAnsiTheme="minorHAnsi" w:cstheme="minorHAnsi"/>
          <w:sz w:val="24"/>
          <w:szCs w:val="24"/>
        </w:rPr>
      </w:pPr>
    </w:p>
    <w:p w:rsidR="00EA76D9" w:rsidRPr="00E02513" w:rsidRDefault="00F9134B" w:rsidP="00E02513">
      <w:pPr>
        <w:spacing w:after="0" w:line="480" w:lineRule="auto"/>
        <w:ind w:left="720" w:hanging="720"/>
        <w:rPr>
          <w:rFonts w:asciiTheme="minorHAnsi" w:hAnsiTheme="minorHAnsi" w:cstheme="minorHAnsi"/>
          <w:noProof/>
          <w:sz w:val="24"/>
          <w:szCs w:val="24"/>
        </w:rPr>
      </w:pPr>
      <w:r w:rsidRPr="00E02513">
        <w:rPr>
          <w:rFonts w:asciiTheme="minorHAnsi" w:hAnsiTheme="minorHAnsi" w:cstheme="minorHAnsi"/>
          <w:sz w:val="24"/>
          <w:szCs w:val="24"/>
        </w:rPr>
        <w:fldChar w:fldCharType="begin"/>
      </w:r>
      <w:r w:rsidR="00AF0936" w:rsidRPr="00E02513">
        <w:rPr>
          <w:rFonts w:asciiTheme="minorHAnsi" w:hAnsiTheme="minorHAnsi" w:cstheme="minorHAnsi"/>
          <w:sz w:val="24"/>
          <w:szCs w:val="24"/>
        </w:rPr>
        <w:instrText xml:space="preserve"> ADDIN EN.REFLIST </w:instrText>
      </w:r>
      <w:r w:rsidRPr="00E02513">
        <w:rPr>
          <w:rFonts w:asciiTheme="minorHAnsi" w:hAnsiTheme="minorHAnsi" w:cstheme="minorHAnsi"/>
          <w:sz w:val="24"/>
          <w:szCs w:val="24"/>
        </w:rPr>
        <w:fldChar w:fldCharType="separate"/>
      </w:r>
      <w:bookmarkStart w:id="1" w:name="_ENREF_1"/>
      <w:r w:rsidR="00EA76D9" w:rsidRPr="00E02513">
        <w:rPr>
          <w:rFonts w:asciiTheme="minorHAnsi" w:hAnsiTheme="minorHAnsi" w:cstheme="minorHAnsi"/>
          <w:noProof/>
          <w:sz w:val="24"/>
          <w:szCs w:val="24"/>
        </w:rPr>
        <w:t>1.</w:t>
      </w:r>
      <w:r w:rsidR="00EA76D9" w:rsidRPr="00E02513">
        <w:rPr>
          <w:rFonts w:asciiTheme="minorHAnsi" w:hAnsiTheme="minorHAnsi" w:cstheme="minorHAnsi"/>
          <w:noProof/>
          <w:sz w:val="24"/>
          <w:szCs w:val="24"/>
        </w:rPr>
        <w:tab/>
        <w:t xml:space="preserve">Modi WS: </w:t>
      </w:r>
      <w:r w:rsidR="00EA76D9" w:rsidRPr="00E02513">
        <w:rPr>
          <w:rFonts w:asciiTheme="minorHAnsi" w:hAnsiTheme="minorHAnsi" w:cstheme="minorHAnsi"/>
          <w:b/>
          <w:noProof/>
          <w:sz w:val="24"/>
          <w:szCs w:val="24"/>
        </w:rPr>
        <w:t>CCL3L1 and CCL4L1 chemokine genes are located in a segmental duplication at chromosome 17q12</w:t>
      </w:r>
      <w:r w:rsidR="00EA76D9" w:rsidRPr="00E02513">
        <w:rPr>
          <w:rFonts w:asciiTheme="minorHAnsi" w:hAnsiTheme="minorHAnsi" w:cstheme="minorHAnsi"/>
          <w:noProof/>
          <w:sz w:val="24"/>
          <w:szCs w:val="24"/>
        </w:rPr>
        <w:t xml:space="preserve">. </w:t>
      </w:r>
      <w:r w:rsidR="00EA76D9" w:rsidRPr="00E02513">
        <w:rPr>
          <w:rFonts w:asciiTheme="minorHAnsi" w:hAnsiTheme="minorHAnsi" w:cstheme="minorHAnsi"/>
          <w:i/>
          <w:noProof/>
          <w:sz w:val="24"/>
          <w:szCs w:val="24"/>
        </w:rPr>
        <w:t xml:space="preserve">Genomics </w:t>
      </w:r>
      <w:r w:rsidR="00EA76D9" w:rsidRPr="00E02513">
        <w:rPr>
          <w:rFonts w:asciiTheme="minorHAnsi" w:hAnsiTheme="minorHAnsi" w:cstheme="minorHAnsi"/>
          <w:noProof/>
          <w:sz w:val="24"/>
          <w:szCs w:val="24"/>
        </w:rPr>
        <w:t xml:space="preserve">2004, </w:t>
      </w:r>
      <w:r w:rsidR="00EA76D9" w:rsidRPr="00E02513">
        <w:rPr>
          <w:rFonts w:asciiTheme="minorHAnsi" w:hAnsiTheme="minorHAnsi" w:cstheme="minorHAnsi"/>
          <w:b/>
          <w:noProof/>
          <w:sz w:val="24"/>
          <w:szCs w:val="24"/>
        </w:rPr>
        <w:t>83</w:t>
      </w:r>
      <w:r w:rsidR="00EA76D9" w:rsidRPr="00E02513">
        <w:rPr>
          <w:rFonts w:asciiTheme="minorHAnsi" w:hAnsiTheme="minorHAnsi" w:cstheme="minorHAnsi"/>
          <w:noProof/>
          <w:sz w:val="24"/>
          <w:szCs w:val="24"/>
        </w:rPr>
        <w:t>(4):735-738.</w:t>
      </w:r>
      <w:bookmarkEnd w:id="1"/>
    </w:p>
    <w:p w:rsidR="00EA76D9" w:rsidRPr="00E02513" w:rsidRDefault="00EA76D9" w:rsidP="00E02513">
      <w:pPr>
        <w:spacing w:after="0" w:line="480" w:lineRule="auto"/>
        <w:ind w:left="720" w:hanging="720"/>
        <w:rPr>
          <w:rFonts w:asciiTheme="minorHAnsi" w:hAnsiTheme="minorHAnsi" w:cstheme="minorHAnsi"/>
          <w:noProof/>
          <w:sz w:val="24"/>
          <w:szCs w:val="24"/>
        </w:rPr>
      </w:pPr>
      <w:bookmarkStart w:id="2" w:name="_ENREF_2"/>
      <w:r w:rsidRPr="00E02513">
        <w:rPr>
          <w:rFonts w:asciiTheme="minorHAnsi" w:hAnsiTheme="minorHAnsi" w:cstheme="minorHAnsi"/>
          <w:noProof/>
          <w:sz w:val="24"/>
          <w:szCs w:val="24"/>
        </w:rPr>
        <w:t>2.</w:t>
      </w:r>
      <w:r w:rsidRPr="00E02513">
        <w:rPr>
          <w:rFonts w:asciiTheme="minorHAnsi" w:hAnsiTheme="minorHAnsi" w:cstheme="minorHAnsi"/>
          <w:noProof/>
          <w:sz w:val="24"/>
          <w:szCs w:val="24"/>
        </w:rPr>
        <w:tab/>
        <w:t xml:space="preserve">Kent WJ, Sugnet CW, Furey TS, Roskin KM, Pringle TH, Zahler AM, Haussler D: </w:t>
      </w:r>
      <w:r w:rsidRPr="00E02513">
        <w:rPr>
          <w:rFonts w:asciiTheme="minorHAnsi" w:hAnsiTheme="minorHAnsi" w:cstheme="minorHAnsi"/>
          <w:b/>
          <w:noProof/>
          <w:sz w:val="24"/>
          <w:szCs w:val="24"/>
        </w:rPr>
        <w:t>The human genome browser at UCSC</w:t>
      </w:r>
      <w:r w:rsidRPr="00E02513">
        <w:rPr>
          <w:rFonts w:asciiTheme="minorHAnsi" w:hAnsiTheme="minorHAnsi" w:cstheme="minorHAnsi"/>
          <w:noProof/>
          <w:sz w:val="24"/>
          <w:szCs w:val="24"/>
        </w:rPr>
        <w:t xml:space="preserve">. </w:t>
      </w:r>
      <w:r w:rsidRPr="00E02513">
        <w:rPr>
          <w:rFonts w:asciiTheme="minorHAnsi" w:hAnsiTheme="minorHAnsi" w:cstheme="minorHAnsi"/>
          <w:i/>
          <w:noProof/>
          <w:sz w:val="24"/>
          <w:szCs w:val="24"/>
        </w:rPr>
        <w:t xml:space="preserve">Genome Res </w:t>
      </w:r>
      <w:r w:rsidRPr="00E02513">
        <w:rPr>
          <w:rFonts w:asciiTheme="minorHAnsi" w:hAnsiTheme="minorHAnsi" w:cstheme="minorHAnsi"/>
          <w:noProof/>
          <w:sz w:val="24"/>
          <w:szCs w:val="24"/>
        </w:rPr>
        <w:t xml:space="preserve">2002, </w:t>
      </w:r>
      <w:r w:rsidRPr="00E02513">
        <w:rPr>
          <w:rFonts w:asciiTheme="minorHAnsi" w:hAnsiTheme="minorHAnsi" w:cstheme="minorHAnsi"/>
          <w:b/>
          <w:noProof/>
          <w:sz w:val="24"/>
          <w:szCs w:val="24"/>
        </w:rPr>
        <w:t>12</w:t>
      </w:r>
      <w:r w:rsidRPr="00E02513">
        <w:rPr>
          <w:rFonts w:asciiTheme="minorHAnsi" w:hAnsiTheme="minorHAnsi" w:cstheme="minorHAnsi"/>
          <w:noProof/>
          <w:sz w:val="24"/>
          <w:szCs w:val="24"/>
        </w:rPr>
        <w:t>:996 - 1006.</w:t>
      </w:r>
      <w:bookmarkEnd w:id="2"/>
    </w:p>
    <w:p w:rsidR="00EA76D9" w:rsidRPr="00E02513" w:rsidRDefault="00EA76D9" w:rsidP="00E02513">
      <w:pPr>
        <w:spacing w:after="0" w:line="480" w:lineRule="auto"/>
        <w:ind w:left="720" w:hanging="720"/>
        <w:rPr>
          <w:rFonts w:asciiTheme="minorHAnsi" w:hAnsiTheme="minorHAnsi" w:cstheme="minorHAnsi"/>
          <w:noProof/>
          <w:sz w:val="24"/>
          <w:szCs w:val="24"/>
        </w:rPr>
      </w:pPr>
      <w:bookmarkStart w:id="3" w:name="_ENREF_3"/>
      <w:r w:rsidRPr="00E02513">
        <w:rPr>
          <w:rFonts w:asciiTheme="minorHAnsi" w:hAnsiTheme="minorHAnsi" w:cstheme="minorHAnsi"/>
          <w:noProof/>
          <w:sz w:val="24"/>
          <w:szCs w:val="24"/>
        </w:rPr>
        <w:t>3.</w:t>
      </w:r>
      <w:r w:rsidRPr="00E02513">
        <w:rPr>
          <w:rFonts w:asciiTheme="minorHAnsi" w:hAnsiTheme="minorHAnsi" w:cstheme="minorHAnsi"/>
          <w:noProof/>
          <w:sz w:val="24"/>
          <w:szCs w:val="24"/>
        </w:rPr>
        <w:tab/>
        <w:t xml:space="preserve">Walker S, Janyakhantikul S, Armour JAL: </w:t>
      </w:r>
      <w:r w:rsidRPr="00E02513">
        <w:rPr>
          <w:rFonts w:asciiTheme="minorHAnsi" w:hAnsiTheme="minorHAnsi" w:cstheme="minorHAnsi"/>
          <w:b/>
          <w:noProof/>
          <w:sz w:val="24"/>
          <w:szCs w:val="24"/>
        </w:rPr>
        <w:t>Multiplex Paralogue Ratio Tests for accurate measurement of multiallelic CNVs</w:t>
      </w:r>
      <w:r w:rsidRPr="00E02513">
        <w:rPr>
          <w:rFonts w:asciiTheme="minorHAnsi" w:hAnsiTheme="minorHAnsi" w:cstheme="minorHAnsi"/>
          <w:noProof/>
          <w:sz w:val="24"/>
          <w:szCs w:val="24"/>
        </w:rPr>
        <w:t xml:space="preserve">. </w:t>
      </w:r>
      <w:r w:rsidRPr="00E02513">
        <w:rPr>
          <w:rFonts w:asciiTheme="minorHAnsi" w:hAnsiTheme="minorHAnsi" w:cstheme="minorHAnsi"/>
          <w:i/>
          <w:noProof/>
          <w:sz w:val="24"/>
          <w:szCs w:val="24"/>
        </w:rPr>
        <w:t xml:space="preserve">Genomics </w:t>
      </w:r>
      <w:r w:rsidRPr="00E02513">
        <w:rPr>
          <w:rFonts w:asciiTheme="minorHAnsi" w:hAnsiTheme="minorHAnsi" w:cstheme="minorHAnsi"/>
          <w:noProof/>
          <w:sz w:val="24"/>
          <w:szCs w:val="24"/>
        </w:rPr>
        <w:t xml:space="preserve">2009, </w:t>
      </w:r>
      <w:r w:rsidRPr="00E02513">
        <w:rPr>
          <w:rFonts w:asciiTheme="minorHAnsi" w:hAnsiTheme="minorHAnsi" w:cstheme="minorHAnsi"/>
          <w:b/>
          <w:noProof/>
          <w:sz w:val="24"/>
          <w:szCs w:val="24"/>
        </w:rPr>
        <w:t>93</w:t>
      </w:r>
      <w:r w:rsidRPr="00E02513">
        <w:rPr>
          <w:rFonts w:asciiTheme="minorHAnsi" w:hAnsiTheme="minorHAnsi" w:cstheme="minorHAnsi"/>
          <w:noProof/>
          <w:sz w:val="24"/>
          <w:szCs w:val="24"/>
        </w:rPr>
        <w:t>(1):98-103.</w:t>
      </w:r>
      <w:bookmarkEnd w:id="3"/>
    </w:p>
    <w:p w:rsidR="00EA76D9" w:rsidRPr="00E02513" w:rsidRDefault="00EA76D9" w:rsidP="00E02513">
      <w:pPr>
        <w:spacing w:after="0" w:line="480" w:lineRule="auto"/>
        <w:ind w:left="720" w:hanging="720"/>
        <w:rPr>
          <w:rFonts w:asciiTheme="minorHAnsi" w:hAnsiTheme="minorHAnsi" w:cstheme="minorHAnsi"/>
          <w:noProof/>
          <w:sz w:val="24"/>
          <w:szCs w:val="24"/>
        </w:rPr>
      </w:pPr>
      <w:bookmarkStart w:id="4" w:name="_ENREF_4"/>
      <w:r w:rsidRPr="00E02513">
        <w:rPr>
          <w:rFonts w:asciiTheme="minorHAnsi" w:hAnsiTheme="minorHAnsi" w:cstheme="minorHAnsi"/>
          <w:noProof/>
          <w:sz w:val="24"/>
          <w:szCs w:val="24"/>
        </w:rPr>
        <w:t>4.</w:t>
      </w:r>
      <w:r w:rsidRPr="00E02513">
        <w:rPr>
          <w:rFonts w:asciiTheme="minorHAnsi" w:hAnsiTheme="minorHAnsi" w:cstheme="minorHAnsi"/>
          <w:noProof/>
          <w:sz w:val="24"/>
          <w:szCs w:val="24"/>
        </w:rPr>
        <w:tab/>
        <w:t xml:space="preserve">Turner DJ, Hurles ME: </w:t>
      </w:r>
      <w:r w:rsidRPr="00E02513">
        <w:rPr>
          <w:rFonts w:asciiTheme="minorHAnsi" w:hAnsiTheme="minorHAnsi" w:cstheme="minorHAnsi"/>
          <w:b/>
          <w:noProof/>
          <w:sz w:val="24"/>
          <w:szCs w:val="24"/>
        </w:rPr>
        <w:t>High-throughput haplotype determination over long distances by haplotype fusion PCR and ligation haplotyping</w:t>
      </w:r>
      <w:r w:rsidRPr="00E02513">
        <w:rPr>
          <w:rFonts w:asciiTheme="minorHAnsi" w:hAnsiTheme="minorHAnsi" w:cstheme="minorHAnsi"/>
          <w:noProof/>
          <w:sz w:val="24"/>
          <w:szCs w:val="24"/>
        </w:rPr>
        <w:t xml:space="preserve">. </w:t>
      </w:r>
      <w:r w:rsidRPr="00E02513">
        <w:rPr>
          <w:rFonts w:asciiTheme="minorHAnsi" w:hAnsiTheme="minorHAnsi" w:cstheme="minorHAnsi"/>
          <w:i/>
          <w:noProof/>
          <w:sz w:val="24"/>
          <w:szCs w:val="24"/>
        </w:rPr>
        <w:t xml:space="preserve">Nat Protocols </w:t>
      </w:r>
      <w:r w:rsidRPr="00E02513">
        <w:rPr>
          <w:rFonts w:asciiTheme="minorHAnsi" w:hAnsiTheme="minorHAnsi" w:cstheme="minorHAnsi"/>
          <w:noProof/>
          <w:sz w:val="24"/>
          <w:szCs w:val="24"/>
        </w:rPr>
        <w:t xml:space="preserve">2009, </w:t>
      </w:r>
      <w:r w:rsidRPr="00E02513">
        <w:rPr>
          <w:rFonts w:asciiTheme="minorHAnsi" w:hAnsiTheme="minorHAnsi" w:cstheme="minorHAnsi"/>
          <w:b/>
          <w:noProof/>
          <w:sz w:val="24"/>
          <w:szCs w:val="24"/>
        </w:rPr>
        <w:t>4</w:t>
      </w:r>
      <w:r w:rsidRPr="00E02513">
        <w:rPr>
          <w:rFonts w:asciiTheme="minorHAnsi" w:hAnsiTheme="minorHAnsi" w:cstheme="minorHAnsi"/>
          <w:noProof/>
          <w:sz w:val="24"/>
          <w:szCs w:val="24"/>
        </w:rPr>
        <w:t>(12):1771-1783.</w:t>
      </w:r>
      <w:bookmarkEnd w:id="4"/>
    </w:p>
    <w:p w:rsidR="00EA76D9" w:rsidRPr="00E02513" w:rsidRDefault="00EA76D9" w:rsidP="00E02513">
      <w:pPr>
        <w:spacing w:line="480" w:lineRule="auto"/>
        <w:ind w:left="720" w:hanging="720"/>
        <w:rPr>
          <w:rFonts w:asciiTheme="minorHAnsi" w:hAnsiTheme="minorHAnsi" w:cstheme="minorHAnsi"/>
          <w:noProof/>
          <w:sz w:val="24"/>
          <w:szCs w:val="24"/>
        </w:rPr>
      </w:pPr>
      <w:bookmarkStart w:id="5" w:name="_ENREF_5"/>
      <w:r w:rsidRPr="00E02513">
        <w:rPr>
          <w:rFonts w:asciiTheme="minorHAnsi" w:hAnsiTheme="minorHAnsi" w:cstheme="minorHAnsi"/>
          <w:noProof/>
          <w:sz w:val="24"/>
          <w:szCs w:val="24"/>
        </w:rPr>
        <w:t>5.</w:t>
      </w:r>
      <w:r w:rsidRPr="00E02513">
        <w:rPr>
          <w:rFonts w:asciiTheme="minorHAnsi" w:hAnsiTheme="minorHAnsi" w:cstheme="minorHAnsi"/>
          <w:noProof/>
          <w:sz w:val="24"/>
          <w:szCs w:val="24"/>
        </w:rPr>
        <w:tab/>
        <w:t xml:space="preserve">Wetmur JG, Kumar M, Zhang L, Palomeque C, Wallenstein S, Chen J: </w:t>
      </w:r>
      <w:r w:rsidRPr="00E02513">
        <w:rPr>
          <w:rFonts w:asciiTheme="minorHAnsi" w:hAnsiTheme="minorHAnsi" w:cstheme="minorHAnsi"/>
          <w:b/>
          <w:noProof/>
          <w:sz w:val="24"/>
          <w:szCs w:val="24"/>
        </w:rPr>
        <w:t>Molecular haplotyping by linking emulsion PCR: analysis of paraoxonase 1 haplotypes and phenotypes</w:t>
      </w:r>
      <w:r w:rsidRPr="00E02513">
        <w:rPr>
          <w:rFonts w:asciiTheme="minorHAnsi" w:hAnsiTheme="minorHAnsi" w:cstheme="minorHAnsi"/>
          <w:noProof/>
          <w:sz w:val="24"/>
          <w:szCs w:val="24"/>
        </w:rPr>
        <w:t xml:space="preserve">. </w:t>
      </w:r>
      <w:r w:rsidRPr="00E02513">
        <w:rPr>
          <w:rFonts w:asciiTheme="minorHAnsi" w:hAnsiTheme="minorHAnsi" w:cstheme="minorHAnsi"/>
          <w:i/>
          <w:noProof/>
          <w:sz w:val="24"/>
          <w:szCs w:val="24"/>
        </w:rPr>
        <w:t xml:space="preserve">Nucleic Acids Res </w:t>
      </w:r>
      <w:r w:rsidRPr="00E02513">
        <w:rPr>
          <w:rFonts w:asciiTheme="minorHAnsi" w:hAnsiTheme="minorHAnsi" w:cstheme="minorHAnsi"/>
          <w:noProof/>
          <w:sz w:val="24"/>
          <w:szCs w:val="24"/>
        </w:rPr>
        <w:t xml:space="preserve">2005, </w:t>
      </w:r>
      <w:r w:rsidRPr="00E02513">
        <w:rPr>
          <w:rFonts w:asciiTheme="minorHAnsi" w:hAnsiTheme="minorHAnsi" w:cstheme="minorHAnsi"/>
          <w:b/>
          <w:noProof/>
          <w:sz w:val="24"/>
          <w:szCs w:val="24"/>
        </w:rPr>
        <w:t>33</w:t>
      </w:r>
      <w:r w:rsidRPr="00E02513">
        <w:rPr>
          <w:rFonts w:asciiTheme="minorHAnsi" w:hAnsiTheme="minorHAnsi" w:cstheme="minorHAnsi"/>
          <w:noProof/>
          <w:sz w:val="24"/>
          <w:szCs w:val="24"/>
        </w:rPr>
        <w:t>(8):2615-2619.</w:t>
      </w:r>
      <w:bookmarkEnd w:id="5"/>
    </w:p>
    <w:p w:rsidR="00E02513" w:rsidRPr="00E02513" w:rsidRDefault="00E02513" w:rsidP="00E02513">
      <w:pPr>
        <w:spacing w:line="480" w:lineRule="auto"/>
        <w:rPr>
          <w:rFonts w:asciiTheme="minorHAnsi" w:hAnsiTheme="minorHAnsi" w:cstheme="minorHAnsi"/>
          <w:b/>
          <w:sz w:val="24"/>
          <w:szCs w:val="24"/>
        </w:rPr>
      </w:pPr>
      <w:r w:rsidRPr="00E02513">
        <w:rPr>
          <w:rFonts w:asciiTheme="minorHAnsi" w:hAnsiTheme="minorHAnsi" w:cstheme="minorHAnsi"/>
          <w:b/>
          <w:sz w:val="24"/>
          <w:szCs w:val="24"/>
        </w:rPr>
        <w:br w:type="page"/>
      </w:r>
    </w:p>
    <w:p w:rsidR="00E02513" w:rsidRPr="00E02513" w:rsidRDefault="00E02513" w:rsidP="00E02513">
      <w:pPr>
        <w:spacing w:after="0" w:line="480" w:lineRule="auto"/>
        <w:rPr>
          <w:rFonts w:asciiTheme="minorHAnsi" w:hAnsiTheme="minorHAnsi" w:cstheme="minorHAnsi"/>
          <w:b/>
          <w:sz w:val="24"/>
          <w:szCs w:val="24"/>
        </w:rPr>
      </w:pPr>
      <w:r w:rsidRPr="00E02513">
        <w:rPr>
          <w:rFonts w:asciiTheme="minorHAnsi" w:hAnsiTheme="minorHAnsi" w:cstheme="minorHAnsi"/>
          <w:b/>
          <w:sz w:val="24"/>
          <w:szCs w:val="24"/>
        </w:rPr>
        <w:lastRenderedPageBreak/>
        <w:t>Figure legends for additional figures</w:t>
      </w:r>
    </w:p>
    <w:p w:rsidR="00E02513" w:rsidRPr="00E02513" w:rsidRDefault="00E02513" w:rsidP="00E02513">
      <w:pPr>
        <w:spacing w:after="0" w:line="480" w:lineRule="auto"/>
        <w:rPr>
          <w:rFonts w:asciiTheme="minorHAnsi" w:hAnsiTheme="minorHAnsi" w:cstheme="minorHAnsi"/>
          <w:sz w:val="24"/>
          <w:szCs w:val="24"/>
        </w:rPr>
      </w:pPr>
    </w:p>
    <w:p w:rsidR="00E02513" w:rsidRPr="00E02513" w:rsidRDefault="00E02513" w:rsidP="00E02513">
      <w:pPr>
        <w:spacing w:after="0" w:line="480" w:lineRule="auto"/>
        <w:rPr>
          <w:rFonts w:asciiTheme="minorHAnsi" w:hAnsiTheme="minorHAnsi" w:cstheme="minorHAnsi"/>
          <w:b/>
          <w:sz w:val="24"/>
          <w:szCs w:val="24"/>
        </w:rPr>
      </w:pPr>
      <w:r w:rsidRPr="00E02513">
        <w:rPr>
          <w:rFonts w:asciiTheme="minorHAnsi" w:hAnsiTheme="minorHAnsi" w:cstheme="minorHAnsi"/>
          <w:b/>
          <w:sz w:val="24"/>
          <w:szCs w:val="24"/>
        </w:rPr>
        <w:t>Additional figure 1.</w:t>
      </w:r>
    </w:p>
    <w:p w:rsidR="00E02513" w:rsidRPr="00E02513" w:rsidRDefault="00E02513" w:rsidP="00E02513">
      <w:pPr>
        <w:spacing w:after="0" w:line="480" w:lineRule="auto"/>
        <w:rPr>
          <w:rFonts w:asciiTheme="minorHAnsi" w:hAnsiTheme="minorHAnsi" w:cstheme="minorHAnsi"/>
          <w:sz w:val="24"/>
          <w:szCs w:val="24"/>
        </w:rPr>
      </w:pPr>
      <w:r w:rsidRPr="00E02513">
        <w:rPr>
          <w:rFonts w:asciiTheme="minorHAnsi" w:hAnsiTheme="minorHAnsi" w:cstheme="minorHAnsi"/>
          <w:sz w:val="24"/>
          <w:szCs w:val="24"/>
        </w:rPr>
        <w:t xml:space="preserve">Schematic diagram of the </w:t>
      </w:r>
      <w:r w:rsidRPr="00E02513">
        <w:rPr>
          <w:rFonts w:asciiTheme="minorHAnsi" w:hAnsiTheme="minorHAnsi" w:cstheme="minorHAnsi"/>
          <w:i/>
          <w:sz w:val="24"/>
          <w:szCs w:val="24"/>
        </w:rPr>
        <w:t>CCL3L1</w:t>
      </w:r>
      <w:r w:rsidRPr="00E02513">
        <w:rPr>
          <w:rFonts w:asciiTheme="minorHAnsi" w:hAnsiTheme="minorHAnsi" w:cstheme="minorHAnsi"/>
          <w:sz w:val="24"/>
          <w:szCs w:val="24"/>
        </w:rPr>
        <w:t>/</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locus PCR products, sequence variants, primers and haplotypes to illustrate the emulsion haplotype fusion procedure. Panel A shows the position, physical distances and sizes of the genes</w:t>
      </w:r>
      <w:r w:rsidRPr="00E02513">
        <w:rPr>
          <w:rFonts w:asciiTheme="minorHAnsi" w:hAnsiTheme="minorHAnsi" w:cstheme="minorHAnsi"/>
          <w:i/>
          <w:sz w:val="24"/>
          <w:szCs w:val="24"/>
        </w:rPr>
        <w:t xml:space="preserve"> CCL3L1</w:t>
      </w:r>
      <w:r w:rsidRPr="00E02513">
        <w:rPr>
          <w:rFonts w:asciiTheme="minorHAnsi" w:hAnsiTheme="minorHAnsi" w:cstheme="minorHAnsi"/>
          <w:sz w:val="24"/>
          <w:szCs w:val="24"/>
        </w:rPr>
        <w:t xml:space="preserve"> and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and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positions are denoted as chromosome 17:31647956-31649843 and chromosome 17:31664147-31665959 respectively on the UCSC Human Genome browser, March 2006 assembly </w:t>
      </w:r>
      <w:r w:rsidRPr="00E02513">
        <w:rPr>
          <w:rFonts w:asciiTheme="minorHAnsi" w:hAnsiTheme="minorHAnsi" w:cstheme="minorHAnsi"/>
          <w:sz w:val="24"/>
          <w:szCs w:val="24"/>
        </w:rPr>
        <w:fldChar w:fldCharType="begin"/>
      </w:r>
      <w:r w:rsidRPr="00E02513">
        <w:rPr>
          <w:rFonts w:asciiTheme="minorHAnsi" w:hAnsiTheme="minorHAnsi" w:cstheme="minorHAnsi"/>
          <w:sz w:val="24"/>
          <w:szCs w:val="24"/>
        </w:rPr>
        <w:instrText xml:space="preserve"> ADDIN EN.CITE &lt;EndNote&gt;&lt;Cite&gt;&lt;Author&gt;Kent&lt;/Author&gt;&lt;Year&gt;2002&lt;/Year&gt;&lt;RecNum&gt;29&lt;/RecNum&gt;&lt;DisplayText&gt;[2]&lt;/DisplayText&gt;&lt;record&gt;&lt;rec-number&gt;29&lt;/rec-number&gt;&lt;foreign-keys&gt;&lt;key app="EN" db-id="ftx9v9s96fwx0mepf29pxspfarw950zxwzvv"&gt;29&lt;/key&gt;&lt;/foreign-keys&gt;&lt;ref-type name="Journal Article"&gt;17&lt;/ref-type&gt;&lt;contributors&gt;&lt;authors&gt;&lt;author&gt;Kent, W.J.&lt;/author&gt;&lt;author&gt;Sugnet, C.W.&lt;/author&gt;&lt;author&gt;Furey, T.S.&lt;/author&gt;&lt;author&gt;Roskin, K.M.&lt;/author&gt;&lt;author&gt;Pringle, T.H.&lt;/author&gt;&lt;author&gt;Zahler, A.M.&lt;/author&gt;&lt;author&gt;Haussler, D.&lt;/author&gt;&lt;/authors&gt;&lt;/contributors&gt;&lt;titles&gt;&lt;title&gt;The human genome browser at UCSC&lt;/title&gt;&lt;secondary-title&gt;Genome Res.&lt;/secondary-title&gt;&lt;alt-title&gt;Genome Res&lt;/alt-title&gt;&lt;/titles&gt;&lt;periodical&gt;&lt;abbr-1&gt;Genome Res.&lt;/abbr-1&gt;&lt;/periodical&gt;&lt;alt-periodical&gt;&lt;full-title&gt;Genome Res&lt;/full-title&gt;&lt;abbr-1&gt;Genome Res&lt;/abbr-1&gt;&lt;/alt-periodical&gt;&lt;pages&gt;996 - 1006&lt;/pages&gt;&lt;volume&gt;12&lt;/volume&gt;&lt;dates&gt;&lt;year&gt;2002&lt;/year&gt;&lt;/dates&gt;&lt;urls&gt;&lt;/urls&gt;&lt;/record&gt;&lt;/Cite&gt;&lt;/EndNote&gt;</w:instrText>
      </w:r>
      <w:r w:rsidRPr="00E02513">
        <w:rPr>
          <w:rFonts w:asciiTheme="minorHAnsi" w:hAnsiTheme="minorHAnsi" w:cstheme="minorHAnsi"/>
          <w:sz w:val="24"/>
          <w:szCs w:val="24"/>
        </w:rPr>
        <w:fldChar w:fldCharType="separate"/>
      </w:r>
      <w:r w:rsidRPr="00E02513">
        <w:rPr>
          <w:rFonts w:asciiTheme="minorHAnsi" w:hAnsiTheme="minorHAnsi" w:cstheme="minorHAnsi"/>
          <w:noProof/>
          <w:sz w:val="24"/>
          <w:szCs w:val="24"/>
        </w:rPr>
        <w:t>[</w:t>
      </w:r>
      <w:hyperlink w:anchor="_ENREF_2" w:tooltip="Kent, 2002 #29" w:history="1">
        <w:r w:rsidRPr="00E02513">
          <w:rPr>
            <w:rFonts w:asciiTheme="minorHAnsi" w:hAnsiTheme="minorHAnsi" w:cstheme="minorHAnsi"/>
            <w:noProof/>
            <w:sz w:val="24"/>
            <w:szCs w:val="24"/>
          </w:rPr>
          <w:t>2</w:t>
        </w:r>
      </w:hyperlink>
      <w:r w:rsidRPr="00E02513">
        <w:rPr>
          <w:rFonts w:asciiTheme="minorHAnsi" w:hAnsiTheme="minorHAnsi" w:cstheme="minorHAnsi"/>
          <w:noProof/>
          <w:sz w:val="24"/>
          <w:szCs w:val="24"/>
        </w:rPr>
        <w:t>]</w:t>
      </w:r>
      <w:r w:rsidRPr="00E02513">
        <w:rPr>
          <w:rFonts w:asciiTheme="minorHAnsi" w:hAnsiTheme="minorHAnsi" w:cstheme="minorHAnsi"/>
          <w:sz w:val="24"/>
          <w:szCs w:val="24"/>
        </w:rPr>
        <w:fldChar w:fldCharType="end"/>
      </w:r>
      <w:r w:rsidRPr="00E02513">
        <w:rPr>
          <w:rFonts w:asciiTheme="minorHAnsi" w:hAnsiTheme="minorHAnsi" w:cstheme="minorHAnsi"/>
          <w:sz w:val="24"/>
          <w:szCs w:val="24"/>
        </w:rPr>
        <w:t xml:space="preserve">. The arrangement of primers used in the first round of emulsion haplotype fusion PCR and informative sequence variants present in the two-copy individual NA12812 are also illustrated.  Whilst local phase of variants within each 1kb amplicon can be determined by allele-specific PCR, the phase of variants in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with those in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16kb away is unknown. The agarose gel in panel B illustrates the 1740bp fused PCR product amplified using nested primers F1N and R2N in the second round of PCR (see supplementary table 2). HapMap CEU samples are denoted with the prefix NA. Lane 2 is control DNA ECACC C0034. NA10846 is a </w:t>
      </w:r>
      <w:r w:rsidRPr="00E02513">
        <w:rPr>
          <w:rFonts w:asciiTheme="minorHAnsi" w:hAnsiTheme="minorHAnsi" w:cstheme="minorHAnsi"/>
          <w:i/>
          <w:sz w:val="24"/>
          <w:szCs w:val="24"/>
        </w:rPr>
        <w:t>CCL3L1</w:t>
      </w:r>
      <w:r w:rsidRPr="00E02513">
        <w:rPr>
          <w:rFonts w:asciiTheme="minorHAnsi" w:hAnsiTheme="minorHAnsi" w:cstheme="minorHAnsi"/>
          <w:sz w:val="24"/>
          <w:szCs w:val="24"/>
        </w:rPr>
        <w:t>/</w:t>
      </w:r>
      <w:r w:rsidRPr="00E02513">
        <w:rPr>
          <w:rFonts w:asciiTheme="minorHAnsi" w:hAnsiTheme="minorHAnsi" w:cstheme="minorHAnsi"/>
          <w:i/>
          <w:sz w:val="24"/>
          <w:szCs w:val="24"/>
        </w:rPr>
        <w:t xml:space="preserve">CCL4L1 </w:t>
      </w:r>
      <w:r w:rsidRPr="00E02513">
        <w:rPr>
          <w:rFonts w:asciiTheme="minorHAnsi" w:hAnsiTheme="minorHAnsi" w:cstheme="minorHAnsi"/>
          <w:sz w:val="24"/>
          <w:szCs w:val="24"/>
        </w:rPr>
        <w:t>zero-copy individual. 1</w:t>
      </w:r>
      <w:r w:rsidRPr="00E02513">
        <w:rPr>
          <w:rFonts w:asciiTheme="minorHAnsi" w:hAnsiTheme="minorHAnsi" w:cstheme="minorHAnsi"/>
          <w:sz w:val="24"/>
          <w:szCs w:val="24"/>
          <w:vertAlign w:val="superscript"/>
        </w:rPr>
        <w:t>o</w:t>
      </w:r>
      <w:r w:rsidRPr="00E02513">
        <w:rPr>
          <w:rFonts w:asciiTheme="minorHAnsi" w:hAnsiTheme="minorHAnsi" w:cstheme="minorHAnsi"/>
          <w:sz w:val="24"/>
          <w:szCs w:val="24"/>
        </w:rPr>
        <w:t xml:space="preserve"> PCR blank comprises an emulsion PCR mix with no DNA in the first round of PCR amplified in the first round of PCR, extracted and subsequently re-amplified in the second round of PCR. NCE is a non-cycle emulsion control (see Haplotype fusion PCR section of the materials and methods for details) and 2</w:t>
      </w:r>
      <w:r w:rsidRPr="00E02513">
        <w:rPr>
          <w:rFonts w:asciiTheme="minorHAnsi" w:hAnsiTheme="minorHAnsi" w:cstheme="minorHAnsi"/>
          <w:sz w:val="24"/>
          <w:szCs w:val="24"/>
          <w:vertAlign w:val="superscript"/>
        </w:rPr>
        <w:t>o</w:t>
      </w:r>
      <w:r w:rsidRPr="00E02513">
        <w:rPr>
          <w:rFonts w:asciiTheme="minorHAnsi" w:hAnsiTheme="minorHAnsi" w:cstheme="minorHAnsi"/>
          <w:sz w:val="24"/>
          <w:szCs w:val="24"/>
        </w:rPr>
        <w:t xml:space="preserve"> PCR blank is a no-DNA control for the second stage of PCR. Panel C shows non-discriminatory and allele-specific sequencing of the fused PCR product. Sequencing with a non-discriminatory primer 2086R (panel i) reveals a heterozygous position at rs1804185 in this 2-copy individual. Sequencing with ASPCR2086R-T demonstrates that T at position rs2277660 in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is on the same haplotype as C at rs1804185 in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(panel ii). </w:t>
      </w:r>
      <w:r w:rsidRPr="00E02513">
        <w:rPr>
          <w:rFonts w:asciiTheme="minorHAnsi" w:hAnsiTheme="minorHAnsi" w:cstheme="minorHAnsi"/>
          <w:sz w:val="24"/>
          <w:szCs w:val="24"/>
        </w:rPr>
        <w:lastRenderedPageBreak/>
        <w:t xml:space="preserve">Sequencing with ASPCR2086R-G demonstrates that G at position rs2277660 in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is on the same haplotype as T at rs1804185 in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(panel iii). Variant bases are shown boxed. The two haplotypes for NA12812 are shown in panel D.</w:t>
      </w:r>
    </w:p>
    <w:p w:rsidR="00E02513" w:rsidRPr="00E02513" w:rsidRDefault="00E02513" w:rsidP="00E02513">
      <w:pPr>
        <w:spacing w:after="0" w:line="480" w:lineRule="auto"/>
        <w:rPr>
          <w:rFonts w:asciiTheme="minorHAnsi" w:hAnsiTheme="minorHAnsi" w:cstheme="minorHAnsi"/>
          <w:b/>
          <w:sz w:val="24"/>
          <w:szCs w:val="24"/>
        </w:rPr>
      </w:pPr>
    </w:p>
    <w:p w:rsidR="00E02513" w:rsidRPr="00E02513" w:rsidRDefault="00E02513" w:rsidP="00E02513">
      <w:pPr>
        <w:spacing w:after="0" w:line="480" w:lineRule="auto"/>
        <w:rPr>
          <w:rFonts w:asciiTheme="minorHAnsi" w:hAnsiTheme="minorHAnsi" w:cstheme="minorHAnsi"/>
          <w:sz w:val="24"/>
          <w:szCs w:val="24"/>
        </w:rPr>
      </w:pPr>
      <w:r w:rsidRPr="00E02513">
        <w:rPr>
          <w:rFonts w:asciiTheme="minorHAnsi" w:hAnsiTheme="minorHAnsi" w:cstheme="minorHAnsi"/>
          <w:b/>
          <w:sz w:val="24"/>
          <w:szCs w:val="24"/>
        </w:rPr>
        <w:t xml:space="preserve">Additional figure 2. </w:t>
      </w:r>
      <w:r w:rsidRPr="00E02513">
        <w:rPr>
          <w:rFonts w:asciiTheme="minorHAnsi" w:hAnsiTheme="minorHAnsi" w:cstheme="minorHAnsi"/>
          <w:sz w:val="24"/>
          <w:szCs w:val="24"/>
        </w:rPr>
        <w:t xml:space="preserve">Portion of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sequence of fused PCR product from NA12812 (panel I). This individual possesses 2 copies of </w:t>
      </w:r>
      <w:r w:rsidRPr="00E02513">
        <w:rPr>
          <w:rFonts w:asciiTheme="minorHAnsi" w:hAnsiTheme="minorHAnsi" w:cstheme="minorHAnsi"/>
          <w:i/>
          <w:sz w:val="24"/>
          <w:szCs w:val="24"/>
        </w:rPr>
        <w:t>CCL3L1</w:t>
      </w:r>
      <w:r w:rsidRPr="00E02513">
        <w:rPr>
          <w:rFonts w:asciiTheme="minorHAnsi" w:hAnsiTheme="minorHAnsi" w:cstheme="minorHAnsi"/>
          <w:sz w:val="24"/>
          <w:szCs w:val="24"/>
        </w:rPr>
        <w:t xml:space="preserve"> and </w:t>
      </w:r>
      <w:r w:rsidRPr="00E02513">
        <w:rPr>
          <w:rFonts w:asciiTheme="minorHAnsi" w:hAnsiTheme="minorHAnsi" w:cstheme="minorHAnsi"/>
          <w:i/>
          <w:sz w:val="24"/>
          <w:szCs w:val="24"/>
        </w:rPr>
        <w:t>CCL4L1</w:t>
      </w:r>
      <w:r w:rsidRPr="00E02513">
        <w:rPr>
          <w:rFonts w:asciiTheme="minorHAnsi" w:hAnsiTheme="minorHAnsi" w:cstheme="minorHAnsi"/>
          <w:sz w:val="24"/>
          <w:szCs w:val="24"/>
        </w:rPr>
        <w:t>. Sequencing of the secondary product with F1N reveals heterozygous positions at rs17850251 (panel I-A) and rs1804185 (panel I-B). Variant bases are highlighted by a circle. When the same first round product is amplified using allele-specific primers ASPCR532F-A or ASPCR532F-G in the second round, the 2-copies are split into component haplotypes (sections II and III). These data indicate that base A at rs2944 is on the same haplotype as A at rs17850251 and T at rs1804185 (panels II-A and II-B respectively) and that base G at rs2944 is on the same haplotype as G at rs17850251 and C at rs1804185 (panels III-A and III-B respectively).</w:t>
      </w:r>
    </w:p>
    <w:p w:rsidR="00E02513" w:rsidRPr="00E02513" w:rsidRDefault="00E02513" w:rsidP="00E02513">
      <w:pPr>
        <w:spacing w:after="0" w:line="480" w:lineRule="auto"/>
        <w:rPr>
          <w:rFonts w:asciiTheme="minorHAnsi" w:hAnsiTheme="minorHAnsi" w:cstheme="minorHAnsi"/>
          <w:sz w:val="24"/>
          <w:szCs w:val="24"/>
        </w:rPr>
      </w:pPr>
    </w:p>
    <w:p w:rsidR="00E02513" w:rsidRPr="00E02513" w:rsidRDefault="00E02513" w:rsidP="00E02513">
      <w:pPr>
        <w:spacing w:after="0" w:line="480" w:lineRule="auto"/>
        <w:rPr>
          <w:rFonts w:asciiTheme="minorHAnsi" w:hAnsiTheme="minorHAnsi" w:cstheme="minorHAnsi"/>
          <w:b/>
          <w:sz w:val="24"/>
          <w:szCs w:val="24"/>
        </w:rPr>
      </w:pPr>
      <w:r w:rsidRPr="00E02513">
        <w:rPr>
          <w:rFonts w:asciiTheme="minorHAnsi" w:hAnsiTheme="minorHAnsi" w:cstheme="minorHAnsi"/>
          <w:b/>
          <w:sz w:val="24"/>
          <w:szCs w:val="24"/>
        </w:rPr>
        <w:t>Additional figure 3.</w:t>
      </w:r>
    </w:p>
    <w:p w:rsidR="00E02513" w:rsidRPr="00E02513" w:rsidRDefault="00E02513" w:rsidP="00E02513">
      <w:pPr>
        <w:spacing w:after="0" w:line="480" w:lineRule="auto"/>
        <w:rPr>
          <w:rFonts w:asciiTheme="minorHAnsi" w:hAnsiTheme="minorHAnsi" w:cstheme="minorHAnsi"/>
          <w:sz w:val="24"/>
          <w:szCs w:val="24"/>
        </w:rPr>
      </w:pPr>
      <w:r w:rsidRPr="00E02513">
        <w:rPr>
          <w:rFonts w:asciiTheme="minorHAnsi" w:hAnsiTheme="minorHAnsi" w:cstheme="minorHAnsi"/>
          <w:sz w:val="24"/>
          <w:szCs w:val="24"/>
        </w:rPr>
        <w:t xml:space="preserve">Portion of </w:t>
      </w:r>
      <w:r w:rsidRPr="00E02513">
        <w:rPr>
          <w:rFonts w:asciiTheme="minorHAnsi" w:hAnsiTheme="minorHAnsi" w:cstheme="minorHAnsi"/>
          <w:i/>
          <w:sz w:val="24"/>
          <w:szCs w:val="24"/>
        </w:rPr>
        <w:t>CCL4L1</w:t>
      </w:r>
      <w:r w:rsidRPr="00E02513">
        <w:rPr>
          <w:rFonts w:asciiTheme="minorHAnsi" w:hAnsiTheme="minorHAnsi" w:cstheme="minorHAnsi"/>
          <w:sz w:val="24"/>
          <w:szCs w:val="24"/>
        </w:rPr>
        <w:t xml:space="preserve"> sequence of fused PCR product from NA12812 (panel I). Sequencing with R2N reveals heterozygous positions at chromosome 17:31664359 (Human Genome browser </w:t>
      </w:r>
      <w:r w:rsidRPr="00E02513">
        <w:rPr>
          <w:rFonts w:asciiTheme="minorHAnsi" w:hAnsiTheme="minorHAnsi" w:cstheme="minorHAnsi"/>
          <w:sz w:val="24"/>
          <w:szCs w:val="24"/>
        </w:rPr>
        <w:fldChar w:fldCharType="begin"/>
      </w:r>
      <w:r w:rsidRPr="00E02513">
        <w:rPr>
          <w:rFonts w:asciiTheme="minorHAnsi" w:hAnsiTheme="minorHAnsi" w:cstheme="minorHAnsi"/>
          <w:sz w:val="24"/>
          <w:szCs w:val="24"/>
        </w:rPr>
        <w:instrText xml:space="preserve"> ADDIN EN.CITE &lt;EndNote&gt;&lt;Cite&gt;&lt;Author&gt;Kent&lt;/Author&gt;&lt;Year&gt;2002&lt;/Year&gt;&lt;RecNum&gt;29&lt;/RecNum&gt;&lt;DisplayText&gt;[2]&lt;/DisplayText&gt;&lt;record&gt;&lt;rec-number&gt;29&lt;/rec-number&gt;&lt;foreign-keys&gt;&lt;key app="EN" db-id="ftx9v9s96fwx0mepf29pxspfarw950zxwzvv"&gt;29&lt;/key&gt;&lt;/foreign-keys&gt;&lt;ref-type name="Journal Article"&gt;17&lt;/ref-type&gt;&lt;contributors&gt;&lt;authors&gt;&lt;author&gt;Kent, W.J.&lt;/author&gt;&lt;author&gt;Sugnet, C.W.&lt;/author&gt;&lt;author&gt;Furey, T.S.&lt;/author&gt;&lt;author&gt;Roskin, K.M.&lt;/author&gt;&lt;author&gt;Pringle, T.H.&lt;/author&gt;&lt;author&gt;Zahler, A.M.&lt;/author&gt;&lt;author&gt;Haussler, D.&lt;/author&gt;&lt;/authors&gt;&lt;/contributors&gt;&lt;titles&gt;&lt;title&gt;The human genome browser at UCSC&lt;/title&gt;&lt;secondary-title&gt;Genome Res.&lt;/secondary-title&gt;&lt;alt-title&gt;Genome Res&lt;/alt-title&gt;&lt;/titles&gt;&lt;periodical&gt;&lt;abbr-1&gt;Genome Res.&lt;/abbr-1&gt;&lt;/periodical&gt;&lt;alt-periodical&gt;&lt;full-title&gt;Genome Res&lt;/full-title&gt;&lt;abbr-1&gt;Genome Res&lt;/abbr-1&gt;&lt;/alt-periodical&gt;&lt;pages&gt;996 - 1006&lt;/pages&gt;&lt;volume&gt;12&lt;/volume&gt;&lt;dates&gt;&lt;year&gt;2002&lt;/year&gt;&lt;/dates&gt;&lt;urls&gt;&lt;/urls&gt;&lt;/record&gt;&lt;/Cite&gt;&lt;/EndNote&gt;</w:instrText>
      </w:r>
      <w:r w:rsidRPr="00E02513">
        <w:rPr>
          <w:rFonts w:asciiTheme="minorHAnsi" w:hAnsiTheme="minorHAnsi" w:cstheme="minorHAnsi"/>
          <w:sz w:val="24"/>
          <w:szCs w:val="24"/>
        </w:rPr>
        <w:fldChar w:fldCharType="separate"/>
      </w:r>
      <w:r w:rsidRPr="00E02513">
        <w:rPr>
          <w:rFonts w:asciiTheme="minorHAnsi" w:hAnsiTheme="minorHAnsi" w:cstheme="minorHAnsi"/>
          <w:noProof/>
          <w:sz w:val="24"/>
          <w:szCs w:val="24"/>
        </w:rPr>
        <w:t>[</w:t>
      </w:r>
      <w:hyperlink w:anchor="_ENREF_2" w:tooltip="Kent, 2002 #29" w:history="1">
        <w:r w:rsidRPr="00E02513">
          <w:rPr>
            <w:rFonts w:asciiTheme="minorHAnsi" w:hAnsiTheme="minorHAnsi" w:cstheme="minorHAnsi"/>
            <w:noProof/>
            <w:sz w:val="24"/>
            <w:szCs w:val="24"/>
          </w:rPr>
          <w:t>2</w:t>
        </w:r>
      </w:hyperlink>
      <w:r w:rsidRPr="00E02513">
        <w:rPr>
          <w:rFonts w:asciiTheme="minorHAnsi" w:hAnsiTheme="minorHAnsi" w:cstheme="minorHAnsi"/>
          <w:noProof/>
          <w:sz w:val="24"/>
          <w:szCs w:val="24"/>
        </w:rPr>
        <w:t>]</w:t>
      </w:r>
      <w:r w:rsidRPr="00E02513">
        <w:rPr>
          <w:rFonts w:asciiTheme="minorHAnsi" w:hAnsiTheme="minorHAnsi" w:cstheme="minorHAnsi"/>
          <w:sz w:val="24"/>
          <w:szCs w:val="24"/>
        </w:rPr>
        <w:fldChar w:fldCharType="end"/>
      </w:r>
      <w:r w:rsidRPr="00E02513">
        <w:rPr>
          <w:rFonts w:asciiTheme="minorHAnsi" w:hAnsiTheme="minorHAnsi" w:cstheme="minorHAnsi"/>
          <w:sz w:val="24"/>
          <w:szCs w:val="24"/>
        </w:rPr>
        <w:t>, March 2006 assembly) and rs2277660 in this 2-copy individual (panel IA and IB respectively). Haplotypes are revealed by sequencing with allele-specific primer ASPCR1467R-T or ASPCR1467R -G which associate T at position rs3744597 with A at chromosome 17:31664359 (panel IIA) and G at rs2277660 (panel IIB) and G at position rs3744597 with C at chromosome 17:31664359 (panel IIIA) and T at rs2277660 (panel IIIB). Variant bases are highlighted by a circle. The sequence variant at position 17:31664359 is not present in dbSNP129.</w:t>
      </w:r>
    </w:p>
    <w:p w:rsidR="00E02513" w:rsidRPr="00E02513" w:rsidRDefault="00E02513" w:rsidP="00E02513">
      <w:pPr>
        <w:spacing w:after="0" w:line="480" w:lineRule="auto"/>
        <w:rPr>
          <w:rFonts w:asciiTheme="minorHAnsi" w:hAnsiTheme="minorHAnsi" w:cstheme="minorHAnsi"/>
          <w:sz w:val="24"/>
          <w:szCs w:val="24"/>
        </w:rPr>
      </w:pPr>
    </w:p>
    <w:p w:rsidR="00E02513" w:rsidRPr="00E02513" w:rsidRDefault="00E02513" w:rsidP="00E02513">
      <w:pPr>
        <w:spacing w:after="0" w:line="480" w:lineRule="auto"/>
        <w:rPr>
          <w:rFonts w:asciiTheme="minorHAnsi" w:hAnsiTheme="minorHAnsi" w:cstheme="minorHAnsi"/>
          <w:b/>
          <w:sz w:val="24"/>
          <w:szCs w:val="24"/>
        </w:rPr>
      </w:pPr>
      <w:r w:rsidRPr="00E02513">
        <w:rPr>
          <w:rFonts w:asciiTheme="minorHAnsi" w:hAnsiTheme="minorHAnsi" w:cstheme="minorHAnsi"/>
          <w:b/>
          <w:sz w:val="24"/>
          <w:szCs w:val="24"/>
        </w:rPr>
        <w:t>Additional table 1.</w:t>
      </w:r>
    </w:p>
    <w:p w:rsidR="00E02513" w:rsidRPr="00E02513" w:rsidRDefault="00E02513" w:rsidP="00E02513">
      <w:pPr>
        <w:spacing w:after="0" w:line="480" w:lineRule="auto"/>
        <w:rPr>
          <w:rFonts w:asciiTheme="minorHAnsi" w:hAnsiTheme="minorHAnsi" w:cstheme="minorHAnsi"/>
          <w:sz w:val="24"/>
          <w:szCs w:val="24"/>
        </w:rPr>
      </w:pPr>
      <w:r w:rsidRPr="00E02513">
        <w:rPr>
          <w:rFonts w:asciiTheme="minorHAnsi" w:hAnsiTheme="minorHAnsi" w:cstheme="minorHAnsi"/>
          <w:sz w:val="24"/>
          <w:szCs w:val="24"/>
        </w:rPr>
        <w:t xml:space="preserve">Sequence variants present in </w:t>
      </w:r>
      <w:r w:rsidRPr="00E02513">
        <w:rPr>
          <w:rFonts w:asciiTheme="minorHAnsi" w:hAnsiTheme="minorHAnsi" w:cstheme="minorHAnsi"/>
          <w:i/>
          <w:sz w:val="24"/>
          <w:szCs w:val="24"/>
        </w:rPr>
        <w:t>DEFA1A3</w:t>
      </w:r>
      <w:r w:rsidRPr="00E02513">
        <w:rPr>
          <w:rFonts w:asciiTheme="minorHAnsi" w:hAnsiTheme="minorHAnsi" w:cstheme="minorHAnsi"/>
          <w:sz w:val="24"/>
          <w:szCs w:val="24"/>
        </w:rPr>
        <w:t xml:space="preserve"> identified by PCR and sequencing. Where no entry in dbSNP 135 was available, browser coordinates for the three copies of </w:t>
      </w:r>
      <w:r w:rsidRPr="00E02513">
        <w:rPr>
          <w:rFonts w:asciiTheme="minorHAnsi" w:hAnsiTheme="minorHAnsi" w:cstheme="minorHAnsi"/>
          <w:i/>
          <w:sz w:val="24"/>
          <w:szCs w:val="24"/>
        </w:rPr>
        <w:t>DEFA1A3</w:t>
      </w:r>
      <w:r w:rsidRPr="00E02513">
        <w:rPr>
          <w:rFonts w:asciiTheme="minorHAnsi" w:hAnsiTheme="minorHAnsi" w:cstheme="minorHAnsi"/>
          <w:sz w:val="24"/>
          <w:szCs w:val="24"/>
        </w:rPr>
        <w:t xml:space="preserve"> are provided (UCSC Feb. 2009 version).</w:t>
      </w:r>
    </w:p>
    <w:p w:rsidR="00E02513" w:rsidRPr="00E02513" w:rsidRDefault="00E02513" w:rsidP="00E02513">
      <w:pPr>
        <w:spacing w:after="0" w:line="480" w:lineRule="auto"/>
        <w:rPr>
          <w:rFonts w:asciiTheme="minorHAnsi" w:hAnsiTheme="minorHAnsi" w:cstheme="minorHAnsi"/>
          <w:sz w:val="24"/>
          <w:szCs w:val="24"/>
        </w:rPr>
      </w:pPr>
    </w:p>
    <w:p w:rsidR="00E02513" w:rsidRPr="00E02513" w:rsidRDefault="00E02513" w:rsidP="00E02513">
      <w:pPr>
        <w:spacing w:after="0" w:line="480" w:lineRule="auto"/>
        <w:rPr>
          <w:rFonts w:asciiTheme="minorHAnsi" w:hAnsiTheme="minorHAnsi" w:cstheme="minorHAnsi"/>
          <w:b/>
          <w:sz w:val="24"/>
          <w:szCs w:val="24"/>
        </w:rPr>
      </w:pPr>
      <w:r w:rsidRPr="00E02513">
        <w:rPr>
          <w:rFonts w:asciiTheme="minorHAnsi" w:hAnsiTheme="minorHAnsi" w:cstheme="minorHAnsi"/>
          <w:b/>
          <w:sz w:val="24"/>
          <w:szCs w:val="24"/>
        </w:rPr>
        <w:t>Additional table 2.</w:t>
      </w:r>
    </w:p>
    <w:p w:rsidR="00E02513" w:rsidRPr="00E02513" w:rsidRDefault="00E02513" w:rsidP="00E02513">
      <w:pPr>
        <w:spacing w:after="0" w:line="480" w:lineRule="auto"/>
        <w:rPr>
          <w:rFonts w:asciiTheme="minorHAnsi" w:hAnsiTheme="minorHAnsi" w:cstheme="minorHAnsi"/>
          <w:sz w:val="24"/>
          <w:szCs w:val="24"/>
        </w:rPr>
      </w:pPr>
      <w:r w:rsidRPr="00E02513">
        <w:rPr>
          <w:rFonts w:asciiTheme="minorHAnsi" w:hAnsiTheme="minorHAnsi" w:cstheme="minorHAnsi"/>
          <w:sz w:val="24"/>
          <w:szCs w:val="24"/>
        </w:rPr>
        <w:t>Primers used in the first and second round of emulsion haplotype fusion PCR. For CCL3L1/CCL4L1, primers used in the emulsion are shown in italics. Nested primers (denoted as F1N and R2N), allele-specific PCR primers (denoted with an *) and respective annealing temperatures used in the second round of amplification are shown. Reverse primers are shown in bold.</w:t>
      </w:r>
    </w:p>
    <w:p w:rsidR="00EA76D9" w:rsidRPr="00E02513" w:rsidRDefault="00EA76D9" w:rsidP="00E02513">
      <w:pPr>
        <w:spacing w:line="480" w:lineRule="auto"/>
        <w:rPr>
          <w:rFonts w:asciiTheme="minorHAnsi" w:hAnsiTheme="minorHAnsi" w:cstheme="minorHAnsi"/>
          <w:noProof/>
          <w:sz w:val="24"/>
          <w:szCs w:val="24"/>
        </w:rPr>
      </w:pPr>
    </w:p>
    <w:p w:rsidR="00E02513" w:rsidRPr="00E02513" w:rsidRDefault="00F9134B" w:rsidP="00E02513">
      <w:pPr>
        <w:spacing w:line="480" w:lineRule="auto"/>
        <w:rPr>
          <w:rFonts w:asciiTheme="minorHAnsi" w:hAnsiTheme="minorHAnsi" w:cstheme="minorHAnsi"/>
          <w:sz w:val="24"/>
          <w:szCs w:val="24"/>
        </w:rPr>
      </w:pPr>
      <w:r w:rsidRPr="00E02513">
        <w:rPr>
          <w:rFonts w:asciiTheme="minorHAnsi" w:hAnsiTheme="minorHAnsi" w:cstheme="minorHAnsi"/>
          <w:sz w:val="24"/>
          <w:szCs w:val="24"/>
        </w:rPr>
        <w:fldChar w:fldCharType="end"/>
      </w:r>
    </w:p>
    <w:p w:rsidR="00E02513" w:rsidRPr="00E02513" w:rsidRDefault="00E02513" w:rsidP="00E02513">
      <w:pPr>
        <w:spacing w:line="480" w:lineRule="auto"/>
        <w:rPr>
          <w:rFonts w:asciiTheme="minorHAnsi" w:hAnsiTheme="minorHAnsi" w:cstheme="minorHAnsi"/>
          <w:sz w:val="24"/>
          <w:szCs w:val="24"/>
        </w:rPr>
      </w:pPr>
    </w:p>
    <w:p w:rsidR="00E02513" w:rsidRPr="00E02513" w:rsidRDefault="00E02513" w:rsidP="00E02513">
      <w:pPr>
        <w:spacing w:line="480" w:lineRule="auto"/>
        <w:rPr>
          <w:rFonts w:asciiTheme="minorHAnsi" w:hAnsiTheme="minorHAnsi" w:cstheme="minorHAnsi"/>
          <w:sz w:val="24"/>
          <w:szCs w:val="24"/>
        </w:rPr>
      </w:pPr>
      <w:r w:rsidRPr="00E02513">
        <w:rPr>
          <w:rFonts w:asciiTheme="minorHAnsi" w:hAnsiTheme="minorHAnsi" w:cstheme="minorHAnsi"/>
          <w:sz w:val="24"/>
          <w:szCs w:val="24"/>
        </w:rPr>
        <w:br w:type="page"/>
      </w:r>
    </w:p>
    <w:p w:rsidR="00E02513" w:rsidRPr="00E02513" w:rsidRDefault="00E02513" w:rsidP="00E02513">
      <w:pPr>
        <w:spacing w:line="480" w:lineRule="auto"/>
        <w:rPr>
          <w:rFonts w:asciiTheme="minorHAnsi" w:hAnsiTheme="minorHAnsi" w:cstheme="minorHAnsi"/>
          <w:sz w:val="24"/>
          <w:szCs w:val="24"/>
        </w:rPr>
        <w:sectPr w:rsidR="00E02513" w:rsidRPr="00E02513" w:rsidSect="00F9134B">
          <w:pgSz w:w="11906" w:h="16838"/>
          <w:pgMar w:top="1440" w:right="1440" w:bottom="1440" w:left="1440" w:header="708" w:footer="708" w:gutter="0"/>
          <w:cols w:space="708"/>
          <w:docGrid w:linePitch="360"/>
        </w:sectPr>
      </w:pPr>
    </w:p>
    <w:p w:rsidR="00E02513" w:rsidRPr="00E02513" w:rsidRDefault="00E02513" w:rsidP="00E02513">
      <w:pPr>
        <w:spacing w:after="0" w:line="480" w:lineRule="auto"/>
        <w:rPr>
          <w:rFonts w:asciiTheme="minorHAnsi" w:hAnsiTheme="minorHAnsi" w:cstheme="minorHAnsi"/>
          <w:sz w:val="24"/>
          <w:szCs w:val="24"/>
        </w:rPr>
      </w:pPr>
      <w:r w:rsidRPr="00E02513">
        <w:rPr>
          <w:rFonts w:asciiTheme="minorHAnsi" w:hAnsiTheme="minorHAnsi" w:cstheme="minorHAnsi"/>
          <w:sz w:val="24"/>
          <w:szCs w:val="24"/>
        </w:rPr>
        <w:lastRenderedPageBreak/>
        <w:t>Additional table 1</w:t>
      </w:r>
    </w:p>
    <w:p w:rsidR="00E02513" w:rsidRPr="00E02513" w:rsidRDefault="00E02513" w:rsidP="00E02513">
      <w:pPr>
        <w:spacing w:after="0" w:line="480" w:lineRule="auto"/>
        <w:rPr>
          <w:rFonts w:asciiTheme="minorHAnsi" w:hAnsiTheme="minorHAnsi" w:cstheme="minorHAnsi"/>
          <w:sz w:val="24"/>
          <w:szCs w:val="24"/>
        </w:rPr>
      </w:pPr>
    </w:p>
    <w:p w:rsidR="00E02513" w:rsidRPr="00E02513" w:rsidRDefault="00E02513" w:rsidP="00E02513">
      <w:pPr>
        <w:spacing w:after="0" w:line="480" w:lineRule="auto"/>
        <w:rPr>
          <w:rFonts w:asciiTheme="minorHAnsi" w:hAnsiTheme="minorHAnsi" w:cstheme="minorHAnsi"/>
          <w:sz w:val="24"/>
          <w:szCs w:val="24"/>
        </w:rPr>
      </w:pPr>
    </w:p>
    <w:tbl>
      <w:tblPr>
        <w:tblStyle w:val="TableGrid"/>
        <w:tblW w:w="10881" w:type="dxa"/>
        <w:tblLook w:val="04A0" w:firstRow="1" w:lastRow="0" w:firstColumn="1" w:lastColumn="0" w:noHBand="0" w:noVBand="1"/>
      </w:tblPr>
      <w:tblGrid>
        <w:gridCol w:w="993"/>
        <w:gridCol w:w="992"/>
        <w:gridCol w:w="4219"/>
        <w:gridCol w:w="4677"/>
      </w:tblGrid>
      <w:tr w:rsidR="00E02513" w:rsidRPr="00E02513" w:rsidTr="00E02513">
        <w:tc>
          <w:tcPr>
            <w:tcW w:w="993"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Variant  number</w:t>
            </w:r>
          </w:p>
        </w:tc>
        <w:tc>
          <w:tcPr>
            <w:tcW w:w="992"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 xml:space="preserve">Variant </w:t>
            </w:r>
          </w:p>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Bases</w:t>
            </w:r>
          </w:p>
          <w:p w:rsidR="00E02513" w:rsidRPr="00E02513" w:rsidRDefault="00E02513" w:rsidP="00E02513">
            <w:pPr>
              <w:rPr>
                <w:rFonts w:asciiTheme="minorHAnsi" w:hAnsiTheme="minorHAnsi" w:cstheme="minorHAnsi"/>
                <w:sz w:val="24"/>
                <w:szCs w:val="24"/>
              </w:rPr>
            </w:pPr>
          </w:p>
        </w:tc>
        <w:tc>
          <w:tcPr>
            <w:tcW w:w="4219" w:type="dxa"/>
          </w:tcPr>
          <w:p w:rsidR="00E02513" w:rsidRPr="00E02513" w:rsidRDefault="00E02513" w:rsidP="00E02513">
            <w:pPr>
              <w:rPr>
                <w:rFonts w:asciiTheme="minorHAnsi" w:hAnsiTheme="minorHAnsi" w:cstheme="minorHAnsi"/>
                <w:sz w:val="24"/>
                <w:szCs w:val="24"/>
              </w:rPr>
            </w:pPr>
            <w:proofErr w:type="spellStart"/>
            <w:r w:rsidRPr="00E02513">
              <w:rPr>
                <w:rFonts w:asciiTheme="minorHAnsi" w:hAnsiTheme="minorHAnsi" w:cstheme="minorHAnsi"/>
                <w:sz w:val="24"/>
                <w:szCs w:val="24"/>
              </w:rPr>
              <w:t>dbSNP</w:t>
            </w:r>
            <w:proofErr w:type="spellEnd"/>
            <w:r w:rsidRPr="00E02513">
              <w:rPr>
                <w:rFonts w:asciiTheme="minorHAnsi" w:hAnsiTheme="minorHAnsi" w:cstheme="minorHAnsi"/>
                <w:sz w:val="24"/>
                <w:szCs w:val="24"/>
              </w:rPr>
              <w:t xml:space="preserve"> build 135</w:t>
            </w:r>
          </w:p>
        </w:tc>
        <w:tc>
          <w:tcPr>
            <w:tcW w:w="4677" w:type="dxa"/>
          </w:tcPr>
          <w:p w:rsidR="00E02513" w:rsidRPr="00E02513" w:rsidRDefault="00E02513" w:rsidP="00E02513">
            <w:pPr>
              <w:ind w:right="-108"/>
              <w:rPr>
                <w:rFonts w:asciiTheme="minorHAnsi" w:hAnsiTheme="minorHAnsi" w:cstheme="minorHAnsi"/>
                <w:sz w:val="24"/>
                <w:szCs w:val="24"/>
              </w:rPr>
            </w:pP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1</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G/T</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rs145076681</w:t>
            </w:r>
          </w:p>
        </w:tc>
        <w:tc>
          <w:tcPr>
            <w:tcW w:w="4677"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 xml:space="preserve">Variant base that distinguishes </w:t>
            </w:r>
            <w:r w:rsidRPr="00E02513">
              <w:rPr>
                <w:rFonts w:asciiTheme="minorHAnsi" w:hAnsiTheme="minorHAnsi" w:cstheme="minorHAnsi"/>
                <w:i/>
                <w:sz w:val="24"/>
                <w:szCs w:val="24"/>
              </w:rPr>
              <w:t>DEFA1</w:t>
            </w:r>
            <w:r w:rsidRPr="00E02513">
              <w:rPr>
                <w:rFonts w:asciiTheme="minorHAnsi" w:hAnsiTheme="minorHAnsi" w:cstheme="minorHAnsi"/>
                <w:sz w:val="24"/>
                <w:szCs w:val="24"/>
              </w:rPr>
              <w:t xml:space="preserve"> from </w:t>
            </w:r>
            <w:r w:rsidRPr="00E02513">
              <w:rPr>
                <w:rFonts w:asciiTheme="minorHAnsi" w:hAnsiTheme="minorHAnsi" w:cstheme="minorHAnsi"/>
                <w:i/>
                <w:sz w:val="24"/>
                <w:szCs w:val="24"/>
              </w:rPr>
              <w:t>DEFA3</w:t>
            </w: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2</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A/C</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rs148298380</w:t>
            </w:r>
          </w:p>
        </w:tc>
        <w:tc>
          <w:tcPr>
            <w:tcW w:w="4677" w:type="dxa"/>
          </w:tcPr>
          <w:p w:rsidR="00E02513" w:rsidRPr="00E02513" w:rsidRDefault="00E02513" w:rsidP="00E02513">
            <w:pPr>
              <w:rPr>
                <w:rFonts w:asciiTheme="minorHAnsi" w:hAnsiTheme="minorHAnsi" w:cstheme="minorHAnsi"/>
                <w:sz w:val="24"/>
                <w:szCs w:val="24"/>
              </w:rPr>
            </w:pP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3</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T/C</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rs139164630</w:t>
            </w:r>
          </w:p>
        </w:tc>
        <w:tc>
          <w:tcPr>
            <w:tcW w:w="4677" w:type="dxa"/>
          </w:tcPr>
          <w:p w:rsidR="00E02513" w:rsidRPr="00E02513" w:rsidRDefault="00E02513" w:rsidP="00E02513">
            <w:pPr>
              <w:rPr>
                <w:rFonts w:asciiTheme="minorHAnsi" w:hAnsiTheme="minorHAnsi" w:cstheme="minorHAnsi"/>
                <w:sz w:val="24"/>
                <w:szCs w:val="24"/>
              </w:rPr>
            </w:pP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4</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G/T</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rs147777993</w:t>
            </w:r>
          </w:p>
        </w:tc>
        <w:tc>
          <w:tcPr>
            <w:tcW w:w="4677" w:type="dxa"/>
          </w:tcPr>
          <w:p w:rsidR="00E02513" w:rsidRPr="00E02513" w:rsidRDefault="00E02513" w:rsidP="00E02513">
            <w:pPr>
              <w:rPr>
                <w:rFonts w:asciiTheme="minorHAnsi" w:hAnsiTheme="minorHAnsi" w:cstheme="minorHAnsi"/>
                <w:sz w:val="24"/>
                <w:szCs w:val="24"/>
              </w:rPr>
            </w:pP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5</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A/T</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rs77140339</w:t>
            </w:r>
          </w:p>
        </w:tc>
        <w:tc>
          <w:tcPr>
            <w:tcW w:w="4677" w:type="dxa"/>
          </w:tcPr>
          <w:p w:rsidR="00E02513" w:rsidRPr="00E02513" w:rsidRDefault="00E02513" w:rsidP="00E02513">
            <w:pPr>
              <w:rPr>
                <w:rFonts w:asciiTheme="minorHAnsi" w:hAnsiTheme="minorHAnsi" w:cstheme="minorHAnsi"/>
                <w:sz w:val="24"/>
                <w:szCs w:val="24"/>
              </w:rPr>
            </w:pP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6</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T/G</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rs77649030</w:t>
            </w:r>
          </w:p>
        </w:tc>
        <w:tc>
          <w:tcPr>
            <w:tcW w:w="4677" w:type="dxa"/>
          </w:tcPr>
          <w:p w:rsidR="00E02513" w:rsidRPr="00E02513" w:rsidRDefault="00E02513" w:rsidP="00E02513">
            <w:pPr>
              <w:rPr>
                <w:rFonts w:asciiTheme="minorHAnsi" w:hAnsiTheme="minorHAnsi" w:cstheme="minorHAnsi"/>
                <w:sz w:val="24"/>
                <w:szCs w:val="24"/>
              </w:rPr>
            </w:pP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7</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C/T</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chr8:6835780; 6845897; 6873996</w:t>
            </w:r>
          </w:p>
        </w:tc>
        <w:tc>
          <w:tcPr>
            <w:tcW w:w="4677" w:type="dxa"/>
          </w:tcPr>
          <w:p w:rsidR="00E02513" w:rsidRPr="00E02513" w:rsidRDefault="00E02513" w:rsidP="00E02513">
            <w:pPr>
              <w:rPr>
                <w:rFonts w:asciiTheme="minorHAnsi" w:hAnsiTheme="minorHAnsi" w:cstheme="minorHAnsi"/>
                <w:sz w:val="24"/>
                <w:szCs w:val="24"/>
              </w:rPr>
            </w:pPr>
          </w:p>
        </w:tc>
      </w:tr>
      <w:tr w:rsidR="00E02513" w:rsidRPr="00E02513" w:rsidTr="00E02513">
        <w:tc>
          <w:tcPr>
            <w:tcW w:w="993"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8</w:t>
            </w:r>
          </w:p>
        </w:tc>
        <w:tc>
          <w:tcPr>
            <w:tcW w:w="992" w:type="dxa"/>
          </w:tcPr>
          <w:p w:rsidR="00E02513" w:rsidRPr="00E02513" w:rsidRDefault="00E02513" w:rsidP="00E02513">
            <w:pPr>
              <w:jc w:val="center"/>
              <w:rPr>
                <w:rFonts w:asciiTheme="minorHAnsi" w:hAnsiTheme="minorHAnsi" w:cstheme="minorHAnsi"/>
                <w:sz w:val="24"/>
                <w:szCs w:val="24"/>
              </w:rPr>
            </w:pPr>
            <w:r w:rsidRPr="00E02513">
              <w:rPr>
                <w:rFonts w:asciiTheme="minorHAnsi" w:hAnsiTheme="minorHAnsi" w:cstheme="minorHAnsi"/>
                <w:sz w:val="24"/>
                <w:szCs w:val="24"/>
              </w:rPr>
              <w:t>G/T</w:t>
            </w:r>
          </w:p>
        </w:tc>
        <w:tc>
          <w:tcPr>
            <w:tcW w:w="4219" w:type="dxa"/>
          </w:tcPr>
          <w:p w:rsidR="00E02513" w:rsidRPr="00E02513" w:rsidRDefault="00E02513" w:rsidP="00E02513">
            <w:pPr>
              <w:rPr>
                <w:rFonts w:asciiTheme="minorHAnsi" w:hAnsiTheme="minorHAnsi" w:cstheme="minorHAnsi"/>
                <w:sz w:val="24"/>
                <w:szCs w:val="24"/>
              </w:rPr>
            </w:pPr>
            <w:r w:rsidRPr="00E02513">
              <w:rPr>
                <w:rFonts w:asciiTheme="minorHAnsi" w:hAnsiTheme="minorHAnsi" w:cstheme="minorHAnsi"/>
                <w:sz w:val="24"/>
                <w:szCs w:val="24"/>
              </w:rPr>
              <w:t>rs77855524</w:t>
            </w:r>
          </w:p>
        </w:tc>
        <w:tc>
          <w:tcPr>
            <w:tcW w:w="4677" w:type="dxa"/>
          </w:tcPr>
          <w:p w:rsidR="00E02513" w:rsidRPr="00E02513" w:rsidRDefault="00E02513" w:rsidP="00E02513">
            <w:pPr>
              <w:rPr>
                <w:rFonts w:asciiTheme="minorHAnsi" w:hAnsiTheme="minorHAnsi" w:cstheme="minorHAnsi"/>
                <w:sz w:val="24"/>
                <w:szCs w:val="24"/>
              </w:rPr>
            </w:pPr>
          </w:p>
        </w:tc>
      </w:tr>
    </w:tbl>
    <w:p w:rsidR="00E02513" w:rsidRPr="00E02513" w:rsidRDefault="00E02513" w:rsidP="00E02513">
      <w:pPr>
        <w:spacing w:after="0" w:line="480" w:lineRule="auto"/>
        <w:rPr>
          <w:rFonts w:asciiTheme="minorHAnsi" w:hAnsiTheme="minorHAnsi" w:cstheme="minorHAnsi"/>
          <w:sz w:val="24"/>
          <w:szCs w:val="24"/>
        </w:rPr>
      </w:pPr>
    </w:p>
    <w:p w:rsidR="00E02513" w:rsidRPr="00E02513" w:rsidRDefault="00E02513" w:rsidP="00E02513">
      <w:pPr>
        <w:spacing w:line="480" w:lineRule="auto"/>
        <w:rPr>
          <w:rFonts w:asciiTheme="minorHAnsi" w:hAnsiTheme="minorHAnsi" w:cstheme="minorHAnsi"/>
          <w:sz w:val="24"/>
          <w:szCs w:val="24"/>
        </w:rPr>
      </w:pPr>
      <w:r w:rsidRPr="00E02513">
        <w:rPr>
          <w:rFonts w:asciiTheme="minorHAnsi" w:hAnsiTheme="minorHAnsi" w:cstheme="minorHAnsi"/>
          <w:sz w:val="24"/>
          <w:szCs w:val="24"/>
        </w:rPr>
        <w:br w:type="page"/>
      </w:r>
    </w:p>
    <w:p w:rsidR="00E02513" w:rsidRDefault="00E02513" w:rsidP="00E02513">
      <w:pPr>
        <w:spacing w:after="0" w:line="480" w:lineRule="auto"/>
        <w:rPr>
          <w:rFonts w:asciiTheme="minorHAnsi" w:hAnsiTheme="minorHAnsi" w:cstheme="minorHAnsi"/>
          <w:sz w:val="24"/>
          <w:szCs w:val="24"/>
        </w:rPr>
      </w:pPr>
      <w:r w:rsidRPr="00E02513">
        <w:rPr>
          <w:rFonts w:asciiTheme="minorHAnsi" w:hAnsiTheme="minorHAnsi" w:cstheme="minorHAnsi"/>
          <w:sz w:val="24"/>
          <w:szCs w:val="24"/>
        </w:rPr>
        <w:lastRenderedPageBreak/>
        <w:t>Additional table 2</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701"/>
        <w:gridCol w:w="1984"/>
        <w:gridCol w:w="6379"/>
        <w:gridCol w:w="3119"/>
      </w:tblGrid>
      <w:tr w:rsidR="00E02513" w:rsidRPr="002131DA" w:rsidTr="00E02513">
        <w:tc>
          <w:tcPr>
            <w:tcW w:w="1526" w:type="dxa"/>
            <w:tcBorders>
              <w:bottom w:val="double" w:sz="4" w:space="0" w:color="auto"/>
              <w:right w:val="double" w:sz="4" w:space="0" w:color="auto"/>
            </w:tcBorders>
          </w:tcPr>
          <w:p w:rsidR="00E02513" w:rsidRPr="002131DA" w:rsidRDefault="00E02513" w:rsidP="00E22E2E">
            <w:pPr>
              <w:spacing w:after="0" w:line="240" w:lineRule="auto"/>
              <w:jc w:val="center"/>
              <w:rPr>
                <w:rFonts w:ascii="Calibri" w:hAnsi="Calibri" w:cs="Calibri"/>
                <w:sz w:val="24"/>
                <w:szCs w:val="24"/>
              </w:rPr>
            </w:pPr>
            <w:r w:rsidRPr="002131DA">
              <w:rPr>
                <w:rFonts w:ascii="Calibri" w:hAnsi="Calibri" w:cs="Calibri"/>
                <w:sz w:val="24"/>
                <w:szCs w:val="24"/>
              </w:rPr>
              <w:t>Locus</w:t>
            </w:r>
          </w:p>
        </w:tc>
        <w:tc>
          <w:tcPr>
            <w:tcW w:w="1701" w:type="dxa"/>
            <w:tcBorders>
              <w:bottom w:val="double" w:sz="4" w:space="0" w:color="auto"/>
              <w:right w:val="double" w:sz="4" w:space="0" w:color="auto"/>
            </w:tcBorders>
          </w:tcPr>
          <w:p w:rsidR="00E02513" w:rsidRPr="002131DA" w:rsidRDefault="00E02513" w:rsidP="00E22E2E">
            <w:pPr>
              <w:spacing w:after="0" w:line="240" w:lineRule="auto"/>
              <w:jc w:val="center"/>
              <w:rPr>
                <w:rFonts w:ascii="Calibri" w:hAnsi="Calibri" w:cs="Calibri"/>
                <w:sz w:val="24"/>
                <w:szCs w:val="24"/>
              </w:rPr>
            </w:pPr>
            <w:r w:rsidRPr="002131DA">
              <w:rPr>
                <w:rFonts w:ascii="Calibri" w:hAnsi="Calibri" w:cs="Calibri"/>
                <w:sz w:val="24"/>
                <w:szCs w:val="24"/>
              </w:rPr>
              <w:t>Emulsion fusion system</w:t>
            </w:r>
          </w:p>
        </w:tc>
        <w:tc>
          <w:tcPr>
            <w:tcW w:w="1984" w:type="dxa"/>
            <w:tcBorders>
              <w:left w:val="double" w:sz="4" w:space="0" w:color="auto"/>
              <w:bottom w:val="single" w:sz="4" w:space="0" w:color="auto"/>
            </w:tcBorders>
          </w:tcPr>
          <w:p w:rsidR="00E02513" w:rsidRPr="002131DA" w:rsidRDefault="00E02513" w:rsidP="00E22E2E">
            <w:pPr>
              <w:spacing w:after="0" w:line="240" w:lineRule="auto"/>
              <w:jc w:val="center"/>
              <w:rPr>
                <w:rFonts w:ascii="Calibri" w:hAnsi="Calibri" w:cs="Calibri"/>
                <w:sz w:val="24"/>
                <w:szCs w:val="24"/>
              </w:rPr>
            </w:pPr>
            <w:r w:rsidRPr="002131DA">
              <w:rPr>
                <w:rFonts w:ascii="Calibri" w:hAnsi="Calibri" w:cs="Calibri"/>
                <w:sz w:val="24"/>
                <w:szCs w:val="24"/>
              </w:rPr>
              <w:t>Primer name</w:t>
            </w:r>
          </w:p>
        </w:tc>
        <w:tc>
          <w:tcPr>
            <w:tcW w:w="6379" w:type="dxa"/>
            <w:tcBorders>
              <w:bottom w:val="single" w:sz="4" w:space="0" w:color="auto"/>
            </w:tcBorders>
          </w:tcPr>
          <w:p w:rsidR="00E02513" w:rsidRPr="002131DA" w:rsidRDefault="00E02513" w:rsidP="00E22E2E">
            <w:pPr>
              <w:spacing w:after="0" w:line="240" w:lineRule="auto"/>
              <w:jc w:val="center"/>
              <w:rPr>
                <w:rFonts w:ascii="Calibri" w:hAnsi="Calibri" w:cs="Calibri"/>
                <w:sz w:val="24"/>
                <w:szCs w:val="24"/>
              </w:rPr>
            </w:pPr>
            <w:r w:rsidRPr="002131DA">
              <w:rPr>
                <w:rFonts w:ascii="Calibri" w:hAnsi="Calibri" w:cs="Calibri"/>
                <w:sz w:val="24"/>
                <w:szCs w:val="24"/>
              </w:rPr>
              <w:t>Primer sequence (5’-3’)</w:t>
            </w:r>
          </w:p>
        </w:tc>
        <w:tc>
          <w:tcPr>
            <w:tcW w:w="3119" w:type="dxa"/>
            <w:tcBorders>
              <w:bottom w:val="single" w:sz="4" w:space="0" w:color="auto"/>
            </w:tcBorders>
          </w:tcPr>
          <w:p w:rsidR="00E02513" w:rsidRPr="002131DA" w:rsidRDefault="00E02513" w:rsidP="00E22E2E">
            <w:pPr>
              <w:spacing w:after="0" w:line="240" w:lineRule="auto"/>
              <w:jc w:val="center"/>
              <w:rPr>
                <w:rFonts w:ascii="Calibri" w:hAnsi="Calibri" w:cs="Calibri"/>
                <w:sz w:val="24"/>
                <w:szCs w:val="24"/>
              </w:rPr>
            </w:pPr>
            <w:r>
              <w:rPr>
                <w:rFonts w:ascii="Calibri" w:hAnsi="Calibri" w:cs="Calibri"/>
                <w:sz w:val="24"/>
                <w:szCs w:val="24"/>
              </w:rPr>
              <w:t>Annealing temperature used in 2</w:t>
            </w:r>
            <w:r>
              <w:rPr>
                <w:rFonts w:ascii="Calibri" w:hAnsi="Calibri" w:cs="Calibri"/>
                <w:sz w:val="24"/>
                <w:szCs w:val="24"/>
                <w:vertAlign w:val="superscript"/>
              </w:rPr>
              <w:t>0</w:t>
            </w:r>
            <w:r>
              <w:rPr>
                <w:rFonts w:ascii="Calibri" w:hAnsi="Calibri" w:cs="Calibri"/>
                <w:sz w:val="24"/>
                <w:szCs w:val="24"/>
              </w:rPr>
              <w:t xml:space="preserve"> PCR</w:t>
            </w:r>
          </w:p>
        </w:tc>
      </w:tr>
      <w:tr w:rsidR="00E02513" w:rsidRPr="002131DA" w:rsidTr="00E02513">
        <w:tc>
          <w:tcPr>
            <w:tcW w:w="1526" w:type="dxa"/>
            <w:vMerge w:val="restart"/>
            <w:tcBorders>
              <w:right w:val="double" w:sz="4" w:space="0" w:color="auto"/>
            </w:tcBorders>
          </w:tcPr>
          <w:p w:rsidR="00E02513" w:rsidRPr="002131DA" w:rsidRDefault="00E02513" w:rsidP="00E22E2E">
            <w:pPr>
              <w:spacing w:after="0" w:line="240" w:lineRule="auto"/>
              <w:jc w:val="center"/>
              <w:rPr>
                <w:rFonts w:ascii="Calibri" w:hAnsi="Calibri" w:cs="Calibri"/>
                <w:i/>
                <w:sz w:val="24"/>
                <w:szCs w:val="24"/>
              </w:rPr>
            </w:pPr>
            <w:r w:rsidRPr="002131DA">
              <w:rPr>
                <w:rFonts w:ascii="Calibri" w:hAnsi="Calibri" w:cs="Calibri"/>
                <w:i/>
                <w:sz w:val="24"/>
                <w:szCs w:val="24"/>
              </w:rPr>
              <w:t>CCL3L1</w:t>
            </w:r>
          </w:p>
        </w:tc>
        <w:tc>
          <w:tcPr>
            <w:tcW w:w="1701" w:type="dxa"/>
            <w:vMerge w:val="restart"/>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single" w:sz="4" w:space="0" w:color="auto"/>
            </w:tcBorders>
          </w:tcPr>
          <w:p w:rsidR="00E02513" w:rsidRPr="00580D92" w:rsidRDefault="00E02513" w:rsidP="00E22E2E">
            <w:pPr>
              <w:spacing w:after="0" w:line="240" w:lineRule="auto"/>
              <w:rPr>
                <w:rFonts w:ascii="Calibri" w:hAnsi="Calibri" w:cs="Calibri"/>
                <w:i/>
                <w:sz w:val="24"/>
                <w:szCs w:val="24"/>
              </w:rPr>
            </w:pPr>
            <w:r w:rsidRPr="00580D92">
              <w:rPr>
                <w:rFonts w:ascii="Calibri" w:hAnsi="Calibri" w:cs="Calibri"/>
                <w:i/>
                <w:sz w:val="24"/>
                <w:szCs w:val="24"/>
              </w:rPr>
              <w:t>F1</w:t>
            </w:r>
          </w:p>
        </w:tc>
        <w:tc>
          <w:tcPr>
            <w:tcW w:w="6379" w:type="dxa"/>
          </w:tcPr>
          <w:p w:rsidR="00E02513" w:rsidRPr="00580D92" w:rsidRDefault="00E02513" w:rsidP="00E22E2E">
            <w:pPr>
              <w:spacing w:after="0" w:line="240" w:lineRule="auto"/>
              <w:rPr>
                <w:rFonts w:ascii="Calibri" w:hAnsi="Calibri" w:cs="Calibri"/>
                <w:i/>
                <w:sz w:val="24"/>
                <w:szCs w:val="24"/>
              </w:rPr>
            </w:pPr>
            <w:r w:rsidRPr="00580D92">
              <w:rPr>
                <w:rFonts w:ascii="Calibri" w:hAnsi="Calibri"/>
                <w:i/>
                <w:sz w:val="24"/>
                <w:szCs w:val="24"/>
              </w:rPr>
              <w:t>CACTCGGTTGTCACCAGACACAC</w:t>
            </w:r>
          </w:p>
        </w:tc>
        <w:tc>
          <w:tcPr>
            <w:tcW w:w="3119" w:type="dxa"/>
          </w:tcPr>
          <w:p w:rsidR="00E02513" w:rsidRPr="00D31730" w:rsidRDefault="00E02513" w:rsidP="00E22E2E">
            <w:pPr>
              <w:spacing w:after="0" w:line="240" w:lineRule="auto"/>
              <w:rPr>
                <w:rFonts w:ascii="Calibri" w:hAnsi="Calibri" w:cs="Calibri"/>
                <w:sz w:val="24"/>
                <w:szCs w:val="24"/>
              </w:rPr>
            </w:pP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single" w:sz="4" w:space="0" w:color="auto"/>
            </w:tcBorders>
          </w:tcPr>
          <w:p w:rsidR="00E02513" w:rsidRPr="00580D92" w:rsidRDefault="00E02513" w:rsidP="00E22E2E">
            <w:pPr>
              <w:spacing w:after="0" w:line="240" w:lineRule="auto"/>
              <w:rPr>
                <w:rFonts w:ascii="Calibri" w:hAnsi="Calibri" w:cs="Calibri"/>
                <w:i/>
                <w:sz w:val="24"/>
                <w:szCs w:val="24"/>
              </w:rPr>
            </w:pPr>
            <w:r w:rsidRPr="00580D92">
              <w:rPr>
                <w:rFonts w:ascii="Calibri" w:hAnsi="Calibri" w:cs="Calibri"/>
                <w:i/>
                <w:sz w:val="24"/>
                <w:szCs w:val="24"/>
              </w:rPr>
              <w:t>F2’R1</w:t>
            </w:r>
          </w:p>
        </w:tc>
        <w:tc>
          <w:tcPr>
            <w:tcW w:w="6379" w:type="dxa"/>
          </w:tcPr>
          <w:p w:rsidR="00E02513" w:rsidRPr="00580D92" w:rsidRDefault="00E02513" w:rsidP="00E22E2E">
            <w:pPr>
              <w:spacing w:after="0" w:line="240" w:lineRule="auto"/>
              <w:rPr>
                <w:rFonts w:ascii="Calibri" w:hAnsi="Calibri" w:cs="Calibri"/>
                <w:i/>
                <w:sz w:val="24"/>
                <w:szCs w:val="24"/>
              </w:rPr>
            </w:pPr>
            <w:r w:rsidRPr="00580D92">
              <w:rPr>
                <w:rFonts w:ascii="Calibri" w:hAnsi="Calibri"/>
                <w:i/>
                <w:sz w:val="24"/>
                <w:szCs w:val="24"/>
              </w:rPr>
              <w:t>TGTCATGGCTCCTGAAGCTAGCTGCCTGCCCTCCTCAACCACTCA</w:t>
            </w:r>
          </w:p>
        </w:tc>
        <w:tc>
          <w:tcPr>
            <w:tcW w:w="3119" w:type="dxa"/>
          </w:tcPr>
          <w:p w:rsidR="00E02513" w:rsidRPr="00D31730" w:rsidRDefault="00E02513" w:rsidP="00E22E2E">
            <w:pPr>
              <w:spacing w:after="0" w:line="240" w:lineRule="auto"/>
              <w:rPr>
                <w:rFonts w:ascii="Calibri" w:hAnsi="Calibri" w:cs="Calibri"/>
                <w:sz w:val="24"/>
                <w:szCs w:val="24"/>
              </w:rPr>
            </w:pP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single" w:sz="4" w:space="0" w:color="auto"/>
            </w:tcBorders>
          </w:tcPr>
          <w:p w:rsidR="00E02513" w:rsidRPr="00580D92" w:rsidRDefault="00E02513" w:rsidP="00E22E2E">
            <w:pPr>
              <w:spacing w:after="0" w:line="240" w:lineRule="auto"/>
              <w:rPr>
                <w:rFonts w:ascii="Calibri" w:hAnsi="Calibri" w:cs="Calibri"/>
                <w:i/>
                <w:sz w:val="24"/>
                <w:szCs w:val="24"/>
              </w:rPr>
            </w:pPr>
            <w:r w:rsidRPr="00580D92">
              <w:rPr>
                <w:rFonts w:ascii="Calibri" w:hAnsi="Calibri" w:cs="Calibri"/>
                <w:i/>
                <w:sz w:val="24"/>
                <w:szCs w:val="24"/>
              </w:rPr>
              <w:t>R2</w:t>
            </w:r>
          </w:p>
        </w:tc>
        <w:tc>
          <w:tcPr>
            <w:tcW w:w="6379" w:type="dxa"/>
          </w:tcPr>
          <w:p w:rsidR="00E02513" w:rsidRPr="00580D92" w:rsidRDefault="00E02513" w:rsidP="00E22E2E">
            <w:pPr>
              <w:spacing w:after="0" w:line="240" w:lineRule="auto"/>
              <w:rPr>
                <w:rFonts w:ascii="Calibri" w:hAnsi="Calibri" w:cs="Calibri"/>
                <w:i/>
                <w:sz w:val="24"/>
                <w:szCs w:val="24"/>
              </w:rPr>
            </w:pPr>
            <w:r w:rsidRPr="00580D92">
              <w:rPr>
                <w:rFonts w:ascii="Calibri" w:hAnsi="Calibri"/>
                <w:i/>
                <w:sz w:val="24"/>
                <w:szCs w:val="24"/>
              </w:rPr>
              <w:t>CCCAAAACAGGCCCCCTTTA</w:t>
            </w:r>
          </w:p>
        </w:tc>
        <w:tc>
          <w:tcPr>
            <w:tcW w:w="3119" w:type="dxa"/>
          </w:tcPr>
          <w:p w:rsidR="00E02513" w:rsidRPr="00D31730" w:rsidRDefault="00E02513" w:rsidP="00E22E2E">
            <w:pPr>
              <w:spacing w:after="0" w:line="240" w:lineRule="auto"/>
              <w:rPr>
                <w:rFonts w:ascii="Calibri" w:hAnsi="Calibri" w:cs="Calibri"/>
                <w:sz w:val="24"/>
                <w:szCs w:val="24"/>
              </w:rPr>
            </w:pP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single" w:sz="4" w:space="0" w:color="auto"/>
            </w:tcBorders>
          </w:tcPr>
          <w:p w:rsidR="00E02513" w:rsidRPr="00580D92" w:rsidRDefault="00E02513" w:rsidP="00E22E2E">
            <w:pPr>
              <w:spacing w:after="0" w:line="240" w:lineRule="auto"/>
              <w:rPr>
                <w:rFonts w:ascii="Calibri" w:hAnsi="Calibri" w:cs="Calibri"/>
                <w:i/>
                <w:sz w:val="24"/>
                <w:szCs w:val="24"/>
              </w:rPr>
            </w:pPr>
            <w:r w:rsidRPr="00580D92">
              <w:rPr>
                <w:rFonts w:ascii="Calibri" w:hAnsi="Calibri" w:cs="Calibri"/>
                <w:i/>
                <w:sz w:val="24"/>
                <w:szCs w:val="24"/>
              </w:rPr>
              <w:t>F2A</w:t>
            </w:r>
          </w:p>
        </w:tc>
        <w:tc>
          <w:tcPr>
            <w:tcW w:w="6379" w:type="dxa"/>
          </w:tcPr>
          <w:p w:rsidR="00E02513" w:rsidRPr="00580D92" w:rsidRDefault="00E02513" w:rsidP="00E22E2E">
            <w:pPr>
              <w:spacing w:after="0" w:line="240" w:lineRule="auto"/>
              <w:rPr>
                <w:rFonts w:ascii="Calibri" w:hAnsi="Calibri" w:cs="Calibri"/>
                <w:i/>
                <w:sz w:val="24"/>
                <w:szCs w:val="24"/>
              </w:rPr>
            </w:pPr>
            <w:r w:rsidRPr="00580D92">
              <w:rPr>
                <w:rFonts w:ascii="Calibri" w:hAnsi="Calibri"/>
                <w:i/>
                <w:sz w:val="24"/>
                <w:szCs w:val="24"/>
              </w:rPr>
              <w:t>CGCCTGCACCTCCCTCATCTTT</w:t>
            </w:r>
          </w:p>
        </w:tc>
        <w:tc>
          <w:tcPr>
            <w:tcW w:w="3119" w:type="dxa"/>
          </w:tcPr>
          <w:p w:rsidR="00E02513" w:rsidRPr="00D31730" w:rsidRDefault="00E02513" w:rsidP="00E22E2E">
            <w:pPr>
              <w:spacing w:after="0" w:line="240" w:lineRule="auto"/>
              <w:rPr>
                <w:rFonts w:ascii="Calibri" w:hAnsi="Calibri" w:cs="Calibri"/>
                <w:sz w:val="24"/>
                <w:szCs w:val="24"/>
              </w:rPr>
            </w:pP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sing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F1N</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GTGGCTGTTTGGCAATAACC</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68</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single" w:sz="4" w:space="0" w:color="auto"/>
            </w:tcBorders>
          </w:tcPr>
          <w:p w:rsidR="00E02513" w:rsidRPr="00D31730" w:rsidRDefault="00E02513" w:rsidP="00E22E2E">
            <w:pPr>
              <w:spacing w:after="0" w:line="240" w:lineRule="auto"/>
              <w:rPr>
                <w:rFonts w:ascii="Calibri" w:hAnsi="Calibri" w:cs="Calibri"/>
                <w:b/>
                <w:sz w:val="24"/>
                <w:szCs w:val="24"/>
              </w:rPr>
            </w:pPr>
            <w:r w:rsidRPr="00D31730">
              <w:rPr>
                <w:rFonts w:ascii="Calibri" w:hAnsi="Calibri" w:cs="Calibri"/>
                <w:b/>
                <w:sz w:val="24"/>
                <w:szCs w:val="24"/>
              </w:rPr>
              <w:t>R2N</w:t>
            </w:r>
          </w:p>
        </w:tc>
        <w:tc>
          <w:tcPr>
            <w:tcW w:w="6379" w:type="dxa"/>
          </w:tcPr>
          <w:p w:rsidR="00E02513" w:rsidRPr="00D31730" w:rsidRDefault="00E02513" w:rsidP="00E22E2E">
            <w:pPr>
              <w:spacing w:after="0" w:line="240" w:lineRule="auto"/>
              <w:rPr>
                <w:rFonts w:ascii="Calibri" w:hAnsi="Calibri" w:cs="Calibri"/>
                <w:sz w:val="24"/>
                <w:szCs w:val="24"/>
                <w:lang w:val="en-US"/>
              </w:rPr>
            </w:pPr>
            <w:r w:rsidRPr="00D31730">
              <w:rPr>
                <w:rFonts w:ascii="Calibri" w:hAnsi="Calibri" w:cs="Calibri"/>
                <w:sz w:val="24"/>
                <w:szCs w:val="24"/>
              </w:rPr>
              <w:t>GCGAGGAAGCTTCCTCGCG</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68</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top w:val="single" w:sz="4" w:space="0" w:color="auto"/>
              <w:left w:val="sing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b/>
                <w:sz w:val="24"/>
                <w:szCs w:val="24"/>
              </w:rPr>
              <w:t>ASPCR2086G</w:t>
            </w:r>
            <w:r w:rsidRPr="00D31730">
              <w:rPr>
                <w:rFonts w:ascii="Calibri" w:hAnsi="Calibri" w:cs="Calibri"/>
                <w:sz w:val="24"/>
                <w:szCs w:val="24"/>
              </w:rPr>
              <w:t>*</w:t>
            </w:r>
          </w:p>
        </w:tc>
        <w:tc>
          <w:tcPr>
            <w:tcW w:w="6379" w:type="dxa"/>
            <w:tcBorders>
              <w:top w:val="sing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 xml:space="preserve">AAGAGGTTTTCTCAGAGGTGAGG </w:t>
            </w:r>
          </w:p>
        </w:tc>
        <w:tc>
          <w:tcPr>
            <w:tcW w:w="3119" w:type="dxa"/>
            <w:tcBorders>
              <w:top w:val="sing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top w:val="single" w:sz="4" w:space="0" w:color="auto"/>
              <w:left w:val="sing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b/>
                <w:sz w:val="24"/>
                <w:szCs w:val="24"/>
              </w:rPr>
              <w:t>ASPCR2086T</w:t>
            </w:r>
            <w:r w:rsidRPr="00D31730">
              <w:rPr>
                <w:rFonts w:ascii="Calibri" w:hAnsi="Calibri" w:cs="Calibri"/>
                <w:sz w:val="24"/>
                <w:szCs w:val="24"/>
              </w:rPr>
              <w:t>*</w:t>
            </w:r>
          </w:p>
        </w:tc>
        <w:tc>
          <w:tcPr>
            <w:tcW w:w="6379" w:type="dxa"/>
            <w:tcBorders>
              <w:top w:val="sing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CAAAGAGGTTTTCTCAGAGGTGAGT</w:t>
            </w:r>
          </w:p>
        </w:tc>
        <w:tc>
          <w:tcPr>
            <w:tcW w:w="3119" w:type="dxa"/>
            <w:tcBorders>
              <w:top w:val="sing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rPr>
          <w:trHeight w:val="368"/>
        </w:trPr>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sing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single" w:sz="4" w:space="0" w:color="auto"/>
            </w:tcBorders>
          </w:tcPr>
          <w:p w:rsidR="00E02513" w:rsidRPr="00D31730" w:rsidRDefault="00E02513" w:rsidP="00E22E2E">
            <w:pPr>
              <w:spacing w:after="0" w:line="240" w:lineRule="auto"/>
              <w:rPr>
                <w:rFonts w:ascii="Calibri" w:hAnsi="Calibri" w:cs="Calibri"/>
                <w:b/>
                <w:sz w:val="24"/>
                <w:szCs w:val="24"/>
              </w:rPr>
            </w:pPr>
            <w:r w:rsidRPr="00D31730">
              <w:rPr>
                <w:rFonts w:ascii="Calibri" w:hAnsi="Calibri" w:cs="Calibri"/>
                <w:b/>
                <w:sz w:val="24"/>
                <w:szCs w:val="24"/>
              </w:rPr>
              <w:t>2086R</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GGTGGCAAAGAGGTTTTCTCAGA</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val="restart"/>
            <w:tcBorders>
              <w:right w:val="double" w:sz="4" w:space="0" w:color="auto"/>
            </w:tcBorders>
          </w:tcPr>
          <w:p w:rsidR="00E02513" w:rsidRPr="002131DA" w:rsidRDefault="00E02513" w:rsidP="00E22E2E">
            <w:pPr>
              <w:spacing w:after="0" w:line="240" w:lineRule="auto"/>
              <w:jc w:val="center"/>
              <w:rPr>
                <w:rFonts w:ascii="Calibri" w:hAnsi="Calibri" w:cs="Calibri"/>
                <w:i/>
                <w:sz w:val="24"/>
                <w:szCs w:val="24"/>
              </w:rPr>
            </w:pPr>
            <w:r w:rsidRPr="002131DA">
              <w:rPr>
                <w:rFonts w:ascii="Calibri" w:hAnsi="Calibri" w:cs="Calibri"/>
                <w:i/>
                <w:sz w:val="24"/>
                <w:szCs w:val="24"/>
              </w:rPr>
              <w:t>DEFA1A3</w:t>
            </w:r>
          </w:p>
        </w:tc>
        <w:tc>
          <w:tcPr>
            <w:tcW w:w="1701" w:type="dxa"/>
            <w:vMerge w:val="restart"/>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r w:rsidRPr="002131DA">
              <w:rPr>
                <w:rFonts w:ascii="Calibri" w:hAnsi="Calibri" w:cs="Calibri"/>
                <w:sz w:val="24"/>
                <w:szCs w:val="24"/>
              </w:rPr>
              <w:t>Centromeric 1</w:t>
            </w: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F1N</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GCTGGTATTCTGCAATAGCAG</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b/>
                <w:sz w:val="24"/>
                <w:szCs w:val="24"/>
              </w:rPr>
            </w:pPr>
            <w:r w:rsidRPr="00D31730">
              <w:rPr>
                <w:rFonts w:ascii="Calibri" w:hAnsi="Calibri" w:cs="Calibri"/>
                <w:b/>
                <w:sz w:val="24"/>
                <w:szCs w:val="24"/>
              </w:rPr>
              <w:t>CenR2N</w:t>
            </w:r>
          </w:p>
        </w:tc>
        <w:tc>
          <w:tcPr>
            <w:tcW w:w="6379" w:type="dxa"/>
          </w:tcPr>
          <w:p w:rsidR="00E02513" w:rsidRPr="00D31730" w:rsidRDefault="00E02513" w:rsidP="00E22E2E">
            <w:pPr>
              <w:spacing w:after="0" w:line="240" w:lineRule="auto"/>
              <w:rPr>
                <w:rFonts w:ascii="Calibri" w:hAnsi="Calibri" w:cs="Calibri"/>
                <w:sz w:val="24"/>
                <w:szCs w:val="24"/>
                <w:lang w:val="en-US"/>
              </w:rPr>
            </w:pPr>
            <w:r w:rsidRPr="00D31730">
              <w:rPr>
                <w:rFonts w:ascii="Calibri" w:hAnsi="Calibri" w:cs="Calibri"/>
                <w:sz w:val="24"/>
                <w:szCs w:val="24"/>
                <w:lang w:val="en-US"/>
              </w:rPr>
              <w:t>GCTGAAGGATGAGACCCTGT</w:t>
            </w:r>
          </w:p>
        </w:tc>
        <w:tc>
          <w:tcPr>
            <w:tcW w:w="3119" w:type="dxa"/>
          </w:tcPr>
          <w:p w:rsidR="00E02513" w:rsidRPr="00D31730" w:rsidRDefault="00E02513" w:rsidP="00E22E2E">
            <w:pPr>
              <w:spacing w:after="0" w:line="240" w:lineRule="auto"/>
              <w:rPr>
                <w:rFonts w:ascii="Calibri" w:hAnsi="Calibri" w:cs="Calibri"/>
                <w:sz w:val="24"/>
                <w:szCs w:val="24"/>
                <w:lang w:val="en-US"/>
              </w:rPr>
            </w:pPr>
            <w:r w:rsidRPr="00D31730">
              <w:rPr>
                <w:rFonts w:ascii="Calibri" w:hAnsi="Calibri" w:cs="Calibri"/>
                <w:sz w:val="24"/>
                <w:szCs w:val="24"/>
                <w:lang w:val="en-US"/>
              </w:rPr>
              <w:t>65</w:t>
            </w:r>
            <w:proofErr w:type="spellStart"/>
            <w:r w:rsidRPr="00D31730">
              <w:rPr>
                <w:rFonts w:ascii="Calibri" w:hAnsi="Calibri" w:cs="Calibri"/>
                <w:sz w:val="24"/>
                <w:szCs w:val="24"/>
                <w:vertAlign w:val="superscript"/>
              </w:rPr>
              <w:t>o</w:t>
            </w:r>
            <w:r w:rsidRPr="00D31730">
              <w:rPr>
                <w:rFonts w:ascii="Calibri" w:hAnsi="Calibri" w:cs="Calibri"/>
                <w:sz w:val="24"/>
                <w:szCs w:val="24"/>
              </w:rPr>
              <w:t>C</w:t>
            </w:r>
            <w:proofErr w:type="spellEnd"/>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b/>
                <w:sz w:val="24"/>
                <w:szCs w:val="24"/>
              </w:rPr>
              <w:t>rs4512398C</w:t>
            </w:r>
            <w:r w:rsidRPr="00D31730">
              <w:rPr>
                <w:rFonts w:ascii="Calibri" w:hAnsi="Calibri" w:cs="Calibri"/>
                <w:sz w:val="24"/>
                <w:szCs w:val="24"/>
              </w:rPr>
              <w:t>*</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ATCAGGCCAGCTCATGAGG</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bottom w:val="single" w:sz="4" w:space="0" w:color="auto"/>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b/>
                <w:sz w:val="24"/>
                <w:szCs w:val="24"/>
              </w:rPr>
              <w:t>rs4512398T</w:t>
            </w:r>
            <w:r w:rsidRPr="00D31730">
              <w:rPr>
                <w:rFonts w:ascii="Calibri" w:hAnsi="Calibri" w:cs="Calibri"/>
                <w:sz w:val="24"/>
                <w:szCs w:val="24"/>
              </w:rPr>
              <w:t>*</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ATCAGGCCAGCTCATGAGA</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64</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val="restart"/>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val="restart"/>
            <w:tcBorders>
              <w:top w:val="nil"/>
              <w:right w:val="double" w:sz="4" w:space="0" w:color="auto"/>
            </w:tcBorders>
          </w:tcPr>
          <w:p w:rsidR="00E02513" w:rsidRPr="002131DA" w:rsidRDefault="00E02513" w:rsidP="00E22E2E">
            <w:pPr>
              <w:spacing w:after="0" w:line="240" w:lineRule="auto"/>
              <w:jc w:val="center"/>
              <w:rPr>
                <w:rFonts w:ascii="Calibri" w:hAnsi="Calibri" w:cs="Calibri"/>
                <w:sz w:val="24"/>
                <w:szCs w:val="24"/>
              </w:rPr>
            </w:pPr>
            <w:r w:rsidRPr="002131DA">
              <w:rPr>
                <w:rFonts w:ascii="Calibri" w:hAnsi="Calibri" w:cs="Calibri"/>
                <w:sz w:val="24"/>
                <w:szCs w:val="24"/>
              </w:rPr>
              <w:t>Telomeric 1</w:t>
            </w: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F1N</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CCAGTTGAGGACGATGGGAT</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b/>
                <w:sz w:val="24"/>
                <w:szCs w:val="24"/>
              </w:rPr>
            </w:pPr>
            <w:r w:rsidRPr="00D31730">
              <w:rPr>
                <w:rFonts w:ascii="Calibri" w:hAnsi="Calibri" w:cs="Calibri"/>
                <w:b/>
                <w:sz w:val="24"/>
                <w:szCs w:val="24"/>
              </w:rPr>
              <w:t>TelR2N</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GGTTCCAGAGTTGGGTCTCA</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rs2738046C*</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CTCATCTGCCCCCTTCCC</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71</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rs2738046A*</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CTCATCTGCCCCCTTCCA</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71</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rs2702910G*</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GATTTTTATTGATTTTTAAAGCAATG</w:t>
            </w:r>
          </w:p>
        </w:tc>
        <w:tc>
          <w:tcPr>
            <w:tcW w:w="3119" w:type="dxa"/>
          </w:tcPr>
          <w:p w:rsidR="00E02513" w:rsidRPr="00D31730" w:rsidRDefault="00E02513" w:rsidP="00E22E2E">
            <w:pPr>
              <w:spacing w:after="0"/>
              <w:rPr>
                <w:rStyle w:val="HTMLTypewriter"/>
                <w:rFonts w:ascii="Calibri" w:eastAsia="Calibri" w:hAnsi="Calibri" w:cs="Calibri"/>
                <w:sz w:val="24"/>
                <w:szCs w:val="24"/>
              </w:rPr>
            </w:pPr>
            <w:r>
              <w:rPr>
                <w:rFonts w:ascii="Calibri" w:hAnsi="Calibri" w:cs="Calibri"/>
                <w:sz w:val="24"/>
                <w:szCs w:val="24"/>
              </w:rPr>
              <w:t>68</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rs2702910A*</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GATTTTTATTGATTTTTAAAGCAATA</w:t>
            </w:r>
          </w:p>
        </w:tc>
        <w:tc>
          <w:tcPr>
            <w:tcW w:w="3119" w:type="dxa"/>
          </w:tcPr>
          <w:p w:rsidR="00E02513" w:rsidRPr="00D31730" w:rsidRDefault="00E02513" w:rsidP="00E22E2E">
            <w:pPr>
              <w:spacing w:after="0"/>
              <w:rPr>
                <w:rStyle w:val="HTMLTypewriter"/>
                <w:rFonts w:ascii="Calibri" w:eastAsia="Calibri" w:hAnsi="Calibri" w:cs="Calibri"/>
                <w:sz w:val="24"/>
                <w:szCs w:val="24"/>
              </w:rPr>
            </w:pPr>
            <w:r>
              <w:rPr>
                <w:rFonts w:ascii="Calibri" w:hAnsi="Calibri" w:cs="Calibri"/>
                <w:sz w:val="24"/>
                <w:szCs w:val="24"/>
              </w:rPr>
              <w:t>68</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val="restart"/>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r w:rsidRPr="002131DA">
              <w:rPr>
                <w:rFonts w:ascii="Calibri" w:hAnsi="Calibri" w:cs="Calibri"/>
                <w:sz w:val="24"/>
                <w:szCs w:val="24"/>
              </w:rPr>
              <w:t>Telomeric 2</w:t>
            </w:r>
          </w:p>
        </w:tc>
        <w:tc>
          <w:tcPr>
            <w:tcW w:w="1984" w:type="dxa"/>
            <w:tcBorders>
              <w:left w:val="double" w:sz="4" w:space="0" w:color="auto"/>
            </w:tcBorders>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F1N</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ACAGGAAGCCCATGTCTCTTCC</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line="240" w:lineRule="auto"/>
              <w:rPr>
                <w:rFonts w:ascii="Calibri" w:hAnsi="Calibri" w:cs="Calibri"/>
                <w:b/>
                <w:sz w:val="24"/>
                <w:szCs w:val="24"/>
              </w:rPr>
            </w:pPr>
            <w:r w:rsidRPr="00D31730">
              <w:rPr>
                <w:rFonts w:ascii="Calibri" w:hAnsi="Calibri" w:cs="Calibri"/>
                <w:b/>
                <w:sz w:val="24"/>
                <w:szCs w:val="24"/>
              </w:rPr>
              <w:t>TelR2N</w:t>
            </w:r>
          </w:p>
        </w:tc>
        <w:tc>
          <w:tcPr>
            <w:tcW w:w="637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GGTTCCAGAGTTGGGTCTCA</w:t>
            </w:r>
          </w:p>
        </w:tc>
        <w:tc>
          <w:tcPr>
            <w:tcW w:w="3119" w:type="dxa"/>
          </w:tcPr>
          <w:p w:rsidR="00E02513" w:rsidRPr="00D31730" w:rsidRDefault="00E02513" w:rsidP="00E22E2E">
            <w:pPr>
              <w:spacing w:after="0" w:line="240" w:lineRule="auto"/>
              <w:rPr>
                <w:rFonts w:ascii="Calibri" w:hAnsi="Calibri" w:cs="Calibri"/>
                <w:sz w:val="24"/>
                <w:szCs w:val="24"/>
              </w:rPr>
            </w:pPr>
            <w:r w:rsidRPr="00D31730">
              <w:rPr>
                <w:rFonts w:ascii="Calibri" w:hAnsi="Calibri" w:cs="Calibri"/>
                <w:sz w:val="24"/>
                <w:szCs w:val="24"/>
              </w:rPr>
              <w:t>65</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rPr>
                <w:rFonts w:ascii="Calibri" w:hAnsi="Calibri" w:cs="Calibri"/>
                <w:sz w:val="24"/>
                <w:szCs w:val="24"/>
              </w:rPr>
            </w:pPr>
            <w:r w:rsidRPr="00D31730">
              <w:rPr>
                <w:rFonts w:ascii="Calibri" w:hAnsi="Calibri" w:cs="Calibri"/>
                <w:sz w:val="24"/>
                <w:szCs w:val="24"/>
              </w:rPr>
              <w:t>rs56342413A*</w:t>
            </w:r>
          </w:p>
        </w:tc>
        <w:tc>
          <w:tcPr>
            <w:tcW w:w="6379" w:type="dxa"/>
          </w:tcPr>
          <w:p w:rsidR="00E02513" w:rsidRPr="00D31730" w:rsidRDefault="00E02513" w:rsidP="00E22E2E">
            <w:pPr>
              <w:spacing w:after="0"/>
              <w:rPr>
                <w:rFonts w:ascii="Calibri" w:hAnsi="Calibri" w:cs="Calibri"/>
                <w:sz w:val="24"/>
                <w:szCs w:val="24"/>
              </w:rPr>
            </w:pPr>
            <w:r w:rsidRPr="00D31730">
              <w:rPr>
                <w:rStyle w:val="HTMLTypewriter"/>
                <w:rFonts w:ascii="Calibri" w:eastAsia="Calibri" w:hAnsi="Calibri" w:cs="Calibri"/>
                <w:sz w:val="24"/>
                <w:szCs w:val="24"/>
              </w:rPr>
              <w:t>GAAGCCCATGTCTCTTCCA</w:t>
            </w:r>
          </w:p>
        </w:tc>
        <w:tc>
          <w:tcPr>
            <w:tcW w:w="3119" w:type="dxa"/>
          </w:tcPr>
          <w:p w:rsidR="00E02513" w:rsidRPr="00D31730" w:rsidRDefault="00E02513" w:rsidP="00E22E2E">
            <w:pPr>
              <w:spacing w:after="0"/>
              <w:rPr>
                <w:rStyle w:val="HTMLTypewriter"/>
                <w:rFonts w:ascii="Calibri" w:eastAsia="Calibri" w:hAnsi="Calibri" w:cs="Calibri"/>
                <w:sz w:val="24"/>
                <w:szCs w:val="24"/>
              </w:rPr>
            </w:pPr>
            <w:r w:rsidRPr="00D31730">
              <w:rPr>
                <w:rStyle w:val="HTMLTypewriter"/>
                <w:rFonts w:ascii="Calibri" w:eastAsia="Calibri" w:hAnsi="Calibri" w:cs="Calibri"/>
                <w:sz w:val="24"/>
                <w:szCs w:val="24"/>
              </w:rPr>
              <w:t>72</w:t>
            </w:r>
            <w:r w:rsidRPr="00D31730">
              <w:rPr>
                <w:rFonts w:ascii="Calibri" w:hAnsi="Calibri" w:cs="Calibri"/>
                <w:sz w:val="24"/>
                <w:szCs w:val="24"/>
                <w:vertAlign w:val="superscript"/>
              </w:rPr>
              <w:t>o</w:t>
            </w:r>
            <w:r w:rsidRPr="00D31730">
              <w:rPr>
                <w:rFonts w:ascii="Calibri" w:hAnsi="Calibri" w:cs="Calibri"/>
                <w:sz w:val="24"/>
                <w:szCs w:val="24"/>
              </w:rPr>
              <w:t>C</w:t>
            </w:r>
          </w:p>
        </w:tc>
      </w:tr>
      <w:tr w:rsidR="00E02513" w:rsidRPr="002131DA" w:rsidTr="00E02513">
        <w:tc>
          <w:tcPr>
            <w:tcW w:w="1526"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701" w:type="dxa"/>
            <w:vMerge/>
            <w:tcBorders>
              <w:right w:val="double" w:sz="4" w:space="0" w:color="auto"/>
            </w:tcBorders>
          </w:tcPr>
          <w:p w:rsidR="00E02513" w:rsidRPr="002131DA" w:rsidRDefault="00E02513" w:rsidP="00E22E2E">
            <w:pPr>
              <w:spacing w:after="0" w:line="240" w:lineRule="auto"/>
              <w:jc w:val="center"/>
              <w:rPr>
                <w:rFonts w:ascii="Calibri" w:hAnsi="Calibri" w:cs="Calibri"/>
                <w:sz w:val="24"/>
                <w:szCs w:val="24"/>
              </w:rPr>
            </w:pPr>
          </w:p>
        </w:tc>
        <w:tc>
          <w:tcPr>
            <w:tcW w:w="1984" w:type="dxa"/>
            <w:tcBorders>
              <w:left w:val="double" w:sz="4" w:space="0" w:color="auto"/>
            </w:tcBorders>
          </w:tcPr>
          <w:p w:rsidR="00E02513" w:rsidRPr="00D31730" w:rsidRDefault="00E02513" w:rsidP="00E22E2E">
            <w:pPr>
              <w:spacing w:after="0"/>
              <w:rPr>
                <w:rFonts w:ascii="Calibri" w:hAnsi="Calibri" w:cs="Calibri"/>
                <w:sz w:val="24"/>
                <w:szCs w:val="24"/>
              </w:rPr>
            </w:pPr>
            <w:r w:rsidRPr="00D31730">
              <w:rPr>
                <w:rFonts w:ascii="Calibri" w:hAnsi="Calibri" w:cs="Calibri"/>
                <w:sz w:val="24"/>
                <w:szCs w:val="24"/>
              </w:rPr>
              <w:t>rs56342413C*</w:t>
            </w:r>
          </w:p>
        </w:tc>
        <w:tc>
          <w:tcPr>
            <w:tcW w:w="6379" w:type="dxa"/>
          </w:tcPr>
          <w:p w:rsidR="00E02513" w:rsidRPr="00D31730" w:rsidRDefault="00E02513" w:rsidP="00E22E2E">
            <w:pPr>
              <w:spacing w:after="0"/>
              <w:rPr>
                <w:rFonts w:ascii="Calibri" w:hAnsi="Calibri" w:cs="Calibri"/>
                <w:sz w:val="24"/>
                <w:szCs w:val="24"/>
              </w:rPr>
            </w:pPr>
            <w:r w:rsidRPr="00D31730">
              <w:rPr>
                <w:rStyle w:val="HTMLTypewriter"/>
                <w:rFonts w:ascii="Calibri" w:eastAsia="Calibri" w:hAnsi="Calibri" w:cs="Calibri"/>
                <w:sz w:val="24"/>
                <w:szCs w:val="24"/>
              </w:rPr>
              <w:t>GAAGCCCATGTCTCTTCCC</w:t>
            </w:r>
          </w:p>
        </w:tc>
        <w:tc>
          <w:tcPr>
            <w:tcW w:w="3119" w:type="dxa"/>
          </w:tcPr>
          <w:p w:rsidR="00E02513" w:rsidRPr="00D31730" w:rsidRDefault="00E02513" w:rsidP="00E22E2E">
            <w:pPr>
              <w:spacing w:after="0"/>
              <w:rPr>
                <w:rStyle w:val="HTMLTypewriter"/>
                <w:rFonts w:ascii="Calibri" w:eastAsia="Calibri" w:hAnsi="Calibri" w:cs="Calibri"/>
                <w:sz w:val="24"/>
                <w:szCs w:val="24"/>
              </w:rPr>
            </w:pPr>
            <w:r w:rsidRPr="00D31730">
              <w:rPr>
                <w:rStyle w:val="HTMLTypewriter"/>
                <w:rFonts w:ascii="Calibri" w:eastAsia="Calibri" w:hAnsi="Calibri" w:cs="Calibri"/>
                <w:sz w:val="24"/>
                <w:szCs w:val="24"/>
              </w:rPr>
              <w:t>72</w:t>
            </w:r>
            <w:r w:rsidRPr="00D31730">
              <w:rPr>
                <w:rFonts w:ascii="Calibri" w:hAnsi="Calibri" w:cs="Calibri"/>
                <w:sz w:val="24"/>
                <w:szCs w:val="24"/>
                <w:vertAlign w:val="superscript"/>
              </w:rPr>
              <w:t>o</w:t>
            </w:r>
            <w:r w:rsidRPr="00D31730">
              <w:rPr>
                <w:rFonts w:ascii="Calibri" w:hAnsi="Calibri" w:cs="Calibri"/>
                <w:sz w:val="24"/>
                <w:szCs w:val="24"/>
              </w:rPr>
              <w:t>C</w:t>
            </w:r>
          </w:p>
        </w:tc>
      </w:tr>
    </w:tbl>
    <w:p w:rsidR="00E02513" w:rsidRPr="002131DA" w:rsidRDefault="00E02513" w:rsidP="00E02513">
      <w:pPr>
        <w:jc w:val="center"/>
        <w:rPr>
          <w:rFonts w:ascii="Calibri" w:hAnsi="Calibri" w:cs="Calibri"/>
          <w:sz w:val="24"/>
          <w:szCs w:val="24"/>
        </w:rPr>
      </w:pPr>
    </w:p>
    <w:p w:rsidR="00E02513" w:rsidRPr="00E02513" w:rsidRDefault="00E02513" w:rsidP="00E02513">
      <w:pPr>
        <w:rPr>
          <w:rFonts w:asciiTheme="minorHAnsi" w:hAnsiTheme="minorHAnsi" w:cstheme="minorHAnsi"/>
          <w:sz w:val="24"/>
          <w:szCs w:val="24"/>
        </w:rPr>
      </w:pPr>
      <w:r w:rsidRPr="002131DA">
        <w:rPr>
          <w:rFonts w:ascii="Calibri" w:hAnsi="Calibri" w:cs="Calibri"/>
          <w:sz w:val="24"/>
          <w:szCs w:val="24"/>
        </w:rPr>
        <w:t>*allele-specific primers</w:t>
      </w:r>
    </w:p>
    <w:sectPr w:rsidR="00E02513" w:rsidRPr="00E02513" w:rsidSect="00E02513">
      <w:pgSz w:w="16838" w:h="11906" w:orient="landscape" w:code="9"/>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Formatting/>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DE7D2630-96C0-4B97-96E8-DA9489336B41}"/>
    <w:docVar w:name="dgnword-eventsink" w:val="3150328"/>
    <w:docVar w:name="EN.InstantFormat" w:val="&lt;ENInstantFormat&gt;&lt;Enabled&gt;1&lt;/Enabled&gt;&lt;ScanUnformatted&gt;1&lt;/ScanUnformatted&gt;&lt;ScanChanges&gt;1&lt;/ScanChanges&gt;&lt;Suspended&gt;1&lt;/Suspended&gt;&lt;/ENInstantFormat&gt;"/>
    <w:docVar w:name="EN.Layout" w:val="&lt;ENLayout&gt;&lt;Style&gt;BMC Genomics&lt;/Style&gt;&lt;LeftDelim&gt;{&lt;/LeftDelim&gt;&lt;RightDelim&gt;}&lt;/RightDelim&gt;&lt;FontName&gt;Verdana&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tx9v9s96fwx0mepf29pxspfarw950zxwzvv&quot;&gt;jess endnote Copy&lt;record-ids&gt;&lt;item&gt;29&lt;/item&gt;&lt;item&gt;753&lt;/item&gt;&lt;item&gt;755&lt;/item&gt;&lt;item&gt;778&lt;/item&gt;&lt;item&gt;779&lt;/item&gt;&lt;/record-ids&gt;&lt;/item&gt;&lt;/Libraries&gt;"/>
  </w:docVars>
  <w:rsids>
    <w:rsidRoot w:val="00F80A7F"/>
    <w:rsid w:val="000B4661"/>
    <w:rsid w:val="00122DF1"/>
    <w:rsid w:val="002165A9"/>
    <w:rsid w:val="002438EE"/>
    <w:rsid w:val="002928E3"/>
    <w:rsid w:val="00355B51"/>
    <w:rsid w:val="003D3BE8"/>
    <w:rsid w:val="003F3010"/>
    <w:rsid w:val="004F6D00"/>
    <w:rsid w:val="00646350"/>
    <w:rsid w:val="00695995"/>
    <w:rsid w:val="0071338F"/>
    <w:rsid w:val="00773288"/>
    <w:rsid w:val="00785651"/>
    <w:rsid w:val="007977AF"/>
    <w:rsid w:val="007B0F62"/>
    <w:rsid w:val="007F7603"/>
    <w:rsid w:val="008314C4"/>
    <w:rsid w:val="00AB004A"/>
    <w:rsid w:val="00AF0936"/>
    <w:rsid w:val="00B80831"/>
    <w:rsid w:val="00C7123C"/>
    <w:rsid w:val="00C97299"/>
    <w:rsid w:val="00CD3434"/>
    <w:rsid w:val="00CF0E47"/>
    <w:rsid w:val="00CF4E54"/>
    <w:rsid w:val="00DA4617"/>
    <w:rsid w:val="00DD2EF5"/>
    <w:rsid w:val="00E02513"/>
    <w:rsid w:val="00E36026"/>
    <w:rsid w:val="00EA76D9"/>
    <w:rsid w:val="00F80A7F"/>
    <w:rsid w:val="00F9134B"/>
    <w:rsid w:val="00FE3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A7F"/>
    <w:rPr>
      <w:rFonts w:ascii="Verdana" w:eastAsia="Microsoft YaHei" w:hAnsi="Verdana" w:cs="Times New Roman"/>
      <w:sz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936"/>
    <w:rPr>
      <w:color w:val="0000FF" w:themeColor="hyperlink"/>
      <w:u w:val="single"/>
    </w:rPr>
  </w:style>
  <w:style w:type="character" w:styleId="CommentReference">
    <w:name w:val="annotation reference"/>
    <w:uiPriority w:val="99"/>
    <w:semiHidden/>
    <w:unhideWhenUsed/>
    <w:rsid w:val="00EA76D9"/>
    <w:rPr>
      <w:sz w:val="16"/>
      <w:szCs w:val="16"/>
    </w:rPr>
  </w:style>
  <w:style w:type="paragraph" w:styleId="CommentText">
    <w:name w:val="annotation text"/>
    <w:basedOn w:val="Normal"/>
    <w:link w:val="CommentTextChar"/>
    <w:uiPriority w:val="99"/>
    <w:semiHidden/>
    <w:unhideWhenUsed/>
    <w:rsid w:val="00EA76D9"/>
    <w:rPr>
      <w:szCs w:val="20"/>
    </w:rPr>
  </w:style>
  <w:style w:type="character" w:customStyle="1" w:styleId="CommentTextChar">
    <w:name w:val="Comment Text Char"/>
    <w:basedOn w:val="DefaultParagraphFont"/>
    <w:link w:val="CommentText"/>
    <w:uiPriority w:val="99"/>
    <w:semiHidden/>
    <w:rsid w:val="00EA76D9"/>
    <w:rPr>
      <w:rFonts w:ascii="Verdana" w:eastAsia="Microsoft YaHei" w:hAnsi="Verdana" w:cs="Times New Roman"/>
      <w:sz w:val="20"/>
      <w:szCs w:val="20"/>
      <w:lang w:eastAsia="zh-CN"/>
    </w:rPr>
  </w:style>
  <w:style w:type="paragraph" w:styleId="BalloonText">
    <w:name w:val="Balloon Text"/>
    <w:basedOn w:val="Normal"/>
    <w:link w:val="BalloonTextChar"/>
    <w:uiPriority w:val="99"/>
    <w:semiHidden/>
    <w:unhideWhenUsed/>
    <w:rsid w:val="00EA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6D9"/>
    <w:rPr>
      <w:rFonts w:ascii="Tahoma" w:eastAsia="Microsoft YaHei" w:hAnsi="Tahoma" w:cs="Tahoma"/>
      <w:sz w:val="16"/>
      <w:szCs w:val="16"/>
      <w:lang w:eastAsia="zh-CN"/>
    </w:rPr>
  </w:style>
  <w:style w:type="paragraph" w:styleId="CommentSubject">
    <w:name w:val="annotation subject"/>
    <w:basedOn w:val="CommentText"/>
    <w:next w:val="CommentText"/>
    <w:link w:val="CommentSubjectChar"/>
    <w:uiPriority w:val="99"/>
    <w:semiHidden/>
    <w:unhideWhenUsed/>
    <w:rsid w:val="000B4661"/>
    <w:pPr>
      <w:spacing w:line="240" w:lineRule="auto"/>
    </w:pPr>
    <w:rPr>
      <w:b/>
      <w:bCs/>
    </w:rPr>
  </w:style>
  <w:style w:type="character" w:customStyle="1" w:styleId="CommentSubjectChar">
    <w:name w:val="Comment Subject Char"/>
    <w:basedOn w:val="CommentTextChar"/>
    <w:link w:val="CommentSubject"/>
    <w:uiPriority w:val="99"/>
    <w:semiHidden/>
    <w:rsid w:val="000B4661"/>
    <w:rPr>
      <w:rFonts w:ascii="Verdana" w:eastAsia="Microsoft YaHei" w:hAnsi="Verdana" w:cs="Times New Roman"/>
      <w:b/>
      <w:bCs/>
      <w:sz w:val="20"/>
      <w:szCs w:val="20"/>
      <w:lang w:eastAsia="zh-CN"/>
    </w:rPr>
  </w:style>
  <w:style w:type="table" w:styleId="TableGrid">
    <w:name w:val="Table Grid"/>
    <w:basedOn w:val="TableNormal"/>
    <w:uiPriority w:val="59"/>
    <w:rsid w:val="00E02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Typewriter">
    <w:name w:val="HTML Typewriter"/>
    <w:uiPriority w:val="99"/>
    <w:semiHidden/>
    <w:unhideWhenUsed/>
    <w:rsid w:val="00E02513"/>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A7F"/>
    <w:rPr>
      <w:rFonts w:ascii="Verdana" w:eastAsia="Microsoft YaHei" w:hAnsi="Verdana" w:cs="Times New Roman"/>
      <w:sz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936"/>
    <w:rPr>
      <w:color w:val="0000FF" w:themeColor="hyperlink"/>
      <w:u w:val="single"/>
    </w:rPr>
  </w:style>
  <w:style w:type="character" w:styleId="CommentReference">
    <w:name w:val="annotation reference"/>
    <w:uiPriority w:val="99"/>
    <w:semiHidden/>
    <w:unhideWhenUsed/>
    <w:rsid w:val="00EA76D9"/>
    <w:rPr>
      <w:sz w:val="16"/>
      <w:szCs w:val="16"/>
    </w:rPr>
  </w:style>
  <w:style w:type="paragraph" w:styleId="CommentText">
    <w:name w:val="annotation text"/>
    <w:basedOn w:val="Normal"/>
    <w:link w:val="CommentTextChar"/>
    <w:uiPriority w:val="99"/>
    <w:semiHidden/>
    <w:unhideWhenUsed/>
    <w:rsid w:val="00EA76D9"/>
    <w:rPr>
      <w:szCs w:val="20"/>
    </w:rPr>
  </w:style>
  <w:style w:type="character" w:customStyle="1" w:styleId="CommentTextChar">
    <w:name w:val="Comment Text Char"/>
    <w:basedOn w:val="DefaultParagraphFont"/>
    <w:link w:val="CommentText"/>
    <w:uiPriority w:val="99"/>
    <w:semiHidden/>
    <w:rsid w:val="00EA76D9"/>
    <w:rPr>
      <w:rFonts w:ascii="Verdana" w:eastAsia="Microsoft YaHei" w:hAnsi="Verdana" w:cs="Times New Roman"/>
      <w:sz w:val="20"/>
      <w:szCs w:val="20"/>
      <w:lang w:eastAsia="zh-CN"/>
    </w:rPr>
  </w:style>
  <w:style w:type="paragraph" w:styleId="BalloonText">
    <w:name w:val="Balloon Text"/>
    <w:basedOn w:val="Normal"/>
    <w:link w:val="BalloonTextChar"/>
    <w:uiPriority w:val="99"/>
    <w:semiHidden/>
    <w:unhideWhenUsed/>
    <w:rsid w:val="00EA7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6D9"/>
    <w:rPr>
      <w:rFonts w:ascii="Tahoma" w:eastAsia="Microsoft YaHei" w:hAnsi="Tahoma" w:cs="Tahoma"/>
      <w:sz w:val="16"/>
      <w:szCs w:val="16"/>
      <w:lang w:eastAsia="zh-CN"/>
    </w:rPr>
  </w:style>
  <w:style w:type="paragraph" w:styleId="CommentSubject">
    <w:name w:val="annotation subject"/>
    <w:basedOn w:val="CommentText"/>
    <w:next w:val="CommentText"/>
    <w:link w:val="CommentSubjectChar"/>
    <w:uiPriority w:val="99"/>
    <w:semiHidden/>
    <w:unhideWhenUsed/>
    <w:rsid w:val="000B4661"/>
    <w:pPr>
      <w:spacing w:line="240" w:lineRule="auto"/>
    </w:pPr>
    <w:rPr>
      <w:b/>
      <w:bCs/>
    </w:rPr>
  </w:style>
  <w:style w:type="character" w:customStyle="1" w:styleId="CommentSubjectChar">
    <w:name w:val="Comment Subject Char"/>
    <w:basedOn w:val="CommentTextChar"/>
    <w:link w:val="CommentSubject"/>
    <w:uiPriority w:val="99"/>
    <w:semiHidden/>
    <w:rsid w:val="000B4661"/>
    <w:rPr>
      <w:rFonts w:ascii="Verdana" w:eastAsia="Microsoft YaHei" w:hAnsi="Verdana" w:cs="Times New Roman"/>
      <w:b/>
      <w:bCs/>
      <w:sz w:val="20"/>
      <w:szCs w:val="20"/>
      <w:lang w:eastAsia="zh-CN"/>
    </w:rPr>
  </w:style>
  <w:style w:type="table" w:styleId="TableGrid">
    <w:name w:val="Table Grid"/>
    <w:basedOn w:val="TableNormal"/>
    <w:uiPriority w:val="59"/>
    <w:rsid w:val="00E02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Typewriter">
    <w:name w:val="HTML Typewriter"/>
    <w:uiPriority w:val="99"/>
    <w:semiHidden/>
    <w:unhideWhenUsed/>
    <w:rsid w:val="00E025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4185</Words>
  <Characters>23856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27986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Tyson Jess</dc:creator>
  <cp:lastModifiedBy>Tyson Jess</cp:lastModifiedBy>
  <cp:revision>2</cp:revision>
  <dcterms:created xsi:type="dcterms:W3CDTF">2012-11-30T09:58:00Z</dcterms:created>
  <dcterms:modified xsi:type="dcterms:W3CDTF">2012-11-30T09:58:00Z</dcterms:modified>
</cp:coreProperties>
</file>