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7F146B">
      <w:r>
        <w:t>Figure S1</w:t>
      </w:r>
    </w:p>
    <w:p w:rsidR="007F146B" w:rsidRDefault="007F146B">
      <w:r w:rsidRPr="007F146B">
        <w:drawing>
          <wp:inline distT="0" distB="0" distL="0" distR="0">
            <wp:extent cx="4876800" cy="3648075"/>
            <wp:effectExtent l="0" t="0" r="0" b="0"/>
            <wp:docPr id="6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sectPr w:rsidR="007F146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>
    <w:useFELayout/>
  </w:compat>
  <w:rsids>
    <w:rsidRoot w:val="007F146B"/>
    <w:rsid w:val="007F14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F14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146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Projects\DNAmethylation\MethylationMutationRate\manuscript\05302012\Figures_06102012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style val="1"/>
  <c:chart>
    <c:plotArea>
      <c:layout/>
      <c:barChart>
        <c:barDir val="col"/>
        <c:grouping val="clustered"/>
        <c:ser>
          <c:idx val="0"/>
          <c:order val="0"/>
          <c:tx>
            <c:strRef>
              <c:f>'Figure S1'!$B$1</c:f>
              <c:strCache>
                <c:ptCount val="1"/>
                <c:pt idx="0">
                  <c:v>H1</c:v>
                </c:pt>
              </c:strCache>
            </c:strRef>
          </c:tx>
          <c:cat>
            <c:strRef>
              <c:f>'Figure S1'!$A$2:$A$9</c:f>
              <c:strCache>
                <c:ptCount val="8"/>
                <c:pt idx="0">
                  <c:v>Total_CpG</c:v>
                </c:pt>
                <c:pt idx="1">
                  <c:v>mCpG</c:v>
                </c:pt>
                <c:pt idx="2">
                  <c:v>H_mCpG</c:v>
                </c:pt>
                <c:pt idx="3">
                  <c:v>HI_mCpG</c:v>
                </c:pt>
                <c:pt idx="4">
                  <c:v>I_mCpG</c:v>
                </c:pt>
                <c:pt idx="5">
                  <c:v>LI_mCpG</c:v>
                </c:pt>
                <c:pt idx="6">
                  <c:v>L_mCpG</c:v>
                </c:pt>
                <c:pt idx="7">
                  <c:v>unCpG</c:v>
                </c:pt>
              </c:strCache>
            </c:strRef>
          </c:cat>
          <c:val>
            <c:numRef>
              <c:f>'Figure S1'!$B$2:$B$9</c:f>
              <c:numCache>
                <c:formatCode>0.00</c:formatCode>
                <c:ptCount val="8"/>
                <c:pt idx="0">
                  <c:v>3.1612674426539948</c:v>
                </c:pt>
                <c:pt idx="1">
                  <c:v>3.54931809525625</c:v>
                </c:pt>
                <c:pt idx="2">
                  <c:v>2.9313080586794724</c:v>
                </c:pt>
                <c:pt idx="3">
                  <c:v>3.3557429576772617</c:v>
                </c:pt>
                <c:pt idx="4">
                  <c:v>8.2840669926523987</c:v>
                </c:pt>
                <c:pt idx="5">
                  <c:v>11.752602510200603</c:v>
                </c:pt>
                <c:pt idx="6">
                  <c:v>6.3230966128585155</c:v>
                </c:pt>
                <c:pt idx="7">
                  <c:v>1.2053252302008401</c:v>
                </c:pt>
              </c:numCache>
            </c:numRef>
          </c:val>
        </c:ser>
        <c:ser>
          <c:idx val="1"/>
          <c:order val="1"/>
          <c:tx>
            <c:strRef>
              <c:f>'Figure S1'!$C$1</c:f>
              <c:strCache>
                <c:ptCount val="1"/>
                <c:pt idx="0">
                  <c:v>IMR90</c:v>
                </c:pt>
              </c:strCache>
            </c:strRef>
          </c:tx>
          <c:cat>
            <c:strRef>
              <c:f>'Figure S1'!$A$2:$A$9</c:f>
              <c:strCache>
                <c:ptCount val="8"/>
                <c:pt idx="0">
                  <c:v>Total_CpG</c:v>
                </c:pt>
                <c:pt idx="1">
                  <c:v>mCpG</c:v>
                </c:pt>
                <c:pt idx="2">
                  <c:v>H_mCpG</c:v>
                </c:pt>
                <c:pt idx="3">
                  <c:v>HI_mCpG</c:v>
                </c:pt>
                <c:pt idx="4">
                  <c:v>I_mCpG</c:v>
                </c:pt>
                <c:pt idx="5">
                  <c:v>LI_mCpG</c:v>
                </c:pt>
                <c:pt idx="6">
                  <c:v>L_mCpG</c:v>
                </c:pt>
                <c:pt idx="7">
                  <c:v>unCpG</c:v>
                </c:pt>
              </c:strCache>
            </c:strRef>
          </c:cat>
          <c:val>
            <c:numRef>
              <c:f>'Figure S1'!$C$2:$C$9</c:f>
              <c:numCache>
                <c:formatCode>0.00</c:formatCode>
                <c:ptCount val="8"/>
                <c:pt idx="0">
                  <c:v>3.1612674426539948</c:v>
                </c:pt>
                <c:pt idx="1">
                  <c:v>3.4026106613517602</c:v>
                </c:pt>
                <c:pt idx="2">
                  <c:v>2.5933693075319675</c:v>
                </c:pt>
                <c:pt idx="3">
                  <c:v>3.2287369266171315</c:v>
                </c:pt>
                <c:pt idx="4">
                  <c:v>4.9081870073587393</c:v>
                </c:pt>
                <c:pt idx="5">
                  <c:v>5.2889465731314855</c:v>
                </c:pt>
                <c:pt idx="6">
                  <c:v>4.5949602878448657</c:v>
                </c:pt>
                <c:pt idx="7">
                  <c:v>2.1716051238492975</c:v>
                </c:pt>
              </c:numCache>
            </c:numRef>
          </c:val>
        </c:ser>
        <c:gapWidth val="300"/>
        <c:axId val="169873792"/>
        <c:axId val="169875328"/>
      </c:barChart>
      <c:catAx>
        <c:axId val="169873792"/>
        <c:scaling>
          <c:orientation val="minMax"/>
        </c:scaling>
        <c:axPos val="b"/>
        <c:majorTickMark val="none"/>
        <c:tickLblPos val="nextTo"/>
        <c:txPr>
          <a:bodyPr/>
          <a:lstStyle/>
          <a:p>
            <a:pPr>
              <a:defRPr lang="zh-CN"/>
            </a:pPr>
            <a:endParaRPr lang="en-US"/>
          </a:p>
        </c:txPr>
        <c:crossAx val="169875328"/>
        <c:crosses val="autoZero"/>
        <c:auto val="1"/>
        <c:lblAlgn val="ctr"/>
        <c:lblOffset val="100"/>
      </c:catAx>
      <c:valAx>
        <c:axId val="169875328"/>
        <c:scaling>
          <c:orientation val="minMax"/>
          <c:max val="15"/>
        </c:scaling>
        <c:axPos val="l"/>
        <c:title>
          <c:tx>
            <c:rich>
              <a:bodyPr/>
              <a:lstStyle/>
              <a:p>
                <a:pPr>
                  <a:defRPr lang="zh-CN" b="0"/>
                </a:pPr>
                <a:r>
                  <a:rPr lang="en-US" b="0"/>
                  <a:t>SNP density (%)</a:t>
                </a:r>
              </a:p>
            </c:rich>
          </c:tx>
        </c:title>
        <c:numFmt formatCode="#,##0_);\(#,##0\)" sourceLinked="0"/>
        <c:tickLblPos val="nextTo"/>
        <c:txPr>
          <a:bodyPr/>
          <a:lstStyle/>
          <a:p>
            <a:pPr>
              <a:defRPr lang="zh-CN"/>
            </a:pPr>
            <a:endParaRPr lang="en-US"/>
          </a:p>
        </c:txPr>
        <c:crossAx val="169873792"/>
        <c:crosses val="autoZero"/>
        <c:crossBetween val="between"/>
        <c:majorUnit val="5"/>
      </c:valAx>
    </c:plotArea>
    <c:legend>
      <c:legendPos val="r"/>
      <c:layout>
        <c:manualLayout>
          <c:xMode val="edge"/>
          <c:yMode val="edge"/>
          <c:x val="0.17882086614173226"/>
          <c:y val="3.6653178769320623E-2"/>
          <c:w val="0.11921177821522323"/>
          <c:h val="0.1022920307285351"/>
        </c:manualLayout>
      </c:layout>
      <c:txPr>
        <a:bodyPr/>
        <a:lstStyle/>
        <a:p>
          <a:pPr>
            <a:defRPr lang="zh-CN"/>
          </a:pPr>
          <a:endParaRPr lang="en-US"/>
        </a:p>
      </c:txPr>
    </c:legend>
    <c:plotVisOnly val="1"/>
    <c:dispBlanksAs val="gap"/>
  </c:chart>
  <c:spPr>
    <a:ln>
      <a:noFill/>
    </a:ln>
  </c:spPr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junfeng</dc:creator>
  <cp:keywords/>
  <dc:description/>
  <cp:lastModifiedBy>junfeng</cp:lastModifiedBy>
  <cp:revision>2</cp:revision>
  <dcterms:created xsi:type="dcterms:W3CDTF">2012-06-10T20:52:00Z</dcterms:created>
  <dcterms:modified xsi:type="dcterms:W3CDTF">2012-06-10T20:53:00Z</dcterms:modified>
</cp:coreProperties>
</file>