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0C6E73">
      <w:r>
        <w:t>Figure S5</w:t>
      </w:r>
    </w:p>
    <w:p w:rsidR="000C6E73" w:rsidRDefault="000C6E73">
      <w:r w:rsidRPr="000C6E73">
        <w:drawing>
          <wp:inline distT="0" distB="0" distL="0" distR="0">
            <wp:extent cx="4895850" cy="3771900"/>
            <wp:effectExtent l="0" t="0" r="0" b="0"/>
            <wp:docPr id="10" name="Chart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sectPr w:rsidR="000C6E7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>
    <w:useFELayout/>
  </w:compat>
  <w:rsids>
    <w:rsidRoot w:val="000C6E73"/>
    <w:rsid w:val="000C6E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C6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6E7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Projects\DNAmethylation\MethylationMutationRate\manuscript\05302012\Figures_06102012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style val="1"/>
  <c:chart>
    <c:plotArea>
      <c:layout/>
      <c:barChart>
        <c:barDir val="col"/>
        <c:grouping val="clustered"/>
        <c:ser>
          <c:idx val="0"/>
          <c:order val="0"/>
          <c:tx>
            <c:strRef>
              <c:f>'Figure S5'!$C$1</c:f>
              <c:strCache>
                <c:ptCount val="1"/>
                <c:pt idx="0">
                  <c:v>CHG</c:v>
                </c:pt>
              </c:strCache>
            </c:strRef>
          </c:tx>
          <c:cat>
            <c:strRef>
              <c:f>'Figure S5'!$A$2:$A$7</c:f>
              <c:strCache>
                <c:ptCount val="6"/>
                <c:pt idx="0">
                  <c:v>mC</c:v>
                </c:pt>
                <c:pt idx="1">
                  <c:v>H_mC</c:v>
                </c:pt>
                <c:pt idx="2">
                  <c:v>HI_mC</c:v>
                </c:pt>
                <c:pt idx="3">
                  <c:v>I_mC</c:v>
                </c:pt>
                <c:pt idx="4">
                  <c:v>LI_mC</c:v>
                </c:pt>
                <c:pt idx="5">
                  <c:v>L_mC</c:v>
                </c:pt>
              </c:strCache>
            </c:strRef>
          </c:cat>
          <c:val>
            <c:numRef>
              <c:f>'Figure S5'!$C$2:$C$7</c:f>
              <c:numCache>
                <c:formatCode>0.00</c:formatCode>
                <c:ptCount val="6"/>
                <c:pt idx="0">
                  <c:v>0.38574891879238504</c:v>
                </c:pt>
                <c:pt idx="1">
                  <c:v>0.41310605043771337</c:v>
                </c:pt>
                <c:pt idx="2">
                  <c:v>0.42000680384853589</c:v>
                </c:pt>
                <c:pt idx="3">
                  <c:v>0.39957713950202545</c:v>
                </c:pt>
                <c:pt idx="4">
                  <c:v>0.38588800970193882</c:v>
                </c:pt>
                <c:pt idx="5">
                  <c:v>0.37741970345716536</c:v>
                </c:pt>
              </c:numCache>
            </c:numRef>
          </c:val>
        </c:ser>
        <c:ser>
          <c:idx val="1"/>
          <c:order val="1"/>
          <c:tx>
            <c:strRef>
              <c:f>'Figure S5'!$D$1</c:f>
              <c:strCache>
                <c:ptCount val="1"/>
                <c:pt idx="0">
                  <c:v>CHH</c:v>
                </c:pt>
              </c:strCache>
            </c:strRef>
          </c:tx>
          <c:cat>
            <c:strRef>
              <c:f>'Figure S5'!$A$2:$A$7</c:f>
              <c:strCache>
                <c:ptCount val="6"/>
                <c:pt idx="0">
                  <c:v>mC</c:v>
                </c:pt>
                <c:pt idx="1">
                  <c:v>H_mC</c:v>
                </c:pt>
                <c:pt idx="2">
                  <c:v>HI_mC</c:v>
                </c:pt>
                <c:pt idx="3">
                  <c:v>I_mC</c:v>
                </c:pt>
                <c:pt idx="4">
                  <c:v>LI_mC</c:v>
                </c:pt>
                <c:pt idx="5">
                  <c:v>L_mC</c:v>
                </c:pt>
              </c:strCache>
            </c:strRef>
          </c:cat>
          <c:val>
            <c:numRef>
              <c:f>'Figure S5'!$D$2:$D$7</c:f>
              <c:numCache>
                <c:formatCode>0.00</c:formatCode>
                <c:ptCount val="6"/>
                <c:pt idx="0">
                  <c:v>0.42564424499610687</c:v>
                </c:pt>
                <c:pt idx="1">
                  <c:v>0.54243362111092996</c:v>
                </c:pt>
                <c:pt idx="2">
                  <c:v>0.55471084779531277</c:v>
                </c:pt>
                <c:pt idx="3">
                  <c:v>0.50159085149773341</c:v>
                </c:pt>
                <c:pt idx="4">
                  <c:v>0.42759919491016329</c:v>
                </c:pt>
                <c:pt idx="5">
                  <c:v>0.38964562170156192</c:v>
                </c:pt>
              </c:numCache>
            </c:numRef>
          </c:val>
        </c:ser>
        <c:gapWidth val="300"/>
        <c:axId val="166492032"/>
        <c:axId val="166493568"/>
      </c:barChart>
      <c:catAx>
        <c:axId val="166492032"/>
        <c:scaling>
          <c:orientation val="minMax"/>
        </c:scaling>
        <c:axPos val="b"/>
        <c:majorTickMark val="none"/>
        <c:tickLblPos val="nextTo"/>
        <c:txPr>
          <a:bodyPr/>
          <a:lstStyle/>
          <a:p>
            <a:pPr>
              <a:defRPr lang="zh-CN"/>
            </a:pPr>
            <a:endParaRPr lang="en-US"/>
          </a:p>
        </c:txPr>
        <c:crossAx val="166493568"/>
        <c:crosses val="autoZero"/>
        <c:auto val="1"/>
        <c:lblAlgn val="ctr"/>
        <c:lblOffset val="100"/>
      </c:catAx>
      <c:valAx>
        <c:axId val="166493568"/>
        <c:scaling>
          <c:orientation val="minMax"/>
        </c:scaling>
        <c:axPos val="l"/>
        <c:title>
          <c:tx>
            <c:rich>
              <a:bodyPr/>
              <a:lstStyle/>
              <a:p>
                <a:pPr>
                  <a:defRPr lang="zh-CN" b="0"/>
                </a:pPr>
                <a:r>
                  <a:rPr lang="en-US" altLang="en-US" b="0"/>
                  <a:t>SNP density (%)</a:t>
                </a:r>
              </a:p>
            </c:rich>
          </c:tx>
        </c:title>
        <c:numFmt formatCode="#,##0.0_);\(#,##0.0\)" sourceLinked="0"/>
        <c:tickLblPos val="nextTo"/>
        <c:txPr>
          <a:bodyPr/>
          <a:lstStyle/>
          <a:p>
            <a:pPr>
              <a:defRPr lang="zh-CN"/>
            </a:pPr>
            <a:endParaRPr lang="en-US"/>
          </a:p>
        </c:txPr>
        <c:crossAx val="166492032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17675235148135693"/>
          <c:y val="4.3020228532039559E-2"/>
          <c:w val="0.10634292308792148"/>
          <c:h val="9.7658739627243571E-2"/>
        </c:manualLayout>
      </c:layout>
      <c:txPr>
        <a:bodyPr/>
        <a:lstStyle/>
        <a:p>
          <a:pPr>
            <a:defRPr lang="zh-CN"/>
          </a:pPr>
          <a:endParaRPr lang="en-US"/>
        </a:p>
      </c:txPr>
    </c:legend>
    <c:plotVisOnly val="1"/>
    <c:dispBlanksAs val="gap"/>
  </c:chart>
  <c:spPr>
    <a:ln>
      <a:noFill/>
    </a:ln>
  </c:spPr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junfeng</dc:creator>
  <cp:keywords/>
  <dc:description/>
  <cp:lastModifiedBy>junfeng</cp:lastModifiedBy>
  <cp:revision>2</cp:revision>
  <dcterms:created xsi:type="dcterms:W3CDTF">2012-06-10T20:55:00Z</dcterms:created>
  <dcterms:modified xsi:type="dcterms:W3CDTF">2012-06-10T20:55:00Z</dcterms:modified>
</cp:coreProperties>
</file>