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63" w:rsidRPr="00815E0E" w:rsidRDefault="00684163" w:rsidP="00684163">
      <w:pPr>
        <w:autoSpaceDE w:val="0"/>
        <w:autoSpaceDN w:val="0"/>
        <w:adjustRightInd w:val="0"/>
        <w:spacing w:line="480" w:lineRule="auto"/>
        <w:rPr>
          <w:sz w:val="24"/>
        </w:rPr>
      </w:pPr>
      <w:r w:rsidRPr="00815E0E">
        <w:rPr>
          <w:rFonts w:hint="eastAsia"/>
          <w:b/>
          <w:sz w:val="24"/>
        </w:rPr>
        <w:t xml:space="preserve">Additional file </w:t>
      </w:r>
      <w:r w:rsidR="0011455B" w:rsidRPr="00815E0E">
        <w:rPr>
          <w:rFonts w:hint="eastAsia"/>
          <w:b/>
          <w:sz w:val="24"/>
        </w:rPr>
        <w:t>4</w:t>
      </w:r>
      <w:r w:rsidRPr="00815E0E">
        <w:rPr>
          <w:rFonts w:hint="eastAsia"/>
          <w:b/>
          <w:sz w:val="24"/>
        </w:rPr>
        <w:t>:</w:t>
      </w:r>
      <w:r w:rsidRPr="00815E0E">
        <w:rPr>
          <w:b/>
          <w:sz w:val="24"/>
        </w:rPr>
        <w:t xml:space="preserve"> Figure S</w:t>
      </w:r>
      <w:r w:rsidR="0011455B" w:rsidRPr="00815E0E">
        <w:rPr>
          <w:rFonts w:hint="eastAsia"/>
          <w:b/>
          <w:sz w:val="24"/>
        </w:rPr>
        <w:t>2</w:t>
      </w:r>
      <w:r w:rsidRPr="00815E0E">
        <w:rPr>
          <w:b/>
          <w:sz w:val="24"/>
        </w:rPr>
        <w:t xml:space="preserve">. </w:t>
      </w:r>
      <w:r w:rsidRPr="00815E0E">
        <w:rPr>
          <w:sz w:val="24"/>
        </w:rPr>
        <w:t>Comparison of healthy and wounded tissue libraries based on GO terms.</w:t>
      </w:r>
      <w:r w:rsidRPr="00815E0E">
        <w:rPr>
          <w:b/>
          <w:sz w:val="24"/>
        </w:rPr>
        <w:t xml:space="preserve"> </w:t>
      </w:r>
      <w:r w:rsidRPr="00815E0E">
        <w:rPr>
          <w:sz w:val="24"/>
        </w:rPr>
        <w:t>The results are summarized in three main categories: biological process, cellular component and molecular function. The right y-axis indicates the number of genes in a category. The left y-axis indicates the percentage of a specific category of genes in that main category.</w:t>
      </w: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6875" cy="3343275"/>
            <wp:effectExtent l="19050" t="0" r="9525" b="0"/>
            <wp:wrapNone/>
            <wp:docPr id="2" name="图片 2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rPr>
          <w:sz w:val="24"/>
        </w:rPr>
      </w:pPr>
    </w:p>
    <w:p w:rsidR="00684163" w:rsidRDefault="00684163" w:rsidP="00684163">
      <w:pPr>
        <w:autoSpaceDE w:val="0"/>
        <w:autoSpaceDN w:val="0"/>
        <w:adjustRightInd w:val="0"/>
        <w:spacing w:before="240" w:after="60"/>
        <w:rPr>
          <w:rFonts w:ascii="Arial" w:hAnsi="Arial" w:cs="Arial"/>
          <w:b/>
          <w:sz w:val="22"/>
          <w:szCs w:val="22"/>
        </w:rPr>
      </w:pPr>
    </w:p>
    <w:sectPr w:rsidR="00684163" w:rsidSect="00035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D61" w:rsidRDefault="00554D61" w:rsidP="0011455B">
      <w:r>
        <w:separator/>
      </w:r>
    </w:p>
  </w:endnote>
  <w:endnote w:type="continuationSeparator" w:id="0">
    <w:p w:rsidR="00554D61" w:rsidRDefault="00554D61" w:rsidP="0011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D61" w:rsidRDefault="00554D61" w:rsidP="0011455B">
      <w:r>
        <w:separator/>
      </w:r>
    </w:p>
  </w:footnote>
  <w:footnote w:type="continuationSeparator" w:id="0">
    <w:p w:rsidR="00554D61" w:rsidRDefault="00554D61" w:rsidP="001145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4163"/>
    <w:rsid w:val="000355F3"/>
    <w:rsid w:val="0011455B"/>
    <w:rsid w:val="002F75A3"/>
    <w:rsid w:val="00554D61"/>
    <w:rsid w:val="00684163"/>
    <w:rsid w:val="00815E0E"/>
    <w:rsid w:val="00AC7D72"/>
    <w:rsid w:val="00E7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45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455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4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455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2012-11-23T03:34:00Z</dcterms:created>
  <dcterms:modified xsi:type="dcterms:W3CDTF">2013-03-18T10:48:00Z</dcterms:modified>
</cp:coreProperties>
</file>