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AB" w:rsidRDefault="00281FAB">
      <w:pPr>
        <w:rPr>
          <w:rFonts w:ascii="Arial" w:hAnsi="Arial"/>
          <w:b/>
        </w:rPr>
      </w:pPr>
      <w:r w:rsidRPr="00281FAB">
        <w:rPr>
          <w:rFonts w:ascii="Arial" w:hAnsi="Arial"/>
          <w:b/>
        </w:rPr>
        <w:t>Supplement</w:t>
      </w:r>
      <w:r w:rsidR="00FF722B">
        <w:rPr>
          <w:rFonts w:ascii="Arial" w:hAnsi="Arial"/>
          <w:b/>
        </w:rPr>
        <w:t>al</w:t>
      </w:r>
      <w:r w:rsidRPr="00281FAB">
        <w:rPr>
          <w:rFonts w:ascii="Arial" w:hAnsi="Arial"/>
          <w:b/>
        </w:rPr>
        <w:t xml:space="preserve"> </w:t>
      </w:r>
      <w:r w:rsidR="00A73595">
        <w:rPr>
          <w:rFonts w:ascii="Arial" w:hAnsi="Arial"/>
          <w:b/>
        </w:rPr>
        <w:t>methods</w:t>
      </w:r>
    </w:p>
    <w:p w:rsidR="00337611" w:rsidRPr="00281FAB" w:rsidRDefault="00337611">
      <w:pPr>
        <w:rPr>
          <w:rFonts w:ascii="Arial" w:hAnsi="Arial"/>
        </w:rPr>
      </w:pPr>
    </w:p>
    <w:p w:rsidR="00281FAB" w:rsidRDefault="00281FAB">
      <w:pPr>
        <w:rPr>
          <w:rFonts w:ascii="Arial" w:hAnsi="Arial"/>
        </w:rPr>
      </w:pPr>
    </w:p>
    <w:p w:rsidR="00281FAB" w:rsidRPr="00281FAB" w:rsidRDefault="00281FAB">
      <w:pPr>
        <w:rPr>
          <w:rFonts w:ascii="Arial" w:hAnsi="Arial"/>
        </w:rPr>
      </w:pPr>
      <w:r w:rsidRPr="00FF722B">
        <w:rPr>
          <w:rFonts w:ascii="Arial" w:hAnsi="Arial"/>
          <w:b/>
        </w:rPr>
        <w:t>Mir-29 overlap predictions</w:t>
      </w:r>
      <w:r w:rsidRPr="00281FAB">
        <w:rPr>
          <w:rFonts w:ascii="Arial" w:hAnsi="Arial"/>
        </w:rPr>
        <w:t>:</w:t>
      </w:r>
    </w:p>
    <w:p w:rsidR="00281FAB" w:rsidRPr="00206FAE" w:rsidRDefault="00281FAB" w:rsidP="00281FAB">
      <w:pPr>
        <w:spacing w:before="120" w:line="480" w:lineRule="auto"/>
        <w:jc w:val="both"/>
        <w:rPr>
          <w:rFonts w:ascii="Arial" w:hAnsi="Arial"/>
        </w:rPr>
      </w:pPr>
      <w:r w:rsidRPr="00206FAE">
        <w:rPr>
          <w:rFonts w:ascii="Arial" w:hAnsi="Arial"/>
        </w:rPr>
        <w:t xml:space="preserve">We </w:t>
      </w:r>
      <w:r w:rsidR="00092596">
        <w:rPr>
          <w:rFonts w:ascii="Arial" w:hAnsi="Arial"/>
        </w:rPr>
        <w:t>predicted</w:t>
      </w:r>
      <w:r w:rsidR="00092596" w:rsidRPr="00206FAE">
        <w:rPr>
          <w:rFonts w:ascii="Arial" w:hAnsi="Arial"/>
        </w:rPr>
        <w:t xml:space="preserve"> </w:t>
      </w:r>
      <w:r w:rsidRPr="00206FAE">
        <w:rPr>
          <w:rFonts w:ascii="Arial" w:hAnsi="Arial"/>
        </w:rPr>
        <w:t>592 targets for miR-29a-3p</w:t>
      </w:r>
      <w:r w:rsidR="00092596">
        <w:rPr>
          <w:rFonts w:ascii="Arial" w:hAnsi="Arial"/>
        </w:rPr>
        <w:t xml:space="preserve"> and 1,525 targets for miR-122-5p using our combination of HITS-CLIP data and miRanda predictions</w:t>
      </w:r>
      <w:r w:rsidRPr="00206FAE">
        <w:rPr>
          <w:rFonts w:ascii="Arial" w:hAnsi="Arial"/>
        </w:rPr>
        <w:t>.  The data in Hand et al</w:t>
      </w:r>
      <w:r w:rsidR="00092596">
        <w:rPr>
          <w:rFonts w:ascii="Arial" w:hAnsi="Arial"/>
        </w:rPr>
        <w:t>.</w:t>
      </w:r>
      <w:r w:rsidR="009A23D0">
        <w:rPr>
          <w:rFonts w:ascii="Arial" w:hAnsi="Arial"/>
        </w:rPr>
        <w:t>, Esau</w:t>
      </w:r>
      <w:r w:rsidR="00092596">
        <w:rPr>
          <w:rFonts w:ascii="Arial" w:hAnsi="Arial"/>
        </w:rPr>
        <w:t xml:space="preserve"> et al.</w:t>
      </w:r>
      <w:r w:rsidR="009A23D0">
        <w:rPr>
          <w:rFonts w:ascii="Arial" w:hAnsi="Arial"/>
        </w:rPr>
        <w:t xml:space="preserve">, and </w:t>
      </w:r>
      <w:r w:rsidR="00092596">
        <w:rPr>
          <w:rFonts w:ascii="Arial" w:hAnsi="Arial"/>
        </w:rPr>
        <w:t>Kr</w:t>
      </w:r>
      <w:r w:rsidR="00092596">
        <w:rPr>
          <w:rFonts w:ascii="Arial" w:hAnsi="Arial"/>
          <w:lang w:val="de-DE"/>
        </w:rPr>
        <w:t>ützfeldt et al.</w:t>
      </w:r>
      <w:r w:rsidR="00092596" w:rsidRPr="00206FAE">
        <w:rPr>
          <w:rFonts w:ascii="Arial" w:hAnsi="Arial"/>
        </w:rPr>
        <w:t xml:space="preserve"> </w:t>
      </w:r>
      <w:r w:rsidR="00092596">
        <w:rPr>
          <w:rFonts w:ascii="Arial" w:hAnsi="Arial"/>
        </w:rPr>
        <w:t>were</w:t>
      </w:r>
      <w:r w:rsidRPr="00206FAE">
        <w:rPr>
          <w:rFonts w:ascii="Arial" w:hAnsi="Arial"/>
        </w:rPr>
        <w:t xml:space="preserve"> split into </w:t>
      </w:r>
      <w:r w:rsidR="009A23D0">
        <w:rPr>
          <w:rFonts w:ascii="Arial" w:hAnsi="Arial"/>
        </w:rPr>
        <w:t>two</w:t>
      </w:r>
      <w:r w:rsidR="009A23D0" w:rsidRPr="00206FAE">
        <w:rPr>
          <w:rFonts w:ascii="Arial" w:hAnsi="Arial"/>
        </w:rPr>
        <w:t xml:space="preserve"> </w:t>
      </w:r>
      <w:r w:rsidRPr="00206FAE">
        <w:rPr>
          <w:rFonts w:ascii="Arial" w:hAnsi="Arial"/>
        </w:rPr>
        <w:t xml:space="preserve">lists, </w:t>
      </w:r>
      <w:r w:rsidR="00092596">
        <w:rPr>
          <w:rFonts w:ascii="Arial" w:hAnsi="Arial"/>
        </w:rPr>
        <w:t>encompassing the mRNAs that were up- or down-regulated in response to interference with miR-29a-3p and miR-122-5p activity in the liver, respectively</w:t>
      </w:r>
      <w:r w:rsidR="009A23D0">
        <w:rPr>
          <w:rFonts w:ascii="Arial" w:hAnsi="Arial"/>
        </w:rPr>
        <w:t xml:space="preserve">. </w:t>
      </w:r>
      <w:r w:rsidRPr="00206FAE">
        <w:rPr>
          <w:rFonts w:ascii="Arial" w:hAnsi="Arial"/>
        </w:rPr>
        <w:t>The overlap</w:t>
      </w:r>
      <w:r w:rsidR="009A23D0">
        <w:rPr>
          <w:rFonts w:ascii="Arial" w:hAnsi="Arial"/>
        </w:rPr>
        <w:t>s</w:t>
      </w:r>
      <w:r w:rsidRPr="00206FAE">
        <w:rPr>
          <w:rFonts w:ascii="Arial" w:hAnsi="Arial"/>
        </w:rPr>
        <w:t xml:space="preserve"> </w:t>
      </w:r>
      <w:r w:rsidR="009A23D0">
        <w:rPr>
          <w:rFonts w:ascii="Arial" w:hAnsi="Arial"/>
        </w:rPr>
        <w:t>are</w:t>
      </w:r>
      <w:r w:rsidR="009A23D0" w:rsidRPr="00206FAE">
        <w:rPr>
          <w:rFonts w:ascii="Arial" w:hAnsi="Arial"/>
        </w:rPr>
        <w:t xml:space="preserve"> </w:t>
      </w:r>
      <w:r w:rsidRPr="00206FAE">
        <w:rPr>
          <w:rFonts w:ascii="Arial" w:hAnsi="Arial"/>
        </w:rPr>
        <w:t>shown in the following table.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BF"/>
      </w:tblPr>
      <w:tblGrid>
        <w:gridCol w:w="1728"/>
        <w:gridCol w:w="1188"/>
        <w:gridCol w:w="972"/>
        <w:gridCol w:w="1170"/>
        <w:gridCol w:w="1350"/>
        <w:gridCol w:w="1260"/>
        <w:gridCol w:w="1080"/>
      </w:tblGrid>
      <w:tr w:rsidR="009A23D0" w:rsidRPr="00206FAE">
        <w:tc>
          <w:tcPr>
            <w:tcW w:w="1728" w:type="dxa"/>
          </w:tcPr>
          <w:p w:rsidR="00092596" w:rsidRDefault="009A23D0">
            <w:pPr>
              <w:spacing w:before="120"/>
              <w:jc w:val="center"/>
              <w:rPr>
                <w:rFonts w:ascii="Arial" w:hAnsi="Arial"/>
                <w:b/>
              </w:rPr>
            </w:pPr>
            <w:r>
              <w:rPr>
                <w:rFonts w:ascii="Arial" w:hAnsi="Arial"/>
                <w:b/>
              </w:rPr>
              <w:t>miRNA</w:t>
            </w:r>
          </w:p>
        </w:tc>
        <w:tc>
          <w:tcPr>
            <w:tcW w:w="1188" w:type="dxa"/>
          </w:tcPr>
          <w:p w:rsidR="00092596" w:rsidRDefault="009A23D0">
            <w:pPr>
              <w:spacing w:before="120"/>
              <w:jc w:val="center"/>
              <w:rPr>
                <w:rFonts w:ascii="Arial" w:hAnsi="Arial"/>
                <w:b/>
              </w:rPr>
            </w:pPr>
            <w:r>
              <w:rPr>
                <w:rFonts w:ascii="Arial" w:hAnsi="Arial"/>
                <w:b/>
              </w:rPr>
              <w:t>Source</w:t>
            </w:r>
          </w:p>
        </w:tc>
        <w:tc>
          <w:tcPr>
            <w:tcW w:w="972" w:type="dxa"/>
          </w:tcPr>
          <w:p w:rsidR="00092596" w:rsidRDefault="009A23D0">
            <w:pPr>
              <w:spacing w:before="120"/>
              <w:jc w:val="center"/>
              <w:rPr>
                <w:rFonts w:ascii="Arial" w:hAnsi="Arial"/>
                <w:b/>
              </w:rPr>
            </w:pPr>
            <w:r w:rsidRPr="00206FAE">
              <w:rPr>
                <w:rFonts w:ascii="Arial" w:hAnsi="Arial"/>
                <w:b/>
              </w:rPr>
              <w:t>Gene Set</w:t>
            </w:r>
          </w:p>
        </w:tc>
        <w:tc>
          <w:tcPr>
            <w:tcW w:w="1170" w:type="dxa"/>
          </w:tcPr>
          <w:p w:rsidR="00092596" w:rsidRDefault="009A23D0">
            <w:pPr>
              <w:spacing w:before="120"/>
              <w:jc w:val="center"/>
              <w:rPr>
                <w:rFonts w:ascii="Arial" w:hAnsi="Arial"/>
                <w:b/>
              </w:rPr>
            </w:pPr>
            <w:r>
              <w:rPr>
                <w:rFonts w:ascii="Arial" w:hAnsi="Arial"/>
                <w:b/>
              </w:rPr>
              <w:t>miRNA Targets</w:t>
            </w:r>
          </w:p>
        </w:tc>
        <w:tc>
          <w:tcPr>
            <w:tcW w:w="1350" w:type="dxa"/>
          </w:tcPr>
          <w:p w:rsidR="00092596" w:rsidRDefault="009A23D0">
            <w:pPr>
              <w:spacing w:before="120"/>
              <w:jc w:val="center"/>
              <w:rPr>
                <w:rFonts w:ascii="Arial" w:hAnsi="Arial"/>
                <w:b/>
              </w:rPr>
            </w:pPr>
            <w:r w:rsidRPr="00206FAE">
              <w:rPr>
                <w:rFonts w:ascii="Arial" w:hAnsi="Arial"/>
                <w:b/>
              </w:rPr>
              <w:t>O</w:t>
            </w:r>
            <w:r>
              <w:rPr>
                <w:rFonts w:ascii="Arial" w:hAnsi="Arial"/>
                <w:b/>
              </w:rPr>
              <w:t>verlap</w:t>
            </w:r>
          </w:p>
        </w:tc>
        <w:tc>
          <w:tcPr>
            <w:tcW w:w="1260" w:type="dxa"/>
          </w:tcPr>
          <w:p w:rsidR="00092596" w:rsidRDefault="009A23D0">
            <w:pPr>
              <w:spacing w:before="120"/>
              <w:jc w:val="center"/>
              <w:rPr>
                <w:rFonts w:ascii="Arial" w:hAnsi="Arial"/>
                <w:b/>
              </w:rPr>
            </w:pPr>
            <w:r>
              <w:rPr>
                <w:rFonts w:ascii="Arial" w:hAnsi="Arial"/>
                <w:b/>
              </w:rPr>
              <w:t>Affected Genes</w:t>
            </w:r>
          </w:p>
        </w:tc>
        <w:tc>
          <w:tcPr>
            <w:tcW w:w="1080" w:type="dxa"/>
          </w:tcPr>
          <w:p w:rsidR="00092596" w:rsidRDefault="009A23D0">
            <w:pPr>
              <w:spacing w:before="120"/>
              <w:jc w:val="center"/>
              <w:rPr>
                <w:rFonts w:ascii="Arial" w:hAnsi="Arial"/>
                <w:b/>
              </w:rPr>
            </w:pPr>
            <w:r w:rsidRPr="00206FAE">
              <w:rPr>
                <w:rFonts w:ascii="Arial" w:hAnsi="Arial"/>
                <w:b/>
              </w:rPr>
              <w:t>P-value</w:t>
            </w:r>
          </w:p>
        </w:tc>
      </w:tr>
      <w:tr w:rsidR="009A23D0" w:rsidRPr="00206FAE">
        <w:trPr>
          <w:trHeight w:val="386"/>
        </w:trPr>
        <w:tc>
          <w:tcPr>
            <w:tcW w:w="1728" w:type="dxa"/>
          </w:tcPr>
          <w:p w:rsidR="00092596" w:rsidRDefault="00074525">
            <w:pPr>
              <w:spacing w:before="120"/>
              <w:jc w:val="center"/>
              <w:rPr>
                <w:rFonts w:ascii="Arial" w:hAnsi="Arial"/>
                <w:sz w:val="20"/>
              </w:rPr>
            </w:pPr>
            <w:r w:rsidRPr="00074525">
              <w:rPr>
                <w:rFonts w:ascii="Arial" w:hAnsi="Arial"/>
                <w:sz w:val="20"/>
              </w:rPr>
              <w:t>miR-29a-3p</w:t>
            </w:r>
          </w:p>
        </w:tc>
        <w:tc>
          <w:tcPr>
            <w:tcW w:w="1188" w:type="dxa"/>
          </w:tcPr>
          <w:p w:rsidR="00092596" w:rsidRDefault="00074525">
            <w:pPr>
              <w:spacing w:before="120"/>
              <w:jc w:val="center"/>
              <w:rPr>
                <w:rFonts w:ascii="Arial" w:hAnsi="Arial"/>
                <w:sz w:val="20"/>
              </w:rPr>
            </w:pPr>
            <w:r w:rsidRPr="00074525">
              <w:rPr>
                <w:rFonts w:ascii="Arial" w:hAnsi="Arial"/>
                <w:sz w:val="20"/>
              </w:rPr>
              <w:t>Hand</w:t>
            </w:r>
          </w:p>
        </w:tc>
        <w:tc>
          <w:tcPr>
            <w:tcW w:w="972" w:type="dxa"/>
          </w:tcPr>
          <w:p w:rsidR="00092596" w:rsidRDefault="00074525">
            <w:pPr>
              <w:spacing w:before="120"/>
              <w:jc w:val="center"/>
              <w:rPr>
                <w:rFonts w:ascii="Arial" w:hAnsi="Arial"/>
                <w:sz w:val="20"/>
              </w:rPr>
            </w:pPr>
            <w:r w:rsidRPr="00074525">
              <w:rPr>
                <w:rFonts w:ascii="Arial" w:hAnsi="Arial"/>
                <w:sz w:val="20"/>
              </w:rPr>
              <w:t>Up</w:t>
            </w:r>
          </w:p>
        </w:tc>
        <w:tc>
          <w:tcPr>
            <w:tcW w:w="1170" w:type="dxa"/>
          </w:tcPr>
          <w:p w:rsidR="00092596" w:rsidRDefault="009A23D0">
            <w:pPr>
              <w:spacing w:before="120"/>
              <w:jc w:val="center"/>
              <w:rPr>
                <w:rFonts w:ascii="Arial" w:hAnsi="Arial"/>
                <w:sz w:val="20"/>
              </w:rPr>
            </w:pPr>
            <w:r>
              <w:rPr>
                <w:rFonts w:ascii="Arial" w:hAnsi="Arial"/>
                <w:sz w:val="20"/>
              </w:rPr>
              <w:t>592</w:t>
            </w:r>
          </w:p>
        </w:tc>
        <w:tc>
          <w:tcPr>
            <w:tcW w:w="1350" w:type="dxa"/>
          </w:tcPr>
          <w:p w:rsidR="00092596" w:rsidRDefault="00074525">
            <w:pPr>
              <w:spacing w:before="120"/>
              <w:jc w:val="center"/>
              <w:rPr>
                <w:rFonts w:ascii="Arial" w:hAnsi="Arial"/>
                <w:sz w:val="20"/>
              </w:rPr>
            </w:pPr>
            <w:r w:rsidRPr="00074525">
              <w:rPr>
                <w:rFonts w:ascii="Arial" w:hAnsi="Arial"/>
                <w:sz w:val="20"/>
              </w:rPr>
              <w:t>76</w:t>
            </w:r>
          </w:p>
        </w:tc>
        <w:tc>
          <w:tcPr>
            <w:tcW w:w="1260" w:type="dxa"/>
          </w:tcPr>
          <w:p w:rsidR="00092596" w:rsidRDefault="00074525">
            <w:pPr>
              <w:spacing w:before="120"/>
              <w:jc w:val="center"/>
              <w:rPr>
                <w:rFonts w:ascii="Arial" w:hAnsi="Arial"/>
                <w:sz w:val="20"/>
              </w:rPr>
            </w:pPr>
            <w:r w:rsidRPr="00074525">
              <w:rPr>
                <w:rFonts w:ascii="Arial" w:hAnsi="Arial"/>
                <w:sz w:val="20"/>
              </w:rPr>
              <w:t>22</w:t>
            </w:r>
          </w:p>
        </w:tc>
        <w:tc>
          <w:tcPr>
            <w:tcW w:w="1080" w:type="dxa"/>
          </w:tcPr>
          <w:p w:rsidR="00092596" w:rsidRDefault="00074525">
            <w:pPr>
              <w:spacing w:before="120"/>
              <w:jc w:val="center"/>
              <w:rPr>
                <w:rFonts w:ascii="Arial" w:hAnsi="Arial"/>
                <w:sz w:val="20"/>
              </w:rPr>
            </w:pPr>
            <w:r w:rsidRPr="00074525">
              <w:rPr>
                <w:rFonts w:ascii="Arial" w:hAnsi="Arial"/>
                <w:sz w:val="20"/>
              </w:rPr>
              <w:t>2.37e-10</w:t>
            </w:r>
          </w:p>
        </w:tc>
      </w:tr>
      <w:tr w:rsidR="009A23D0" w:rsidRPr="00206FAE">
        <w:trPr>
          <w:trHeight w:val="387"/>
        </w:trPr>
        <w:tc>
          <w:tcPr>
            <w:tcW w:w="1728" w:type="dxa"/>
          </w:tcPr>
          <w:p w:rsidR="00092596" w:rsidRDefault="00074525">
            <w:pPr>
              <w:spacing w:before="120"/>
              <w:jc w:val="center"/>
              <w:rPr>
                <w:rFonts w:ascii="Arial" w:hAnsi="Arial"/>
                <w:sz w:val="20"/>
              </w:rPr>
            </w:pPr>
            <w:r w:rsidRPr="00074525">
              <w:rPr>
                <w:rFonts w:ascii="Arial" w:hAnsi="Arial"/>
                <w:sz w:val="20"/>
              </w:rPr>
              <w:t>miR-29a-3p</w:t>
            </w:r>
          </w:p>
        </w:tc>
        <w:tc>
          <w:tcPr>
            <w:tcW w:w="1188" w:type="dxa"/>
          </w:tcPr>
          <w:p w:rsidR="00092596" w:rsidRDefault="00074525">
            <w:pPr>
              <w:spacing w:before="120"/>
              <w:jc w:val="center"/>
              <w:rPr>
                <w:rFonts w:ascii="Arial" w:hAnsi="Arial"/>
                <w:sz w:val="20"/>
              </w:rPr>
            </w:pPr>
            <w:r w:rsidRPr="00074525">
              <w:rPr>
                <w:rFonts w:ascii="Arial" w:hAnsi="Arial"/>
                <w:sz w:val="20"/>
              </w:rPr>
              <w:t>Hand</w:t>
            </w:r>
          </w:p>
        </w:tc>
        <w:tc>
          <w:tcPr>
            <w:tcW w:w="972" w:type="dxa"/>
          </w:tcPr>
          <w:p w:rsidR="00092596" w:rsidRDefault="00074525">
            <w:pPr>
              <w:spacing w:before="120"/>
              <w:jc w:val="center"/>
              <w:rPr>
                <w:rFonts w:ascii="Arial" w:hAnsi="Arial"/>
                <w:sz w:val="20"/>
              </w:rPr>
            </w:pPr>
            <w:r w:rsidRPr="00074525">
              <w:rPr>
                <w:rFonts w:ascii="Arial" w:hAnsi="Arial"/>
                <w:sz w:val="20"/>
              </w:rPr>
              <w:t>Down</w:t>
            </w:r>
          </w:p>
        </w:tc>
        <w:tc>
          <w:tcPr>
            <w:tcW w:w="1170" w:type="dxa"/>
          </w:tcPr>
          <w:p w:rsidR="00092596" w:rsidRDefault="009A23D0">
            <w:pPr>
              <w:spacing w:before="120"/>
              <w:jc w:val="center"/>
              <w:rPr>
                <w:rFonts w:ascii="Arial" w:hAnsi="Arial"/>
                <w:sz w:val="20"/>
              </w:rPr>
            </w:pPr>
            <w:r>
              <w:rPr>
                <w:rFonts w:ascii="Arial" w:hAnsi="Arial"/>
                <w:sz w:val="20"/>
              </w:rPr>
              <w:t>592</w:t>
            </w:r>
          </w:p>
        </w:tc>
        <w:tc>
          <w:tcPr>
            <w:tcW w:w="1350" w:type="dxa"/>
          </w:tcPr>
          <w:p w:rsidR="00092596" w:rsidRDefault="00074525">
            <w:pPr>
              <w:spacing w:before="120"/>
              <w:jc w:val="center"/>
              <w:rPr>
                <w:rFonts w:ascii="Arial" w:hAnsi="Arial"/>
                <w:sz w:val="20"/>
              </w:rPr>
            </w:pPr>
            <w:r w:rsidRPr="00074525">
              <w:rPr>
                <w:rFonts w:ascii="Arial" w:hAnsi="Arial"/>
                <w:sz w:val="20"/>
              </w:rPr>
              <w:t>62</w:t>
            </w:r>
          </w:p>
        </w:tc>
        <w:tc>
          <w:tcPr>
            <w:tcW w:w="1260" w:type="dxa"/>
          </w:tcPr>
          <w:p w:rsidR="00092596" w:rsidRDefault="00074525">
            <w:pPr>
              <w:spacing w:before="120"/>
              <w:jc w:val="center"/>
              <w:rPr>
                <w:rFonts w:ascii="Arial" w:hAnsi="Arial"/>
                <w:sz w:val="20"/>
              </w:rPr>
            </w:pPr>
            <w:r w:rsidRPr="00074525">
              <w:rPr>
                <w:rFonts w:ascii="Arial" w:hAnsi="Arial"/>
                <w:sz w:val="20"/>
              </w:rPr>
              <w:t>3</w:t>
            </w:r>
          </w:p>
        </w:tc>
        <w:tc>
          <w:tcPr>
            <w:tcW w:w="1080" w:type="dxa"/>
          </w:tcPr>
          <w:p w:rsidR="00092596" w:rsidRDefault="00074525">
            <w:pPr>
              <w:spacing w:before="120"/>
              <w:jc w:val="center"/>
              <w:rPr>
                <w:rFonts w:ascii="Arial" w:hAnsi="Arial"/>
                <w:sz w:val="20"/>
              </w:rPr>
            </w:pPr>
            <w:r w:rsidRPr="00074525">
              <w:rPr>
                <w:rFonts w:ascii="Arial" w:hAnsi="Arial"/>
                <w:sz w:val="20"/>
              </w:rPr>
              <w:t>0.048</w:t>
            </w:r>
          </w:p>
        </w:tc>
      </w:tr>
      <w:tr w:rsidR="009A23D0" w:rsidRPr="00206FAE">
        <w:trPr>
          <w:trHeight w:val="387"/>
        </w:trPr>
        <w:tc>
          <w:tcPr>
            <w:tcW w:w="1728" w:type="dxa"/>
          </w:tcPr>
          <w:p w:rsidR="00092596" w:rsidRDefault="00074525">
            <w:pPr>
              <w:spacing w:before="120"/>
              <w:jc w:val="center"/>
              <w:rPr>
                <w:rFonts w:ascii="Arial" w:hAnsi="Arial"/>
                <w:sz w:val="20"/>
              </w:rPr>
            </w:pPr>
            <w:r w:rsidRPr="00074525">
              <w:rPr>
                <w:rFonts w:ascii="Arial" w:hAnsi="Arial"/>
                <w:sz w:val="20"/>
              </w:rPr>
              <w:t>miR-122-5p</w:t>
            </w:r>
          </w:p>
        </w:tc>
        <w:tc>
          <w:tcPr>
            <w:tcW w:w="1188" w:type="dxa"/>
          </w:tcPr>
          <w:p w:rsidR="00092596" w:rsidRDefault="00074525">
            <w:pPr>
              <w:spacing w:before="120"/>
              <w:jc w:val="center"/>
              <w:rPr>
                <w:rFonts w:ascii="Arial" w:hAnsi="Arial"/>
                <w:sz w:val="20"/>
              </w:rPr>
            </w:pPr>
            <w:r w:rsidRPr="00074525">
              <w:rPr>
                <w:rFonts w:ascii="Arial" w:hAnsi="Arial"/>
                <w:sz w:val="20"/>
              </w:rPr>
              <w:t>Esau</w:t>
            </w:r>
          </w:p>
        </w:tc>
        <w:tc>
          <w:tcPr>
            <w:tcW w:w="972" w:type="dxa"/>
          </w:tcPr>
          <w:p w:rsidR="00092596" w:rsidRDefault="00074525">
            <w:pPr>
              <w:spacing w:before="120"/>
              <w:jc w:val="center"/>
              <w:rPr>
                <w:rFonts w:ascii="Arial" w:hAnsi="Arial"/>
                <w:sz w:val="20"/>
              </w:rPr>
            </w:pPr>
            <w:r w:rsidRPr="00074525">
              <w:rPr>
                <w:rFonts w:ascii="Arial" w:hAnsi="Arial"/>
                <w:sz w:val="20"/>
              </w:rPr>
              <w:t>Up</w:t>
            </w:r>
          </w:p>
        </w:tc>
        <w:tc>
          <w:tcPr>
            <w:tcW w:w="1170" w:type="dxa"/>
          </w:tcPr>
          <w:p w:rsidR="00092596" w:rsidRDefault="009A23D0">
            <w:pPr>
              <w:spacing w:before="120"/>
              <w:jc w:val="center"/>
              <w:rPr>
                <w:rFonts w:ascii="Arial" w:hAnsi="Arial"/>
                <w:sz w:val="20"/>
              </w:rPr>
            </w:pPr>
            <w:r>
              <w:rPr>
                <w:rFonts w:ascii="Arial" w:hAnsi="Arial"/>
                <w:sz w:val="20"/>
              </w:rPr>
              <w:t>1525</w:t>
            </w:r>
          </w:p>
        </w:tc>
        <w:tc>
          <w:tcPr>
            <w:tcW w:w="1350" w:type="dxa"/>
          </w:tcPr>
          <w:p w:rsidR="00092596" w:rsidRDefault="009A23D0">
            <w:pPr>
              <w:spacing w:before="120"/>
              <w:jc w:val="center"/>
              <w:rPr>
                <w:rFonts w:ascii="Arial" w:hAnsi="Arial"/>
                <w:sz w:val="20"/>
              </w:rPr>
            </w:pPr>
            <w:r>
              <w:rPr>
                <w:rFonts w:ascii="Arial" w:hAnsi="Arial"/>
                <w:sz w:val="20"/>
              </w:rPr>
              <w:t>49</w:t>
            </w:r>
          </w:p>
        </w:tc>
        <w:tc>
          <w:tcPr>
            <w:tcW w:w="1260" w:type="dxa"/>
          </w:tcPr>
          <w:p w:rsidR="00092596" w:rsidRDefault="009A23D0">
            <w:pPr>
              <w:spacing w:before="120"/>
              <w:jc w:val="center"/>
              <w:rPr>
                <w:rFonts w:ascii="Arial" w:hAnsi="Arial"/>
                <w:sz w:val="20"/>
              </w:rPr>
            </w:pPr>
            <w:r>
              <w:rPr>
                <w:rFonts w:ascii="Arial" w:hAnsi="Arial"/>
                <w:sz w:val="20"/>
              </w:rPr>
              <w:t>206</w:t>
            </w:r>
          </w:p>
        </w:tc>
        <w:tc>
          <w:tcPr>
            <w:tcW w:w="1080" w:type="dxa"/>
          </w:tcPr>
          <w:p w:rsidR="00092596" w:rsidRDefault="009A23D0">
            <w:pPr>
              <w:spacing w:before="120"/>
              <w:jc w:val="center"/>
              <w:rPr>
                <w:rFonts w:ascii="Arial" w:hAnsi="Arial"/>
                <w:sz w:val="20"/>
              </w:rPr>
            </w:pPr>
            <w:r w:rsidRPr="009A23D0">
              <w:rPr>
                <w:rFonts w:ascii="Arial" w:hAnsi="Arial"/>
                <w:sz w:val="20"/>
              </w:rPr>
              <w:t>2.65e-06</w:t>
            </w:r>
            <w:r w:rsidRPr="009A23D0" w:rsidDel="009A23D0">
              <w:rPr>
                <w:rFonts w:ascii="Arial" w:hAnsi="Arial"/>
                <w:sz w:val="20"/>
              </w:rPr>
              <w:t xml:space="preserve"> </w:t>
            </w:r>
          </w:p>
        </w:tc>
      </w:tr>
      <w:tr w:rsidR="009A23D0" w:rsidRPr="00206FAE">
        <w:trPr>
          <w:trHeight w:val="386"/>
        </w:trPr>
        <w:tc>
          <w:tcPr>
            <w:tcW w:w="1728" w:type="dxa"/>
          </w:tcPr>
          <w:p w:rsidR="00092596" w:rsidRDefault="00074525">
            <w:pPr>
              <w:spacing w:before="120"/>
              <w:jc w:val="center"/>
              <w:rPr>
                <w:rFonts w:ascii="Arial" w:hAnsi="Arial"/>
                <w:sz w:val="20"/>
              </w:rPr>
            </w:pPr>
            <w:r w:rsidRPr="00074525">
              <w:rPr>
                <w:rFonts w:ascii="Arial" w:hAnsi="Arial"/>
                <w:sz w:val="20"/>
              </w:rPr>
              <w:t>miR-122-5p</w:t>
            </w:r>
          </w:p>
        </w:tc>
        <w:tc>
          <w:tcPr>
            <w:tcW w:w="1188" w:type="dxa"/>
          </w:tcPr>
          <w:p w:rsidR="00092596" w:rsidRDefault="00074525">
            <w:pPr>
              <w:spacing w:before="120"/>
              <w:jc w:val="center"/>
              <w:rPr>
                <w:rFonts w:ascii="Arial" w:hAnsi="Arial"/>
                <w:sz w:val="20"/>
              </w:rPr>
            </w:pPr>
            <w:r w:rsidRPr="00074525">
              <w:rPr>
                <w:rFonts w:ascii="Arial" w:hAnsi="Arial"/>
                <w:sz w:val="20"/>
              </w:rPr>
              <w:t>Esau</w:t>
            </w:r>
          </w:p>
        </w:tc>
        <w:tc>
          <w:tcPr>
            <w:tcW w:w="972" w:type="dxa"/>
          </w:tcPr>
          <w:p w:rsidR="00092596" w:rsidRDefault="00074525">
            <w:pPr>
              <w:spacing w:before="120"/>
              <w:jc w:val="center"/>
              <w:rPr>
                <w:rFonts w:ascii="Arial" w:hAnsi="Arial"/>
                <w:sz w:val="20"/>
              </w:rPr>
            </w:pPr>
            <w:r w:rsidRPr="00074525">
              <w:rPr>
                <w:rFonts w:ascii="Arial" w:hAnsi="Arial"/>
                <w:sz w:val="20"/>
              </w:rPr>
              <w:t>Down</w:t>
            </w:r>
          </w:p>
        </w:tc>
        <w:tc>
          <w:tcPr>
            <w:tcW w:w="1170" w:type="dxa"/>
          </w:tcPr>
          <w:p w:rsidR="00092596" w:rsidRDefault="009A23D0">
            <w:pPr>
              <w:spacing w:before="120"/>
              <w:jc w:val="center"/>
              <w:rPr>
                <w:rFonts w:ascii="Arial" w:hAnsi="Arial"/>
                <w:sz w:val="20"/>
              </w:rPr>
            </w:pPr>
            <w:r>
              <w:rPr>
                <w:rFonts w:ascii="Arial" w:hAnsi="Arial"/>
                <w:sz w:val="20"/>
              </w:rPr>
              <w:t>1525</w:t>
            </w:r>
          </w:p>
        </w:tc>
        <w:tc>
          <w:tcPr>
            <w:tcW w:w="1350" w:type="dxa"/>
          </w:tcPr>
          <w:p w:rsidR="00092596" w:rsidRDefault="009A23D0">
            <w:pPr>
              <w:spacing w:before="120"/>
              <w:jc w:val="center"/>
              <w:rPr>
                <w:rFonts w:ascii="Arial" w:hAnsi="Arial"/>
                <w:sz w:val="20"/>
              </w:rPr>
            </w:pPr>
            <w:r>
              <w:rPr>
                <w:rFonts w:ascii="Arial" w:hAnsi="Arial"/>
                <w:sz w:val="20"/>
              </w:rPr>
              <w:t>32</w:t>
            </w:r>
          </w:p>
        </w:tc>
        <w:tc>
          <w:tcPr>
            <w:tcW w:w="1260" w:type="dxa"/>
          </w:tcPr>
          <w:p w:rsidR="00092596" w:rsidRDefault="009A23D0">
            <w:pPr>
              <w:spacing w:before="120"/>
              <w:jc w:val="center"/>
              <w:rPr>
                <w:rFonts w:ascii="Arial" w:hAnsi="Arial"/>
                <w:sz w:val="20"/>
              </w:rPr>
            </w:pPr>
            <w:r>
              <w:rPr>
                <w:rFonts w:ascii="Arial" w:hAnsi="Arial"/>
                <w:sz w:val="20"/>
              </w:rPr>
              <w:t>619</w:t>
            </w:r>
          </w:p>
        </w:tc>
        <w:tc>
          <w:tcPr>
            <w:tcW w:w="1080" w:type="dxa"/>
          </w:tcPr>
          <w:p w:rsidR="00092596" w:rsidRDefault="009A23D0">
            <w:pPr>
              <w:spacing w:before="120"/>
              <w:jc w:val="center"/>
              <w:rPr>
                <w:rFonts w:ascii="Arial" w:hAnsi="Arial"/>
                <w:sz w:val="20"/>
              </w:rPr>
            </w:pPr>
            <w:r>
              <w:rPr>
                <w:rFonts w:ascii="Arial" w:hAnsi="Arial"/>
                <w:sz w:val="20"/>
              </w:rPr>
              <w:t>1</w:t>
            </w:r>
          </w:p>
        </w:tc>
      </w:tr>
      <w:tr w:rsidR="009A23D0" w:rsidRPr="00206FAE">
        <w:trPr>
          <w:trHeight w:val="387"/>
        </w:trPr>
        <w:tc>
          <w:tcPr>
            <w:tcW w:w="1728" w:type="dxa"/>
          </w:tcPr>
          <w:p w:rsidR="00092596" w:rsidRDefault="00074525">
            <w:pPr>
              <w:spacing w:before="120"/>
              <w:jc w:val="center"/>
              <w:rPr>
                <w:rFonts w:ascii="Arial" w:hAnsi="Arial"/>
                <w:sz w:val="20"/>
              </w:rPr>
            </w:pPr>
            <w:r w:rsidRPr="00074525">
              <w:rPr>
                <w:rFonts w:ascii="Arial" w:hAnsi="Arial"/>
                <w:sz w:val="20"/>
              </w:rPr>
              <w:t>miR-122-5p</w:t>
            </w:r>
          </w:p>
        </w:tc>
        <w:tc>
          <w:tcPr>
            <w:tcW w:w="1188" w:type="dxa"/>
          </w:tcPr>
          <w:p w:rsidR="00092596" w:rsidRPr="00092596" w:rsidRDefault="00092596">
            <w:pPr>
              <w:spacing w:before="120"/>
              <w:jc w:val="center"/>
              <w:rPr>
                <w:rFonts w:ascii="Arial" w:hAnsi="Arial"/>
                <w:sz w:val="20"/>
              </w:rPr>
            </w:pPr>
            <w:r w:rsidRPr="00092596">
              <w:rPr>
                <w:rFonts w:ascii="Arial" w:hAnsi="Arial"/>
                <w:sz w:val="20"/>
              </w:rPr>
              <w:t>Krützfeldt</w:t>
            </w:r>
          </w:p>
        </w:tc>
        <w:tc>
          <w:tcPr>
            <w:tcW w:w="972" w:type="dxa"/>
          </w:tcPr>
          <w:p w:rsidR="00092596" w:rsidRDefault="00074525">
            <w:pPr>
              <w:spacing w:before="120"/>
              <w:jc w:val="center"/>
              <w:rPr>
                <w:rFonts w:ascii="Arial" w:hAnsi="Arial"/>
                <w:sz w:val="20"/>
              </w:rPr>
            </w:pPr>
            <w:r w:rsidRPr="00074525">
              <w:rPr>
                <w:rFonts w:ascii="Arial" w:hAnsi="Arial"/>
                <w:sz w:val="20"/>
              </w:rPr>
              <w:t>Up</w:t>
            </w:r>
          </w:p>
        </w:tc>
        <w:tc>
          <w:tcPr>
            <w:tcW w:w="1170" w:type="dxa"/>
          </w:tcPr>
          <w:p w:rsidR="00092596" w:rsidRDefault="009A23D0">
            <w:pPr>
              <w:spacing w:before="120"/>
              <w:jc w:val="center"/>
              <w:rPr>
                <w:rFonts w:ascii="Arial" w:hAnsi="Arial"/>
                <w:sz w:val="20"/>
              </w:rPr>
            </w:pPr>
            <w:r>
              <w:rPr>
                <w:rFonts w:ascii="Arial" w:hAnsi="Arial"/>
                <w:sz w:val="20"/>
              </w:rPr>
              <w:t>1525</w:t>
            </w:r>
          </w:p>
        </w:tc>
        <w:tc>
          <w:tcPr>
            <w:tcW w:w="1350" w:type="dxa"/>
          </w:tcPr>
          <w:p w:rsidR="00092596" w:rsidRDefault="009A23D0">
            <w:pPr>
              <w:spacing w:before="120"/>
              <w:jc w:val="center"/>
              <w:rPr>
                <w:rFonts w:ascii="Arial" w:hAnsi="Arial"/>
                <w:sz w:val="20"/>
              </w:rPr>
            </w:pPr>
            <w:r>
              <w:rPr>
                <w:rFonts w:ascii="Arial" w:hAnsi="Arial"/>
                <w:sz w:val="20"/>
              </w:rPr>
              <w:t>93</w:t>
            </w:r>
          </w:p>
        </w:tc>
        <w:tc>
          <w:tcPr>
            <w:tcW w:w="1260" w:type="dxa"/>
          </w:tcPr>
          <w:p w:rsidR="00092596" w:rsidRDefault="009A23D0">
            <w:pPr>
              <w:spacing w:before="120"/>
              <w:jc w:val="center"/>
              <w:rPr>
                <w:rFonts w:ascii="Arial" w:hAnsi="Arial"/>
                <w:sz w:val="20"/>
              </w:rPr>
            </w:pPr>
            <w:r>
              <w:rPr>
                <w:rFonts w:ascii="Arial" w:hAnsi="Arial"/>
                <w:sz w:val="20"/>
              </w:rPr>
              <w:t>363</w:t>
            </w:r>
          </w:p>
        </w:tc>
        <w:tc>
          <w:tcPr>
            <w:tcW w:w="1080" w:type="dxa"/>
          </w:tcPr>
          <w:p w:rsidR="00092596" w:rsidRDefault="009A23D0">
            <w:pPr>
              <w:spacing w:before="120"/>
              <w:jc w:val="center"/>
              <w:rPr>
                <w:rFonts w:ascii="Arial" w:hAnsi="Arial"/>
                <w:sz w:val="20"/>
              </w:rPr>
            </w:pPr>
            <w:r>
              <w:rPr>
                <w:rFonts w:ascii="Arial" w:hAnsi="Arial"/>
                <w:sz w:val="20"/>
              </w:rPr>
              <w:t>3.69e-15</w:t>
            </w:r>
          </w:p>
        </w:tc>
      </w:tr>
      <w:tr w:rsidR="009A23D0" w:rsidRPr="00206FAE">
        <w:trPr>
          <w:trHeight w:val="387"/>
        </w:trPr>
        <w:tc>
          <w:tcPr>
            <w:tcW w:w="1728" w:type="dxa"/>
          </w:tcPr>
          <w:p w:rsidR="00092596" w:rsidRDefault="00074525">
            <w:pPr>
              <w:spacing w:before="120"/>
              <w:jc w:val="center"/>
              <w:rPr>
                <w:rFonts w:ascii="Arial" w:hAnsi="Arial"/>
                <w:sz w:val="20"/>
              </w:rPr>
            </w:pPr>
            <w:r w:rsidRPr="00074525">
              <w:rPr>
                <w:rFonts w:ascii="Arial" w:hAnsi="Arial"/>
                <w:sz w:val="20"/>
              </w:rPr>
              <w:t>miR-122-5p</w:t>
            </w:r>
          </w:p>
        </w:tc>
        <w:tc>
          <w:tcPr>
            <w:tcW w:w="1188" w:type="dxa"/>
          </w:tcPr>
          <w:p w:rsidR="00092596" w:rsidRDefault="00092596">
            <w:pPr>
              <w:spacing w:before="120"/>
              <w:jc w:val="center"/>
              <w:rPr>
                <w:rFonts w:ascii="Arial" w:hAnsi="Arial"/>
                <w:sz w:val="20"/>
              </w:rPr>
            </w:pPr>
            <w:r w:rsidRPr="00092596">
              <w:rPr>
                <w:rFonts w:ascii="Arial" w:hAnsi="Arial"/>
                <w:sz w:val="20"/>
              </w:rPr>
              <w:t>Krützfeldt</w:t>
            </w:r>
          </w:p>
        </w:tc>
        <w:tc>
          <w:tcPr>
            <w:tcW w:w="972" w:type="dxa"/>
          </w:tcPr>
          <w:p w:rsidR="00092596" w:rsidRDefault="00074525">
            <w:pPr>
              <w:spacing w:before="120"/>
              <w:jc w:val="center"/>
              <w:rPr>
                <w:rFonts w:ascii="Arial" w:hAnsi="Arial"/>
                <w:sz w:val="20"/>
              </w:rPr>
            </w:pPr>
            <w:r w:rsidRPr="00074525">
              <w:rPr>
                <w:rFonts w:ascii="Arial" w:hAnsi="Arial"/>
                <w:sz w:val="20"/>
              </w:rPr>
              <w:t>Down</w:t>
            </w:r>
          </w:p>
        </w:tc>
        <w:tc>
          <w:tcPr>
            <w:tcW w:w="1170" w:type="dxa"/>
          </w:tcPr>
          <w:p w:rsidR="00092596" w:rsidRDefault="009A23D0">
            <w:pPr>
              <w:spacing w:before="120"/>
              <w:jc w:val="center"/>
              <w:rPr>
                <w:rFonts w:ascii="Arial" w:hAnsi="Arial"/>
                <w:sz w:val="20"/>
              </w:rPr>
            </w:pPr>
            <w:r>
              <w:rPr>
                <w:rFonts w:ascii="Arial" w:hAnsi="Arial"/>
                <w:sz w:val="20"/>
              </w:rPr>
              <w:t>1525</w:t>
            </w:r>
          </w:p>
        </w:tc>
        <w:tc>
          <w:tcPr>
            <w:tcW w:w="1350" w:type="dxa"/>
          </w:tcPr>
          <w:p w:rsidR="00092596" w:rsidRDefault="009A23D0">
            <w:pPr>
              <w:spacing w:before="120"/>
              <w:jc w:val="center"/>
              <w:rPr>
                <w:rFonts w:ascii="Arial" w:hAnsi="Arial"/>
                <w:sz w:val="20"/>
              </w:rPr>
            </w:pPr>
            <w:r>
              <w:rPr>
                <w:rFonts w:ascii="Arial" w:hAnsi="Arial"/>
                <w:sz w:val="20"/>
              </w:rPr>
              <w:t>16</w:t>
            </w:r>
          </w:p>
        </w:tc>
        <w:tc>
          <w:tcPr>
            <w:tcW w:w="1260" w:type="dxa"/>
          </w:tcPr>
          <w:p w:rsidR="00092596" w:rsidRDefault="009A23D0">
            <w:pPr>
              <w:spacing w:before="120"/>
              <w:jc w:val="center"/>
              <w:rPr>
                <w:rFonts w:ascii="Arial" w:hAnsi="Arial"/>
                <w:sz w:val="20"/>
              </w:rPr>
            </w:pPr>
            <w:r>
              <w:rPr>
                <w:rFonts w:ascii="Arial" w:hAnsi="Arial"/>
                <w:sz w:val="20"/>
              </w:rPr>
              <w:t>305</w:t>
            </w:r>
          </w:p>
        </w:tc>
        <w:tc>
          <w:tcPr>
            <w:tcW w:w="1080" w:type="dxa"/>
          </w:tcPr>
          <w:p w:rsidR="00092596" w:rsidRDefault="009A23D0">
            <w:pPr>
              <w:spacing w:before="120"/>
              <w:jc w:val="center"/>
              <w:rPr>
                <w:rFonts w:ascii="Arial" w:hAnsi="Arial"/>
                <w:sz w:val="20"/>
              </w:rPr>
            </w:pPr>
            <w:r>
              <w:rPr>
                <w:rFonts w:ascii="Arial" w:hAnsi="Arial"/>
                <w:sz w:val="20"/>
              </w:rPr>
              <w:t>1</w:t>
            </w:r>
          </w:p>
        </w:tc>
      </w:tr>
    </w:tbl>
    <w:p w:rsidR="009910C2" w:rsidRDefault="00281FAB" w:rsidP="009910C2">
      <w:pPr>
        <w:spacing w:before="120" w:line="480" w:lineRule="auto"/>
        <w:ind w:firstLine="720"/>
        <w:jc w:val="both"/>
        <w:rPr>
          <w:rFonts w:ascii="Arial" w:hAnsi="Arial"/>
        </w:rPr>
      </w:pPr>
      <w:r w:rsidRPr="00206FAE">
        <w:rPr>
          <w:rFonts w:ascii="Arial" w:hAnsi="Arial"/>
        </w:rPr>
        <w:t xml:space="preserve">The statistical significance of the overlap between two </w:t>
      </w:r>
      <w:r w:rsidR="00092596">
        <w:rPr>
          <w:rFonts w:ascii="Arial" w:hAnsi="Arial"/>
        </w:rPr>
        <w:t xml:space="preserve">data </w:t>
      </w:r>
      <w:r w:rsidRPr="00206FAE">
        <w:rPr>
          <w:rFonts w:ascii="Arial" w:hAnsi="Arial"/>
        </w:rPr>
        <w:t xml:space="preserve">sets </w:t>
      </w:r>
      <w:r w:rsidR="00092596">
        <w:rPr>
          <w:rFonts w:ascii="Arial" w:hAnsi="Arial"/>
        </w:rPr>
        <w:t xml:space="preserve">(predicted targets and genes with altered mRNA levels) </w:t>
      </w:r>
      <w:r w:rsidRPr="00206FAE">
        <w:rPr>
          <w:rFonts w:ascii="Arial" w:hAnsi="Arial"/>
        </w:rPr>
        <w:t>depends on the size of the complete set of ‘all’ genes from which the two sets are drawn.   The smaller the complete set, the less significant a given overlap is.  Because our miRNA target sets and the 29a-3p</w:t>
      </w:r>
      <w:r w:rsidR="007E47D6">
        <w:rPr>
          <w:rFonts w:ascii="Arial" w:hAnsi="Arial"/>
        </w:rPr>
        <w:t xml:space="preserve"> or the </w:t>
      </w:r>
      <w:r w:rsidR="007E47D6" w:rsidRPr="007E47D6">
        <w:rPr>
          <w:rFonts w:ascii="Arial" w:hAnsi="Arial"/>
        </w:rPr>
        <w:t>miR-122-5p</w:t>
      </w:r>
      <w:r w:rsidRPr="00206FAE">
        <w:rPr>
          <w:rFonts w:ascii="Arial" w:hAnsi="Arial"/>
        </w:rPr>
        <w:t xml:space="preserve"> targets </w:t>
      </w:r>
      <w:r w:rsidR="007E47D6">
        <w:rPr>
          <w:rFonts w:ascii="Arial" w:hAnsi="Arial"/>
        </w:rPr>
        <w:t>are</w:t>
      </w:r>
      <w:r w:rsidRPr="00206FAE">
        <w:rPr>
          <w:rFonts w:ascii="Arial" w:hAnsi="Arial"/>
        </w:rPr>
        <w:t xml:space="preserve"> drawn from the set of genes expressed in liver rather than all genes, we </w:t>
      </w:r>
      <w:r w:rsidR="007E47D6">
        <w:rPr>
          <w:rFonts w:ascii="Arial" w:hAnsi="Arial"/>
        </w:rPr>
        <w:t>employed</w:t>
      </w:r>
      <w:r w:rsidR="007E47D6" w:rsidRPr="00206FAE">
        <w:rPr>
          <w:rFonts w:ascii="Arial" w:hAnsi="Arial"/>
        </w:rPr>
        <w:t xml:space="preserve"> </w:t>
      </w:r>
      <w:r>
        <w:rPr>
          <w:rFonts w:ascii="Arial" w:hAnsi="Arial"/>
        </w:rPr>
        <w:t>several</w:t>
      </w:r>
      <w:r w:rsidRPr="00206FAE">
        <w:rPr>
          <w:rFonts w:ascii="Arial" w:hAnsi="Arial"/>
        </w:rPr>
        <w:t xml:space="preserve"> different sizes for the complete set and found the overlap </w:t>
      </w:r>
      <w:r w:rsidR="007E47D6">
        <w:rPr>
          <w:rFonts w:ascii="Arial" w:hAnsi="Arial"/>
        </w:rPr>
        <w:t xml:space="preserve">with the upregulated mRNAs </w:t>
      </w:r>
      <w:r w:rsidRPr="00206FAE">
        <w:rPr>
          <w:rFonts w:ascii="Arial" w:hAnsi="Arial"/>
        </w:rPr>
        <w:t>was always significant.  The number of RefSeq gene symbols was 27,350, the number of genes expressed above 1</w:t>
      </w:r>
      <w:r w:rsidR="00337611">
        <w:rPr>
          <w:rFonts w:ascii="Arial" w:hAnsi="Arial"/>
        </w:rPr>
        <w:t xml:space="preserve"> </w:t>
      </w:r>
      <w:r w:rsidRPr="00206FAE">
        <w:rPr>
          <w:rFonts w:ascii="Arial" w:hAnsi="Arial"/>
        </w:rPr>
        <w:t xml:space="preserve">RPKM was about 21,000, and the number of genes expressed above 3 RPKM is about 10,000.  </w:t>
      </w:r>
      <w:r w:rsidR="009A23D0">
        <w:rPr>
          <w:rFonts w:ascii="Arial" w:hAnsi="Arial"/>
        </w:rPr>
        <w:t xml:space="preserve">Results above are reported for </w:t>
      </w:r>
      <w:r w:rsidR="007E47D6" w:rsidRPr="00206FAE">
        <w:rPr>
          <w:rFonts w:ascii="Arial" w:hAnsi="Arial"/>
        </w:rPr>
        <w:t>RefSeq</w:t>
      </w:r>
      <w:r w:rsidR="007E47D6">
        <w:rPr>
          <w:rFonts w:ascii="Arial" w:hAnsi="Arial"/>
        </w:rPr>
        <w:t xml:space="preserve"> </w:t>
      </w:r>
      <w:r w:rsidR="009A23D0">
        <w:rPr>
          <w:rFonts w:ascii="Arial" w:hAnsi="Arial"/>
        </w:rPr>
        <w:t xml:space="preserve">15,000 genes.  </w:t>
      </w:r>
    </w:p>
    <w:p w:rsidR="001B559B" w:rsidRDefault="001B559B" w:rsidP="00281FAB">
      <w:pPr>
        <w:spacing w:before="120" w:line="480" w:lineRule="auto"/>
        <w:rPr>
          <w:rFonts w:ascii="Arial" w:hAnsi="Arial"/>
        </w:rPr>
      </w:pPr>
    </w:p>
    <w:p w:rsidR="001B559B" w:rsidRPr="001B559B" w:rsidRDefault="001B559B" w:rsidP="007667AB">
      <w:pPr>
        <w:spacing w:line="480" w:lineRule="auto"/>
        <w:jc w:val="both"/>
        <w:rPr>
          <w:rFonts w:ascii="Arial" w:eastAsia="Cambria" w:hAnsi="Arial" w:cs="Times New Roman"/>
          <w:b/>
        </w:rPr>
      </w:pPr>
      <w:r w:rsidRPr="001B559B">
        <w:rPr>
          <w:rFonts w:ascii="Arial" w:eastAsia="Cambria" w:hAnsi="Arial" w:cs="Times New Roman"/>
          <w:b/>
        </w:rPr>
        <w:t>HITS-CLIP library preparation:</w:t>
      </w:r>
    </w:p>
    <w:p w:rsidR="009910C2" w:rsidRDefault="007667AB" w:rsidP="009910C2">
      <w:pPr>
        <w:spacing w:line="480" w:lineRule="auto"/>
        <w:ind w:firstLine="720"/>
        <w:jc w:val="both"/>
        <w:rPr>
          <w:rFonts w:ascii="Arial" w:eastAsia="Cambria" w:hAnsi="Arial" w:cs="Times New Roman"/>
        </w:rPr>
      </w:pPr>
      <w:r>
        <w:rPr>
          <w:rFonts w:ascii="Arial" w:eastAsia="Cambria" w:hAnsi="Arial" w:cs="Times New Roman"/>
        </w:rPr>
        <w:t>HITS-CLIP l</w:t>
      </w:r>
      <w:r w:rsidRPr="004A7478">
        <w:rPr>
          <w:rFonts w:ascii="Arial" w:eastAsia="Cambria" w:hAnsi="Arial" w:cs="Times New Roman"/>
        </w:rPr>
        <w:t>ibraries were prepared for two replicates of each condition using the protocol described in</w:t>
      </w:r>
      <w:r>
        <w:rPr>
          <w:rFonts w:ascii="Arial" w:eastAsia="Cambria" w:hAnsi="Arial" w:cs="Times New Roman"/>
        </w:rPr>
        <w:t xml:space="preserve"> </w:t>
      </w:r>
      <w:r w:rsidR="003D4DE7">
        <w:rPr>
          <w:rFonts w:ascii="Arial" w:hAnsi="Arial"/>
        </w:rPr>
        <w:fldChar w:fldCharType="begin"/>
      </w:r>
      <w:r w:rsidR="009B1083">
        <w:rPr>
          <w:rFonts w:ascii="Arial" w:hAnsi="Arial"/>
        </w:rPr>
        <w:instrText xml:space="preserve"> ADDIN EN.CITE &lt;EndNote&gt;&lt;Cite&gt;&lt;Author&gt;Chi&lt;/Author&gt;&lt;Year&gt;2009&lt;/Year&gt;&lt;RecNum&gt;124&lt;/RecNum&gt;&lt;DisplayText&gt;[1]&lt;/DisplayText&gt;&lt;record&gt;&lt;rec-number&gt;124&lt;/rec-number&gt;&lt;foreign-keys&gt;&lt;key app="EN" db-id="edrvp95tfrtf2zeeav85zard2ppx9dzpztvf"&gt;124&lt;/key&gt;&lt;/foreign-keys&gt;&lt;ref-type name="Journal Article"&gt;17&lt;/ref-type&gt;&lt;contributors&gt;&lt;authors&gt;&lt;author&gt;Chi, S. W.&lt;/author&gt;&lt;author&gt;Zang, J. B.&lt;/author&gt;&lt;author&gt;Mele, A.&lt;/author&gt;&lt;author&gt;Darnell, R. B.&lt;/author&gt;&lt;/authors&gt;&lt;/contributors&gt;&lt;auth-address&gt;Laboratory of Molecular Neuro-Oncology and Howard Hughes Medical Institute, The Rockefeller University, 1230 York Avenue, New York, New York 10021, USA.&lt;/auth-address&gt;&lt;titles&gt;&lt;title&gt;Argonaute HITS-CLIP decodes microRNA-mRNA interaction maps&lt;/title&gt;&lt;secondary-title&gt;Nature&lt;/secondary-title&gt;&lt;alt-title&gt;Nature&lt;/alt-title&gt;&lt;/titles&gt;&lt;periodical&gt;&lt;full-title&gt;Nature&lt;/full-title&gt;&lt;abbr-1&gt;Nature&lt;/abbr-1&gt;&lt;/periodical&gt;&lt;alt-periodical&gt;&lt;full-title&gt;Nature&lt;/full-title&gt;&lt;abbr-1&gt;Nature&lt;/abbr-1&gt;&lt;/alt-periodical&gt;&lt;pages&gt;479-86&lt;/pages&gt;&lt;volume&gt;460&lt;/volume&gt;&lt;number&gt;7254&lt;/number&gt;&lt;edition&gt;2009/06/19&lt;/edition&gt;&lt;keywords&gt;&lt;keyword&gt;Animals&lt;/keyword&gt;&lt;keyword&gt;Cross-Linking Reagents/chemistry/metabolism&lt;/keyword&gt;&lt;keyword&gt;*Gene Expression Regulation&lt;/keyword&gt;&lt;keyword&gt;HeLa Cells&lt;/keyword&gt;&lt;keyword&gt;Humans&lt;/keyword&gt;&lt;keyword&gt;Immunoprecipitation/*methods&lt;/keyword&gt;&lt;keyword&gt;Mice&lt;/keyword&gt;&lt;keyword&gt;MicroRNAs/*metabolism&lt;/keyword&gt;&lt;keyword&gt;Protein Interaction Mapping&lt;/keyword&gt;&lt;keyword&gt;Reproducibility of Results&lt;/keyword&gt;&lt;/keywords&gt;&lt;dates&gt;&lt;year&gt;2009&lt;/year&gt;&lt;pub-dates&gt;&lt;date&gt;Jul 23&lt;/date&gt;&lt;/pub-dates&gt;&lt;/dates&gt;&lt;isbn&gt;1476-4687 (Electronic)&amp;#xD;0028-0836 (Linking)&lt;/isbn&gt;&lt;accession-num&gt;19536157&lt;/accession-num&gt;&lt;work-type&gt;Research Support, N.I.H., Extramural&amp;#xD;Research Support, Non-U.S. Gov&amp;apos;t&lt;/work-type&gt;&lt;urls&gt;&lt;related-urls&gt;&lt;url&gt;http://www.ncbi.nlm.nih.gov/pubmed/19536157&lt;/url&gt;&lt;/related-urls&gt;&lt;/urls&gt;&lt;custom2&gt;2733940&lt;/custom2&gt;&lt;electronic-resource-num&gt;10.1038/nature08170&lt;/electronic-resource-num&gt;&lt;language&gt;eng&lt;/language&gt;&lt;/record&gt;&lt;/Cite&gt;&lt;/EndNote&gt;</w:instrText>
      </w:r>
      <w:r w:rsidR="003D4DE7">
        <w:rPr>
          <w:rFonts w:ascii="Arial" w:hAnsi="Arial"/>
        </w:rPr>
        <w:fldChar w:fldCharType="separate"/>
      </w:r>
      <w:r w:rsidR="009B1083">
        <w:rPr>
          <w:rFonts w:ascii="Arial" w:hAnsi="Arial"/>
          <w:noProof/>
        </w:rPr>
        <w:t>[</w:t>
      </w:r>
      <w:hyperlink w:anchor="_ENREF_1" w:tooltip="Chi, 2009 #124" w:history="1">
        <w:r w:rsidR="009B1083">
          <w:rPr>
            <w:rFonts w:ascii="Arial" w:hAnsi="Arial"/>
            <w:noProof/>
          </w:rPr>
          <w:t>1</w:t>
        </w:r>
      </w:hyperlink>
      <w:r w:rsidR="009B1083">
        <w:rPr>
          <w:rFonts w:ascii="Arial" w:hAnsi="Arial"/>
          <w:noProof/>
        </w:rPr>
        <w:t>]</w:t>
      </w:r>
      <w:r w:rsidR="003D4DE7">
        <w:rPr>
          <w:rFonts w:ascii="Arial" w:hAnsi="Arial"/>
        </w:rPr>
        <w:fldChar w:fldCharType="end"/>
      </w:r>
      <w:r>
        <w:rPr>
          <w:rFonts w:ascii="Arial" w:eastAsia="Cambria" w:hAnsi="Arial" w:cs="Times New Roman"/>
        </w:rPr>
        <w:t xml:space="preserve">.  </w:t>
      </w:r>
      <w:r w:rsidRPr="004A7478">
        <w:rPr>
          <w:rFonts w:ascii="Arial" w:eastAsia="Cambria" w:hAnsi="Arial" w:cs="Times New Roman"/>
        </w:rPr>
        <w:t xml:space="preserve">Libraries were sequenced to 36bp on an Illumina GA-IIx for a minimum of </w:t>
      </w:r>
      <w:r w:rsidR="00AB50C1">
        <w:rPr>
          <w:rFonts w:ascii="Arial" w:eastAsia="Cambria" w:hAnsi="Arial" w:cs="Times New Roman"/>
        </w:rPr>
        <w:t>20 million</w:t>
      </w:r>
      <w:r w:rsidR="00AB50C1" w:rsidRPr="004A7478">
        <w:rPr>
          <w:rFonts w:ascii="Arial" w:eastAsia="Cambria" w:hAnsi="Arial" w:cs="Times New Roman"/>
        </w:rPr>
        <w:t xml:space="preserve"> </w:t>
      </w:r>
      <w:r w:rsidRPr="004A7478">
        <w:rPr>
          <w:rFonts w:ascii="Arial" w:eastAsia="Cambria" w:hAnsi="Arial" w:cs="Times New Roman"/>
        </w:rPr>
        <w:t xml:space="preserve">reads per sample.  Reads from all libraries where cleaned by trimming off trailing adapter sequences.  miRNA libraries where aligned </w:t>
      </w:r>
      <w:r>
        <w:rPr>
          <w:rFonts w:ascii="Arial" w:eastAsia="Cambria" w:hAnsi="Arial" w:cs="Times New Roman"/>
        </w:rPr>
        <w:t xml:space="preserve">to </w:t>
      </w:r>
      <w:r w:rsidRPr="004A7478">
        <w:rPr>
          <w:rFonts w:ascii="Arial" w:eastAsia="Cambria" w:hAnsi="Arial" w:cs="Times New Roman"/>
        </w:rPr>
        <w:t>precursor miRNA sequences using ELAND</w:t>
      </w:r>
      <w:r>
        <w:rPr>
          <w:rFonts w:ascii="Arial" w:eastAsia="Cambria" w:hAnsi="Arial" w:cs="Times New Roman"/>
        </w:rPr>
        <w:t>,</w:t>
      </w:r>
      <w:r w:rsidRPr="004A7478">
        <w:rPr>
          <w:rFonts w:ascii="Arial" w:eastAsia="Cambria" w:hAnsi="Arial" w:cs="Times New Roman"/>
        </w:rPr>
        <w:t xml:space="preserve"> allowing </w:t>
      </w:r>
      <w:r>
        <w:rPr>
          <w:rFonts w:ascii="Arial" w:eastAsia="Cambria" w:hAnsi="Arial" w:cs="Times New Roman"/>
        </w:rPr>
        <w:t xml:space="preserve">for </w:t>
      </w:r>
      <w:r w:rsidRPr="004A7478">
        <w:rPr>
          <w:rFonts w:ascii="Arial" w:eastAsia="Cambria" w:hAnsi="Arial" w:cs="Times New Roman"/>
        </w:rPr>
        <w:t xml:space="preserve">up to </w:t>
      </w:r>
      <w:r>
        <w:rPr>
          <w:rFonts w:ascii="Arial" w:eastAsia="Cambria" w:hAnsi="Arial" w:cs="Times New Roman"/>
        </w:rPr>
        <w:t>two</w:t>
      </w:r>
      <w:r w:rsidRPr="004A7478">
        <w:rPr>
          <w:rFonts w:ascii="Arial" w:eastAsia="Cambria" w:hAnsi="Arial" w:cs="Times New Roman"/>
        </w:rPr>
        <w:t xml:space="preserve"> mismatches. mRNA </w:t>
      </w:r>
      <w:r>
        <w:rPr>
          <w:rFonts w:ascii="Arial" w:eastAsia="Cambria" w:hAnsi="Arial" w:cs="Times New Roman"/>
        </w:rPr>
        <w:t>footprints</w:t>
      </w:r>
      <w:r w:rsidRPr="004A7478">
        <w:rPr>
          <w:rFonts w:ascii="Arial" w:eastAsia="Cambria" w:hAnsi="Arial" w:cs="Times New Roman"/>
        </w:rPr>
        <w:t xml:space="preserve"> where aligned to RefSeqs using BLAT</w:t>
      </w:r>
      <w:r>
        <w:rPr>
          <w:rFonts w:ascii="Arial" w:eastAsia="Cambria" w:hAnsi="Arial" w:cs="Times New Roman"/>
        </w:rPr>
        <w:t xml:space="preserve"> </w:t>
      </w:r>
      <w:r w:rsidR="003D4DE7">
        <w:rPr>
          <w:rFonts w:ascii="Arial" w:eastAsia="Cambria" w:hAnsi="Arial" w:cs="Times New Roman"/>
        </w:rPr>
        <w:fldChar w:fldCharType="begin"/>
      </w:r>
      <w:r w:rsidR="009B1083">
        <w:rPr>
          <w:rFonts w:ascii="Arial" w:eastAsia="Cambria" w:hAnsi="Arial" w:cs="Times New Roman"/>
        </w:rPr>
        <w:instrText xml:space="preserve"> ADDIN EN.CITE &lt;EndNote&gt;&lt;Cite&gt;&lt;Author&gt;Zhang&lt;/Author&gt;&lt;Year&gt;2011&lt;/Year&gt;&lt;RecNum&gt;180&lt;/RecNum&gt;&lt;DisplayText&gt;[2]&lt;/DisplayText&gt;&lt;record&gt;&lt;rec-number&gt;180&lt;/rec-number&gt;&lt;foreign-keys&gt;&lt;key app="EN" db-id="edrvp95tfrtf2zeeav85zard2ppx9dzpztvf"&gt;180&lt;/key&gt;&lt;/foreign-keys&gt;&lt;ref-type name="Journal Article"&gt;17&lt;/ref-type&gt;&lt;contributors&gt;&lt;authors&gt;&lt;author&gt;Zhang, C.&lt;/author&gt;&lt;author&gt;Darnell, R. B.&lt;/author&gt;&lt;/authors&gt;&lt;/contributors&gt;&lt;auth-address&gt;Laboratory of Molecular Neuro-Oncology, Howard Hughes Medical Institute, The Rockefeller University, New York, New York, USA. czhang@rockefeller.edu&lt;/auth-address&gt;&lt;titles&gt;&lt;title&gt;Mapping in vivo protein-RNA interactions at single-nucleotide resolution from HITS-CLIP data&lt;/title&gt;&lt;secondary-title&gt;Nature biotechnology&lt;/secondary-title&gt;&lt;alt-title&gt;Nat Biotechnol&lt;/alt-title&gt;&lt;/titles&gt;&lt;periodical&gt;&lt;full-title&gt;Nature biotechnology&lt;/full-title&gt;&lt;abbr-1&gt;Nat Biotechnol&lt;/abbr-1&gt;&lt;/periodical&gt;&lt;alt-periodical&gt;&lt;full-title&gt;Nature biotechnology&lt;/full-title&gt;&lt;abbr-1&gt;Nat Biotechnol&lt;/abbr-1&gt;&lt;/alt-periodical&gt;&lt;pages&gt;607-14&lt;/pages&gt;&lt;volume&gt;29&lt;/volume&gt;&lt;number&gt;7&lt;/number&gt;&lt;edition&gt;2011/06/03&lt;/edition&gt;&lt;keywords&gt;&lt;keyword&gt;Nucleotides/*chemistry/genetics/metabolism&lt;/keyword&gt;&lt;keyword&gt;Protein Interaction Mapping/*methods&lt;/keyword&gt;&lt;keyword&gt;Proteins/*chemistry/genetics/*metabolism&lt;/keyword&gt;&lt;keyword&gt;RNA/*chemistry/genetics/metabolism&lt;/keyword&gt;&lt;keyword&gt;Sequence Analysis, Protein/*methods&lt;/keyword&gt;&lt;keyword&gt;Sequence Analysis, RNA/*methods&lt;/keyword&gt;&lt;/keywords&gt;&lt;dates&gt;&lt;year&gt;2011&lt;/year&gt;&lt;pub-dates&gt;&lt;date&gt;Jul&lt;/date&gt;&lt;/pub-dates&gt;&lt;/dates&gt;&lt;isbn&gt;1546-1696 (Electronic)&amp;#xD;1087-0156 (Linking)&lt;/isbn&gt;&lt;accession-num&gt;21633356&lt;/accession-num&gt;&lt;work-type&gt;Research Support, N.I.H., Extramural&amp;#xD;Research Support, Non-U.S. Gov&amp;apos;t&lt;/work-type&gt;&lt;urls&gt;&lt;related-urls&gt;&lt;url&gt;http://www.ncbi.nlm.nih.gov/pubmed/21633356&lt;/url&gt;&lt;/related-urls&gt;&lt;/urls&gt;&lt;electronic-resource-num&gt;10.1038/nbt.1873&lt;/electronic-resource-num&gt;&lt;language&gt;eng&lt;/language&gt;&lt;/record&gt;&lt;/Cite&gt;&lt;/EndNote&gt;</w:instrText>
      </w:r>
      <w:r w:rsidR="003D4DE7">
        <w:rPr>
          <w:rFonts w:ascii="Arial" w:eastAsia="Cambria" w:hAnsi="Arial" w:cs="Times New Roman"/>
        </w:rPr>
        <w:fldChar w:fldCharType="separate"/>
      </w:r>
      <w:r w:rsidR="009B1083">
        <w:rPr>
          <w:rFonts w:ascii="Arial" w:eastAsia="Cambria" w:hAnsi="Arial" w:cs="Times New Roman"/>
          <w:noProof/>
        </w:rPr>
        <w:t>[</w:t>
      </w:r>
      <w:hyperlink w:anchor="_ENREF_2" w:tooltip="Zhang, 2011 #180" w:history="1">
        <w:r w:rsidR="009B1083">
          <w:rPr>
            <w:rFonts w:ascii="Arial" w:eastAsia="Cambria" w:hAnsi="Arial" w:cs="Times New Roman"/>
            <w:noProof/>
          </w:rPr>
          <w:t>2</w:t>
        </w:r>
      </w:hyperlink>
      <w:r w:rsidR="009B1083">
        <w:rPr>
          <w:rFonts w:ascii="Arial" w:eastAsia="Cambria" w:hAnsi="Arial" w:cs="Times New Roman"/>
          <w:noProof/>
        </w:rPr>
        <w:t>]</w:t>
      </w:r>
      <w:r w:rsidR="003D4DE7">
        <w:rPr>
          <w:rFonts w:ascii="Arial" w:eastAsia="Cambria" w:hAnsi="Arial" w:cs="Times New Roman"/>
        </w:rPr>
        <w:fldChar w:fldCharType="end"/>
      </w:r>
      <w:r w:rsidRPr="004A7478">
        <w:rPr>
          <w:rFonts w:ascii="Arial" w:eastAsia="Cambria" w:hAnsi="Arial" w:cs="Times New Roman"/>
        </w:rPr>
        <w:t xml:space="preserve"> and allow</w:t>
      </w:r>
      <w:r>
        <w:rPr>
          <w:rFonts w:ascii="Arial" w:eastAsia="Cambria" w:hAnsi="Arial" w:cs="Times New Roman"/>
        </w:rPr>
        <w:t>ed</w:t>
      </w:r>
      <w:r w:rsidRPr="004A7478">
        <w:rPr>
          <w:rFonts w:ascii="Arial" w:eastAsia="Cambria" w:hAnsi="Arial" w:cs="Times New Roman"/>
        </w:rPr>
        <w:t xml:space="preserve"> short insertions to accommodate the small deletions observed in</w:t>
      </w:r>
      <w:r>
        <w:rPr>
          <w:rFonts w:ascii="Arial" w:eastAsia="Cambria" w:hAnsi="Arial" w:cs="Times New Roman"/>
        </w:rPr>
        <w:t xml:space="preserve"> mRNA f</w:t>
      </w:r>
      <w:r w:rsidRPr="004A7478">
        <w:rPr>
          <w:rFonts w:ascii="Arial" w:eastAsia="Cambria" w:hAnsi="Arial" w:cs="Times New Roman"/>
        </w:rPr>
        <w:t xml:space="preserve">ootprints were created for each replicate by coalescing aligned reads into groups as follows.  For each position on each RefSeq we calculated the total number of reads with an alignment that started at that position. We then </w:t>
      </w:r>
      <w:r>
        <w:rPr>
          <w:rFonts w:ascii="Arial" w:eastAsia="Cambria" w:hAnsi="Arial" w:cs="Times New Roman"/>
        </w:rPr>
        <w:t>arranged</w:t>
      </w:r>
      <w:r w:rsidRPr="004A7478">
        <w:rPr>
          <w:rFonts w:ascii="Arial" w:eastAsia="Cambria" w:hAnsi="Arial" w:cs="Times New Roman"/>
        </w:rPr>
        <w:t xml:space="preserve"> all locations in order from high to low, i.e., </w:t>
      </w:r>
      <w:r>
        <w:rPr>
          <w:rFonts w:ascii="Arial" w:eastAsia="Cambria" w:hAnsi="Arial" w:cs="Times New Roman"/>
        </w:rPr>
        <w:t xml:space="preserve">from </w:t>
      </w:r>
      <w:r w:rsidRPr="004A7478">
        <w:rPr>
          <w:rFonts w:ascii="Arial" w:eastAsia="Cambria" w:hAnsi="Arial" w:cs="Times New Roman"/>
        </w:rPr>
        <w:t>most aligned reads to least.  We processed each position in</w:t>
      </w:r>
      <w:r>
        <w:rPr>
          <w:rFonts w:ascii="Arial" w:eastAsia="Cambria" w:hAnsi="Arial" w:cs="Times New Roman"/>
        </w:rPr>
        <w:t xml:space="preserve"> this order.  A position created</w:t>
      </w:r>
      <w:r w:rsidRPr="004A7478">
        <w:rPr>
          <w:rFonts w:ascii="Arial" w:eastAsia="Cambria" w:hAnsi="Arial" w:cs="Times New Roman"/>
        </w:rPr>
        <w:t xml:space="preserve"> a new footprint if it </w:t>
      </w:r>
      <w:r>
        <w:rPr>
          <w:rFonts w:ascii="Arial" w:eastAsia="Cambria" w:hAnsi="Arial" w:cs="Times New Roman"/>
        </w:rPr>
        <w:t>was</w:t>
      </w:r>
      <w:r w:rsidRPr="004A7478">
        <w:rPr>
          <w:rFonts w:ascii="Arial" w:eastAsia="Cambria" w:hAnsi="Arial" w:cs="Times New Roman"/>
        </w:rPr>
        <w:t xml:space="preserve"> at least 10bp away from an existing footprint, otherwise </w:t>
      </w:r>
      <w:r>
        <w:rPr>
          <w:rFonts w:ascii="Arial" w:eastAsia="Cambria" w:hAnsi="Arial" w:cs="Times New Roman"/>
        </w:rPr>
        <w:t>it was</w:t>
      </w:r>
      <w:r w:rsidRPr="004A7478">
        <w:rPr>
          <w:rFonts w:ascii="Arial" w:eastAsia="Cambria" w:hAnsi="Arial" w:cs="Times New Roman"/>
        </w:rPr>
        <w:t xml:space="preserve"> added into the nearby pre-existing footprint.  The final start position of a footprint </w:t>
      </w:r>
      <w:r>
        <w:rPr>
          <w:rFonts w:ascii="Arial" w:eastAsia="Cambria" w:hAnsi="Arial" w:cs="Times New Roman"/>
        </w:rPr>
        <w:t>was defined as</w:t>
      </w:r>
      <w:r w:rsidRPr="004A7478">
        <w:rPr>
          <w:rFonts w:ascii="Arial" w:eastAsia="Cambria" w:hAnsi="Arial" w:cs="Times New Roman"/>
        </w:rPr>
        <w:t xml:space="preserve"> the position of the first position that was used to create the footprint.  The strength of a footprint is the total count of all reads that were assigned to a footprint. </w:t>
      </w:r>
    </w:p>
    <w:p w:rsidR="007667AB" w:rsidRDefault="007667AB" w:rsidP="007667AB">
      <w:pPr>
        <w:spacing w:before="120" w:line="480" w:lineRule="auto"/>
        <w:jc w:val="both"/>
        <w:rPr>
          <w:rFonts w:ascii="Arial" w:eastAsia="Cambria" w:hAnsi="Arial" w:cs="Times New Roman"/>
        </w:rPr>
      </w:pPr>
    </w:p>
    <w:p w:rsidR="009910C2" w:rsidRDefault="007667AB" w:rsidP="009910C2">
      <w:pPr>
        <w:spacing w:before="120" w:line="480" w:lineRule="auto"/>
        <w:ind w:firstLine="720"/>
        <w:jc w:val="both"/>
        <w:rPr>
          <w:rFonts w:ascii="Arial" w:eastAsia="Cambria" w:hAnsi="Arial" w:cs="Times New Roman"/>
        </w:rPr>
      </w:pPr>
      <w:r w:rsidRPr="004A7478">
        <w:rPr>
          <w:rFonts w:ascii="Arial" w:eastAsia="Cambria" w:hAnsi="Arial" w:cs="Times New Roman"/>
        </w:rPr>
        <w:t xml:space="preserve">Since the apparent strength of a footprint is determined both by sequencing depth and expression level of the mRNA, we normalized footprint strength to reads per HITS-CLIP million reads, then divided by the </w:t>
      </w:r>
      <w:r w:rsidR="00CB6274" w:rsidRPr="004A7478">
        <w:rPr>
          <w:rFonts w:ascii="Arial" w:eastAsia="Cambria" w:hAnsi="Arial" w:cs="Times New Roman"/>
        </w:rPr>
        <w:t>RP</w:t>
      </w:r>
      <w:r w:rsidR="00CB6274">
        <w:rPr>
          <w:rFonts w:ascii="Arial" w:eastAsia="Cambria" w:hAnsi="Arial" w:cs="Times New Roman"/>
        </w:rPr>
        <w:t>KM</w:t>
      </w:r>
      <w:r w:rsidR="00CB6274" w:rsidRPr="004A7478">
        <w:rPr>
          <w:rFonts w:ascii="Arial" w:eastAsia="Cambria" w:hAnsi="Arial" w:cs="Times New Roman"/>
        </w:rPr>
        <w:t xml:space="preserve"> </w:t>
      </w:r>
      <w:r w:rsidRPr="004A7478">
        <w:rPr>
          <w:rFonts w:ascii="Arial" w:eastAsia="Cambria" w:hAnsi="Arial" w:cs="Times New Roman"/>
        </w:rPr>
        <w:t xml:space="preserve">value of the RNA-Seq data to create a relative footprint strength.  Further analysis of footprints was done using footprints that contained at least 10 reads. We define the </w:t>
      </w:r>
      <w:r w:rsidRPr="004A7478">
        <w:rPr>
          <w:rFonts w:ascii="Arial" w:eastAsia="Cambria" w:hAnsi="Arial" w:cs="Times New Roman"/>
          <w:i/>
        </w:rPr>
        <w:t xml:space="preserve">total regulatory load </w:t>
      </w:r>
      <w:r w:rsidR="007E47D6">
        <w:rPr>
          <w:rFonts w:ascii="Arial" w:eastAsia="Cambria" w:hAnsi="Arial" w:cs="Times New Roman"/>
        </w:rPr>
        <w:t xml:space="preserve">(TRL) </w:t>
      </w:r>
      <w:r w:rsidRPr="004A7478">
        <w:rPr>
          <w:rFonts w:ascii="Arial" w:eastAsia="Cambria" w:hAnsi="Arial" w:cs="Times New Roman"/>
        </w:rPr>
        <w:t>for a transcript as the sum of all the relative footprint strengths for all footprints on the transcript.</w:t>
      </w:r>
    </w:p>
    <w:p w:rsidR="009910C2" w:rsidRDefault="00407C02" w:rsidP="009910C2">
      <w:pPr>
        <w:spacing w:before="120" w:line="480" w:lineRule="auto"/>
        <w:ind w:firstLine="720"/>
        <w:jc w:val="both"/>
        <w:rPr>
          <w:rFonts w:ascii="Arial" w:eastAsia="Cambria" w:hAnsi="Arial" w:cs="Times New Roman"/>
        </w:rPr>
      </w:pPr>
      <w:r>
        <w:rPr>
          <w:rFonts w:ascii="Arial" w:eastAsia="Cambria" w:hAnsi="Arial" w:cs="Times New Roman"/>
        </w:rPr>
        <w:t xml:space="preserve">Comparison of miRNA loading levels across time was done by computing the RPM values of miRNA (using just the reads that aligned to miRNA hairpins) then performing </w:t>
      </w:r>
      <w:r w:rsidR="002E7854">
        <w:rPr>
          <w:rFonts w:ascii="Arial" w:eastAsia="Cambria" w:hAnsi="Arial" w:cs="Times New Roman"/>
        </w:rPr>
        <w:t>quantile normalization.  Statis</w:t>
      </w:r>
      <w:r>
        <w:rPr>
          <w:rFonts w:ascii="Arial" w:eastAsia="Cambria" w:hAnsi="Arial" w:cs="Times New Roman"/>
        </w:rPr>
        <w:t xml:space="preserve">tical significance was assessed using ANOVA analysis followed by Tukey’s </w:t>
      </w:r>
      <w:r w:rsidR="007E47D6">
        <w:rPr>
          <w:rFonts w:ascii="Arial" w:eastAsia="Cambria" w:hAnsi="Arial" w:cs="Times New Roman"/>
        </w:rPr>
        <w:t>‘</w:t>
      </w:r>
      <w:r>
        <w:rPr>
          <w:rFonts w:ascii="Arial" w:eastAsia="Cambria" w:hAnsi="Arial" w:cs="Times New Roman"/>
        </w:rPr>
        <w:t>honestly significant difference</w:t>
      </w:r>
      <w:r w:rsidR="007E47D6">
        <w:rPr>
          <w:rFonts w:ascii="Arial" w:eastAsia="Cambria" w:hAnsi="Arial" w:cs="Times New Roman"/>
        </w:rPr>
        <w:t>’</w:t>
      </w:r>
      <w:r>
        <w:rPr>
          <w:rFonts w:ascii="Arial" w:eastAsia="Cambria" w:hAnsi="Arial" w:cs="Times New Roman"/>
        </w:rPr>
        <w:t xml:space="preserve"> test to identify the significance of individual comparisons.</w:t>
      </w:r>
      <w:r w:rsidR="002E7854">
        <w:rPr>
          <w:rFonts w:ascii="Arial" w:eastAsia="Cambria" w:hAnsi="Arial" w:cs="Times New Roman"/>
        </w:rPr>
        <w:t xml:space="preserve"> </w:t>
      </w:r>
      <w:r>
        <w:rPr>
          <w:rFonts w:ascii="Arial" w:eastAsia="Cambria" w:hAnsi="Arial" w:cs="Times New Roman"/>
        </w:rPr>
        <w:t>ANOVA p-values were corrected for multiple testing using Benjamini-Hochberg correction.</w:t>
      </w:r>
      <w:r w:rsidR="002E7854">
        <w:rPr>
          <w:rFonts w:ascii="Arial" w:eastAsia="Cambria" w:hAnsi="Arial" w:cs="Times New Roman"/>
        </w:rPr>
        <w:t xml:space="preserve">  Only miRNAs with a maximum loading over 1</w:t>
      </w:r>
      <w:r w:rsidR="007E47D6">
        <w:rPr>
          <w:rFonts w:ascii="Arial" w:eastAsia="Cambria" w:hAnsi="Arial" w:cs="Times New Roman"/>
        </w:rPr>
        <w:t>,</w:t>
      </w:r>
      <w:r w:rsidR="002E7854">
        <w:rPr>
          <w:rFonts w:ascii="Arial" w:eastAsia="Cambria" w:hAnsi="Arial" w:cs="Times New Roman"/>
        </w:rPr>
        <w:t>000</w:t>
      </w:r>
      <w:r w:rsidR="00337611">
        <w:rPr>
          <w:rFonts w:ascii="Arial" w:eastAsia="Cambria" w:hAnsi="Arial" w:cs="Times New Roman"/>
        </w:rPr>
        <w:t xml:space="preserve"> </w:t>
      </w:r>
      <w:r w:rsidR="002E7854">
        <w:rPr>
          <w:rFonts w:ascii="Arial" w:eastAsia="Cambria" w:hAnsi="Arial" w:cs="Times New Roman"/>
        </w:rPr>
        <w:t>RPM were considered.</w:t>
      </w:r>
    </w:p>
    <w:p w:rsidR="007667AB" w:rsidRDefault="007667AB" w:rsidP="007667AB">
      <w:pPr>
        <w:spacing w:line="480" w:lineRule="auto"/>
        <w:jc w:val="both"/>
        <w:rPr>
          <w:rFonts w:ascii="Arial" w:hAnsi="Arial"/>
        </w:rPr>
      </w:pPr>
    </w:p>
    <w:p w:rsidR="007667AB" w:rsidRDefault="007667AB" w:rsidP="007667AB">
      <w:pPr>
        <w:spacing w:line="480" w:lineRule="auto"/>
        <w:jc w:val="both"/>
        <w:rPr>
          <w:rFonts w:ascii="Arial" w:hAnsi="Arial"/>
          <w:b/>
        </w:rPr>
      </w:pPr>
      <w:r>
        <w:rPr>
          <w:rFonts w:ascii="Arial" w:hAnsi="Arial"/>
          <w:b/>
        </w:rPr>
        <w:t>RNAseq Data</w:t>
      </w:r>
    </w:p>
    <w:p w:rsidR="009910C2" w:rsidRDefault="007667AB" w:rsidP="009910C2">
      <w:pPr>
        <w:spacing w:line="480" w:lineRule="auto"/>
        <w:ind w:firstLine="720"/>
        <w:jc w:val="both"/>
        <w:rPr>
          <w:rFonts w:ascii="Cambria" w:eastAsia="Cambria" w:hAnsi="Cambria" w:cs="Times New Roman"/>
        </w:rPr>
      </w:pPr>
      <w:r w:rsidRPr="00BA49DA">
        <w:rPr>
          <w:rFonts w:ascii="Arial" w:hAnsi="Arial" w:cs="Arial"/>
          <w:szCs w:val="30"/>
        </w:rPr>
        <w:t xml:space="preserve">Libraries were </w:t>
      </w:r>
      <w:r w:rsidR="007E47D6">
        <w:rPr>
          <w:rFonts w:ascii="Arial" w:hAnsi="Arial" w:cs="Arial"/>
          <w:szCs w:val="30"/>
        </w:rPr>
        <w:t>constructed</w:t>
      </w:r>
      <w:r w:rsidR="007E47D6" w:rsidRPr="00BA49DA">
        <w:rPr>
          <w:rFonts w:ascii="Arial" w:hAnsi="Arial" w:cs="Arial"/>
          <w:szCs w:val="30"/>
        </w:rPr>
        <w:t xml:space="preserve"> </w:t>
      </w:r>
      <w:r w:rsidRPr="00BA49DA">
        <w:rPr>
          <w:rFonts w:ascii="Arial" w:hAnsi="Arial" w:cs="Arial"/>
          <w:szCs w:val="30"/>
        </w:rPr>
        <w:t>from 200ng of total RNA using</w:t>
      </w:r>
      <w:r w:rsidR="007E47D6">
        <w:rPr>
          <w:rFonts w:ascii="Arial" w:hAnsi="Arial" w:cs="Arial"/>
          <w:szCs w:val="30"/>
        </w:rPr>
        <w:t xml:space="preserve"> the</w:t>
      </w:r>
      <w:r w:rsidRPr="00BA49DA">
        <w:rPr>
          <w:rFonts w:ascii="Arial" w:hAnsi="Arial" w:cs="Arial"/>
          <w:szCs w:val="30"/>
        </w:rPr>
        <w:t xml:space="preserve"> Illumina TruSeq mRNA V1 sample prep kit</w:t>
      </w:r>
      <w:r w:rsidRPr="00876FA6">
        <w:rPr>
          <w:rFonts w:ascii="Arial" w:eastAsia="Cambria" w:hAnsi="Arial" w:cs="Times New Roman"/>
        </w:rPr>
        <w:t>.</w:t>
      </w:r>
      <w:r w:rsidRPr="008C0DCF">
        <w:rPr>
          <w:rFonts w:ascii="Arial" w:eastAsia="Cambria" w:hAnsi="Arial" w:cs="Times New Roman"/>
        </w:rPr>
        <w:t xml:space="preserve">  Libraries were sequenced to 100bp (single end) on an Illumina hiSeq2000 yielding a minimum of</w:t>
      </w:r>
      <w:r w:rsidR="00AB50C1">
        <w:rPr>
          <w:rFonts w:ascii="Arial" w:eastAsia="Cambria" w:hAnsi="Arial" w:cs="Times New Roman"/>
        </w:rPr>
        <w:t xml:space="preserve"> 37 million</w:t>
      </w:r>
      <w:r w:rsidRPr="008C0DCF">
        <w:rPr>
          <w:rFonts w:ascii="Arial" w:eastAsia="Cambria" w:hAnsi="Arial" w:cs="Times New Roman"/>
        </w:rPr>
        <w:t xml:space="preserve"> reads for two replicates of each condition.  Repeat- and ribosomal-containing reads were reduced using </w:t>
      </w:r>
      <w:r w:rsidR="00A50A6A" w:rsidRPr="00A50A6A">
        <w:rPr>
          <w:rFonts w:ascii="Arial" w:eastAsia="Cambria" w:hAnsi="Arial" w:cs="Times New Roman"/>
        </w:rPr>
        <w:t>Bowtie</w:t>
      </w:r>
      <w:r w:rsidR="00717CC3" w:rsidRPr="00717CC3">
        <w:rPr>
          <w:rFonts w:ascii="Arial" w:eastAsia="Cambria" w:hAnsi="Arial" w:cs="Times New Roman"/>
        </w:rPr>
        <w:t xml:space="preserve"> </w:t>
      </w:r>
      <w:r w:rsidR="003D4DE7" w:rsidRPr="00A50A6A">
        <w:rPr>
          <w:rFonts w:ascii="Arial" w:eastAsia="Cambria" w:hAnsi="Arial" w:cs="Times New Roman"/>
        </w:rPr>
        <w:fldChar w:fldCharType="begin"/>
      </w:r>
      <w:r w:rsidR="009B1083">
        <w:rPr>
          <w:rFonts w:ascii="Arial" w:eastAsia="Cambria" w:hAnsi="Arial" w:cs="Times New Roman"/>
        </w:rPr>
        <w:instrText xml:space="preserve"> ADDIN EN.CITE &lt;EndNote&gt;&lt;Cite&gt;&lt;Author&gt;Langmead&lt;/Author&gt;&lt;Year&gt;2009&lt;/Year&gt;&lt;RecNum&gt;182&lt;/RecNum&gt;&lt;DisplayText&gt;[3]&lt;/DisplayText&gt;&lt;record&gt;&lt;rec-number&gt;182&lt;/rec-number&gt;&lt;foreign-keys&gt;&lt;key app="EN" db-id="edrvp95tfrtf2zeeav85zard2ppx9dzpztvf"&gt;182&lt;/key&gt;&lt;/foreign-keys&gt;&lt;ref-type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biology&lt;/secondary-title&gt;&lt;alt-title&gt;Genome Biol&lt;/alt-title&gt;&lt;/titles&gt;&lt;periodical&gt;&lt;full-title&gt;Genome biology&lt;/full-title&gt;&lt;abbr-1&gt;Genome Biol&lt;/abbr-1&gt;&lt;/periodical&gt;&lt;alt-periodical&gt;&lt;full-title&gt;Genome biology&lt;/full-title&gt;&lt;abbr-1&gt;Genome Biol&lt;/abbr-1&gt;&lt;/alt-periodical&gt;&lt;pages&gt;R25&lt;/pages&gt;&lt;volume&gt;10&lt;/volume&gt;&lt;number&gt;3&lt;/number&gt;&lt;edition&gt;2009/03/06&lt;/edition&gt;&lt;keywords&gt;&lt;keyword&gt;Algorithms&lt;/keyword&gt;&lt;keyword&gt;*Base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Alignment/*methods&lt;/keyword&gt;&lt;/keywords&gt;&lt;dates&gt;&lt;year&gt;2009&lt;/year&gt;&lt;/dates&gt;&lt;isbn&gt;1465-6914 (Electronic)&amp;#xD;1465-6906 (Linking)&lt;/isbn&gt;&lt;accession-num&gt;19261174&lt;/accession-num&gt;&lt;work-type&gt;Research Support, N.I.H., Extramural&lt;/work-type&gt;&lt;urls&gt;&lt;related-urls&gt;&lt;url&gt;http://www.ncbi.nlm.nih.gov/pubmed/19261174&lt;/url&gt;&lt;/related-urls&gt;&lt;/urls&gt;&lt;custom2&gt;2690996&lt;/custom2&gt;&lt;electronic-resource-num&gt;10.1186/gb-2009-10-3-r25&lt;/electronic-resource-num&gt;&lt;language&gt;eng&lt;/language&gt;&lt;/record&gt;&lt;/Cite&gt;&lt;/EndNote&gt;</w:instrText>
      </w:r>
      <w:r w:rsidR="003D4DE7" w:rsidRPr="00A50A6A">
        <w:rPr>
          <w:rFonts w:ascii="Arial" w:eastAsia="Cambria" w:hAnsi="Arial" w:cs="Times New Roman"/>
        </w:rPr>
        <w:fldChar w:fldCharType="separate"/>
      </w:r>
      <w:r w:rsidR="009B1083">
        <w:rPr>
          <w:rFonts w:ascii="Arial" w:eastAsia="Cambria" w:hAnsi="Arial" w:cs="Times New Roman"/>
          <w:noProof/>
        </w:rPr>
        <w:t>[</w:t>
      </w:r>
      <w:hyperlink w:anchor="_ENREF_3" w:tooltip="Langmead, 2009 #182" w:history="1">
        <w:r w:rsidR="009B1083">
          <w:rPr>
            <w:rFonts w:ascii="Arial" w:eastAsia="Cambria" w:hAnsi="Arial" w:cs="Times New Roman"/>
            <w:noProof/>
          </w:rPr>
          <w:t>3</w:t>
        </w:r>
      </w:hyperlink>
      <w:r w:rsidR="009B1083">
        <w:rPr>
          <w:rFonts w:ascii="Arial" w:eastAsia="Cambria" w:hAnsi="Arial" w:cs="Times New Roman"/>
          <w:noProof/>
        </w:rPr>
        <w:t>]</w:t>
      </w:r>
      <w:r w:rsidR="003D4DE7" w:rsidRPr="00A50A6A">
        <w:rPr>
          <w:rFonts w:ascii="Arial" w:eastAsia="Cambria" w:hAnsi="Arial" w:cs="Times New Roman"/>
        </w:rPr>
        <w:fldChar w:fldCharType="end"/>
      </w:r>
      <w:r w:rsidR="006B7D75">
        <w:rPr>
          <w:rFonts w:ascii="Arial" w:eastAsia="Cambria" w:hAnsi="Arial" w:cs="Times New Roman"/>
        </w:rPr>
        <w:t xml:space="preserve"> </w:t>
      </w:r>
      <w:r w:rsidRPr="008C0DCF">
        <w:rPr>
          <w:rFonts w:ascii="Arial" w:eastAsia="Cambria" w:hAnsi="Arial" w:cs="Times New Roman"/>
        </w:rPr>
        <w:t xml:space="preserve">to align the first 50bp of each read to a library of RepBase repeats and ribosomal sequences.  The remaining reads where then processed with </w:t>
      </w:r>
      <w:r w:rsidR="00A50A6A" w:rsidRPr="00A50A6A">
        <w:rPr>
          <w:rFonts w:ascii="Arial" w:eastAsia="Cambria" w:hAnsi="Arial" w:cs="Times New Roman"/>
        </w:rPr>
        <w:t xml:space="preserve">RUM </w:t>
      </w:r>
      <w:r w:rsidR="003D4DE7" w:rsidRPr="00A50A6A">
        <w:rPr>
          <w:rFonts w:ascii="Arial" w:eastAsia="Cambria" w:hAnsi="Arial" w:cs="Times New Roman"/>
        </w:rPr>
        <w:fldChar w:fldCharType="begin">
          <w:fldData xml:space="preserve">PEVuZE5vdGU+PENpdGU+PEF1dGhvcj5HcmFudDwvQXV0aG9yPjxZZWFyPjIwMTE8L1llYXI+PFJl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</w:fldData>
        </w:fldChar>
      </w:r>
      <w:r w:rsidR="009B1083">
        <w:rPr>
          <w:rFonts w:ascii="Arial" w:eastAsia="Cambria" w:hAnsi="Arial" w:cs="Times New Roman"/>
        </w:rPr>
        <w:instrText xml:space="preserve"> ADDIN EN.CITE </w:instrText>
      </w:r>
      <w:r w:rsidR="009B1083">
        <w:rPr>
          <w:rFonts w:ascii="Arial" w:eastAsia="Cambria" w:hAnsi="Arial" w:cs="Times New Roman"/>
        </w:rPr>
        <w:fldChar w:fldCharType="begin">
          <w:fldData xml:space="preserve">PEVuZE5vdGU+PENpdGU+PEF1dGhvcj5HcmFudDwvQXV0aG9yPjxZZWFyPjIwMTE8L1llYXI+PFJl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</w:fldData>
        </w:fldChar>
      </w:r>
      <w:r w:rsidR="009B1083">
        <w:rPr>
          <w:rFonts w:ascii="Arial" w:eastAsia="Cambria" w:hAnsi="Arial" w:cs="Times New Roman"/>
        </w:rPr>
        <w:instrText xml:space="preserve"> ADDIN EN.CITE.DATA </w:instrText>
      </w:r>
      <w:r w:rsidR="009B1083">
        <w:rPr>
          <w:rFonts w:ascii="Arial" w:eastAsia="Cambria" w:hAnsi="Arial" w:cs="Times New Roman"/>
        </w:rPr>
      </w:r>
      <w:r w:rsidR="009B1083">
        <w:rPr>
          <w:rFonts w:ascii="Arial" w:eastAsia="Cambria" w:hAnsi="Arial" w:cs="Times New Roman"/>
        </w:rPr>
        <w:fldChar w:fldCharType="end"/>
      </w:r>
      <w:r w:rsidR="003D4DE7" w:rsidRPr="00A50A6A">
        <w:rPr>
          <w:rFonts w:ascii="Arial" w:eastAsia="Cambria" w:hAnsi="Arial" w:cs="Times New Roman"/>
        </w:rPr>
        <w:fldChar w:fldCharType="separate"/>
      </w:r>
      <w:r w:rsidR="009B1083">
        <w:rPr>
          <w:rFonts w:ascii="Arial" w:eastAsia="Cambria" w:hAnsi="Arial" w:cs="Times New Roman"/>
          <w:noProof/>
        </w:rPr>
        <w:t>[</w:t>
      </w:r>
      <w:hyperlink w:anchor="_ENREF_4" w:tooltip="Grant, 2011 #183" w:history="1">
        <w:r w:rsidR="009B1083">
          <w:rPr>
            <w:rFonts w:ascii="Arial" w:eastAsia="Cambria" w:hAnsi="Arial" w:cs="Times New Roman"/>
            <w:noProof/>
          </w:rPr>
          <w:t>4</w:t>
        </w:r>
      </w:hyperlink>
      <w:r w:rsidR="009B1083">
        <w:rPr>
          <w:rFonts w:ascii="Arial" w:eastAsia="Cambria" w:hAnsi="Arial" w:cs="Times New Roman"/>
          <w:noProof/>
        </w:rPr>
        <w:t>]</w:t>
      </w:r>
      <w:r w:rsidR="003D4DE7" w:rsidRPr="00A50A6A">
        <w:rPr>
          <w:rFonts w:ascii="Arial" w:eastAsia="Cambria" w:hAnsi="Arial" w:cs="Times New Roman"/>
        </w:rPr>
        <w:fldChar w:fldCharType="end"/>
      </w:r>
      <w:r w:rsidR="00A50A6A" w:rsidRPr="00A50A6A">
        <w:rPr>
          <w:rFonts w:ascii="Arial" w:eastAsia="Cambria" w:hAnsi="Arial" w:cs="Times New Roman"/>
        </w:rPr>
        <w:t xml:space="preserve"> </w:t>
      </w:r>
      <w:r w:rsidRPr="00EE2F71">
        <w:rPr>
          <w:rFonts w:ascii="Arial" w:eastAsia="Cambria" w:hAnsi="Arial" w:cs="Times New Roman"/>
        </w:rPr>
        <w:t>to</w:t>
      </w:r>
      <w:r w:rsidRPr="008C0DCF">
        <w:rPr>
          <w:rFonts w:ascii="Arial" w:eastAsia="Cambria" w:hAnsi="Arial" w:cs="Times New Roman"/>
        </w:rPr>
        <w:t xml:space="preserve"> yield expression values for transcripts from RefSeqs, UCSC known genes, and ENSEMBL genes.  Only RefSeqs were used in further </w:t>
      </w:r>
      <w:r>
        <w:rPr>
          <w:rFonts w:ascii="Arial" w:eastAsia="Cambria" w:hAnsi="Arial" w:cs="Times New Roman"/>
        </w:rPr>
        <w:t>analyses</w:t>
      </w:r>
      <w:r>
        <w:rPr>
          <w:rFonts w:ascii="Cambria" w:eastAsia="Cambria" w:hAnsi="Cambria" w:cs="Times New Roman"/>
        </w:rPr>
        <w:t xml:space="preserve">.  </w:t>
      </w:r>
    </w:p>
    <w:p w:rsidR="00A73595" w:rsidRDefault="00A73595" w:rsidP="00281FAB">
      <w:pPr>
        <w:spacing w:before="120" w:line="480" w:lineRule="auto"/>
        <w:rPr>
          <w:rFonts w:ascii="Arial" w:hAnsi="Arial"/>
        </w:rPr>
      </w:pPr>
    </w:p>
    <w:p w:rsidR="00F716A6" w:rsidRDefault="00A73595" w:rsidP="00281FAB">
      <w:pPr>
        <w:spacing w:before="120" w:line="480" w:lineRule="auto"/>
        <w:rPr>
          <w:rFonts w:ascii="Arial" w:hAnsi="Arial"/>
          <w:b/>
        </w:rPr>
      </w:pPr>
      <w:r w:rsidRPr="00A73595">
        <w:rPr>
          <w:rFonts w:ascii="Arial" w:hAnsi="Arial"/>
          <w:b/>
        </w:rPr>
        <w:t>II.</w:t>
      </w:r>
      <w:r>
        <w:rPr>
          <w:rFonts w:ascii="Arial" w:hAnsi="Arial"/>
          <w:b/>
        </w:rPr>
        <w:t xml:space="preserve"> </w:t>
      </w:r>
      <w:r w:rsidRPr="00A73595">
        <w:rPr>
          <w:rFonts w:ascii="Arial" w:hAnsi="Arial"/>
          <w:b/>
        </w:rPr>
        <w:t>Supplemental Figure Legends</w:t>
      </w:r>
    </w:p>
    <w:p w:rsidR="0044135A" w:rsidRDefault="00E22DCF" w:rsidP="00AE5478">
      <w:pPr>
        <w:spacing w:before="120" w:line="480" w:lineRule="auto"/>
        <w:jc w:val="both"/>
        <w:rPr>
          <w:rFonts w:ascii="Arial" w:hAnsi="Arial"/>
        </w:rPr>
      </w:pPr>
      <w:r w:rsidRPr="00EE52B2">
        <w:rPr>
          <w:rFonts w:ascii="Arial" w:hAnsi="Arial"/>
          <w:b/>
        </w:rPr>
        <w:t xml:space="preserve">S1: </w:t>
      </w:r>
      <w:r w:rsidR="00EE52B2">
        <w:rPr>
          <w:rFonts w:ascii="Arial" w:hAnsi="Arial"/>
        </w:rPr>
        <w:t>Expression of cell cycle markers at indicated times after partial hepatectomy determined from RNAseq data.  Y-Axis, RPKM: Reads per kilobase per million mapped reads</w:t>
      </w:r>
      <w:r w:rsidR="0044135A">
        <w:rPr>
          <w:rFonts w:ascii="Arial" w:hAnsi="Arial"/>
        </w:rPr>
        <w:t>.</w:t>
      </w:r>
    </w:p>
    <w:p w:rsidR="0044135A" w:rsidRDefault="0044135A" w:rsidP="00AE5478">
      <w:pPr>
        <w:spacing w:before="120" w:line="480" w:lineRule="auto"/>
        <w:jc w:val="both"/>
        <w:rPr>
          <w:rFonts w:ascii="Arial" w:hAnsi="Arial"/>
        </w:rPr>
      </w:pPr>
    </w:p>
    <w:p w:rsidR="00E22DCF" w:rsidRPr="0044135A" w:rsidRDefault="0044135A" w:rsidP="00AE5478">
      <w:pPr>
        <w:spacing w:before="120" w:line="480" w:lineRule="auto"/>
        <w:jc w:val="both"/>
        <w:rPr>
          <w:rFonts w:ascii="Arial" w:hAnsi="Arial"/>
        </w:rPr>
      </w:pPr>
      <w:r w:rsidRPr="0044135A">
        <w:rPr>
          <w:rFonts w:ascii="Arial" w:hAnsi="Arial"/>
          <w:b/>
        </w:rPr>
        <w:t>S2:</w:t>
      </w:r>
      <w:r w:rsidR="00EE52B2" w:rsidRPr="0044135A">
        <w:rPr>
          <w:rFonts w:ascii="Arial" w:hAnsi="Arial"/>
          <w:b/>
        </w:rPr>
        <w:t xml:space="preserve"> </w:t>
      </w:r>
      <w:r>
        <w:rPr>
          <w:rFonts w:ascii="Arial" w:hAnsi="Arial"/>
        </w:rPr>
        <w:t>Alignment of mir-192-5p and mir-215-5p mature miRNA sequences.  Orange nucleotides represent seed region sequence of respective miRNAs. Blue sequences represent location homologous sequences outside of seed region.</w:t>
      </w:r>
    </w:p>
    <w:p w:rsidR="00E22DCF" w:rsidRDefault="00E22DCF" w:rsidP="00AE5478">
      <w:pPr>
        <w:spacing w:before="120" w:line="480" w:lineRule="auto"/>
        <w:jc w:val="both"/>
        <w:rPr>
          <w:rFonts w:ascii="Arial" w:hAnsi="Arial"/>
          <w:b/>
        </w:rPr>
      </w:pPr>
    </w:p>
    <w:p w:rsidR="006B7D75" w:rsidRPr="00AE5478" w:rsidRDefault="00E22DCF" w:rsidP="00AE5478">
      <w:pPr>
        <w:spacing w:before="120" w:line="480" w:lineRule="auto"/>
        <w:jc w:val="both"/>
        <w:rPr>
          <w:rFonts w:ascii="Arial" w:hAnsi="Arial"/>
          <w:b/>
        </w:rPr>
      </w:pPr>
      <w:r>
        <w:rPr>
          <w:rFonts w:ascii="Arial" w:hAnsi="Arial"/>
          <w:b/>
        </w:rPr>
        <w:t>Figure S3</w:t>
      </w:r>
      <w:r w:rsidR="00264B91" w:rsidRPr="00AE5478">
        <w:rPr>
          <w:rFonts w:ascii="Arial" w:hAnsi="Arial"/>
          <w:b/>
        </w:rPr>
        <w:t>.</w:t>
      </w:r>
      <w:r w:rsidR="00436AF3" w:rsidRPr="00AE5478">
        <w:rPr>
          <w:rFonts w:ascii="Helvetica" w:hAnsi="Helvetica" w:cs="Helvetica"/>
          <w:szCs w:val="26"/>
        </w:rPr>
        <w:t xml:space="preserve"> Our sequencing data (orange) was aligned (gray) to public databases  (red) to produce the primary data (yellow).  Subsequent processing  (black) created normalized profiles of RISC loading and footprints  (green) which we</w:t>
      </w:r>
      <w:r w:rsidR="00F2137E">
        <w:rPr>
          <w:rFonts w:ascii="Helvetica" w:hAnsi="Helvetica" w:cs="Helvetica"/>
          <w:szCs w:val="26"/>
        </w:rPr>
        <w:t xml:space="preserve">re totaled to determined the </w:t>
      </w:r>
      <w:r w:rsidR="00436AF3" w:rsidRPr="00AE5478">
        <w:rPr>
          <w:rFonts w:ascii="Helvetica" w:hAnsi="Helvetica" w:cs="Helvetica"/>
          <w:szCs w:val="26"/>
        </w:rPr>
        <w:t xml:space="preserve"> total regulatory  load.  Total normalized miRNA content of Ago footprints and total  miRNA expression levels were also calculated (green).  Footprints and  predicted miRNA binding sites were combined to identify the miRNA:mRNA  regulatory relationships (cyan).  Total regulatory load was clustered  to produce k-means heat</w:t>
      </w:r>
      <w:r w:rsidR="00504DE5" w:rsidRPr="00AE5478">
        <w:rPr>
          <w:rFonts w:ascii="Helvetica" w:hAnsi="Helvetica" w:cs="Helvetica"/>
          <w:szCs w:val="26"/>
        </w:rPr>
        <w:t xml:space="preserve"> </w:t>
      </w:r>
      <w:r w:rsidR="00436AF3" w:rsidRPr="00AE5478">
        <w:rPr>
          <w:rFonts w:ascii="Helvetica" w:hAnsi="Helvetica" w:cs="Helvetica"/>
          <w:szCs w:val="26"/>
        </w:rPr>
        <w:t>maps (cyan) and cluster members were processed  with Ingenuity to identify enriched functions and pathways (blue).   See Methods for details.</w:t>
      </w:r>
    </w:p>
    <w:p w:rsidR="00F535C0" w:rsidRDefault="00F535C0" w:rsidP="00436AF3">
      <w:pPr>
        <w:widowControl w:val="0"/>
        <w:autoSpaceDE w:val="0"/>
        <w:autoSpaceDN w:val="0"/>
        <w:adjustRightInd w:val="0"/>
        <w:spacing w:line="480" w:lineRule="auto"/>
        <w:jc w:val="both"/>
        <w:rPr>
          <w:rFonts w:ascii="Helvetica" w:hAnsi="Helvetica" w:cs="Helvetica"/>
          <w:sz w:val="26"/>
          <w:szCs w:val="26"/>
        </w:rPr>
      </w:pPr>
    </w:p>
    <w:p w:rsidR="006B7D75" w:rsidRPr="00BA712D" w:rsidRDefault="00EE2F71" w:rsidP="00436AF3">
      <w:pPr>
        <w:widowControl w:val="0"/>
        <w:autoSpaceDE w:val="0"/>
        <w:autoSpaceDN w:val="0"/>
        <w:adjustRightInd w:val="0"/>
        <w:spacing w:line="480" w:lineRule="auto"/>
        <w:jc w:val="both"/>
        <w:rPr>
          <w:rFonts w:ascii="Helvetica" w:hAnsi="Helvetica" w:cs="Helvetica"/>
          <w:b/>
          <w:szCs w:val="26"/>
        </w:rPr>
      </w:pPr>
      <w:r w:rsidRPr="00BA712D">
        <w:rPr>
          <w:rFonts w:ascii="Helvetica" w:hAnsi="Helvetica" w:cs="Helvetica"/>
          <w:b/>
          <w:sz w:val="26"/>
          <w:szCs w:val="26"/>
        </w:rPr>
        <w:t>References</w:t>
      </w:r>
    </w:p>
    <w:p w:rsidR="009B1083" w:rsidRPr="009B1083" w:rsidRDefault="003D4DE7" w:rsidP="009B1083">
      <w:pPr>
        <w:ind w:left="720" w:hanging="720"/>
        <w:jc w:val="both"/>
        <w:rPr>
          <w:rFonts w:ascii="Cambria" w:hAnsi="Cambria" w:cs="Helvetica"/>
          <w:noProof/>
          <w:szCs w:val="26"/>
        </w:rPr>
      </w:pPr>
      <w:r w:rsidRPr="00906EC9">
        <w:rPr>
          <w:rFonts w:ascii="Arial" w:hAnsi="Arial" w:cs="Helvetica"/>
          <w:sz w:val="26"/>
          <w:szCs w:val="26"/>
        </w:rPr>
        <w:fldChar w:fldCharType="begin"/>
      </w:r>
      <w:r w:rsidR="00906EC9" w:rsidRPr="00906EC9">
        <w:rPr>
          <w:rFonts w:ascii="Arial" w:hAnsi="Arial" w:cs="Helvetica"/>
          <w:sz w:val="26"/>
          <w:szCs w:val="26"/>
        </w:rPr>
        <w:instrText xml:space="preserve"> ADDIN EN.REFLIST </w:instrText>
      </w:r>
      <w:r w:rsidRPr="00906EC9">
        <w:rPr>
          <w:rFonts w:ascii="Arial" w:hAnsi="Arial" w:cs="Helvetica"/>
          <w:sz w:val="26"/>
          <w:szCs w:val="26"/>
        </w:rPr>
        <w:fldChar w:fldCharType="separate"/>
      </w:r>
      <w:bookmarkStart w:id="0" w:name="_ENREF_1"/>
      <w:r w:rsidR="009B1083" w:rsidRPr="009B1083">
        <w:rPr>
          <w:rFonts w:ascii="Cambria" w:hAnsi="Cambria" w:cs="Helvetica"/>
          <w:noProof/>
          <w:szCs w:val="26"/>
        </w:rPr>
        <w:t>1.</w:t>
      </w:r>
      <w:r w:rsidR="009B1083" w:rsidRPr="009B1083">
        <w:rPr>
          <w:rFonts w:ascii="Cambria" w:hAnsi="Cambria" w:cs="Helvetica"/>
          <w:noProof/>
          <w:szCs w:val="26"/>
        </w:rPr>
        <w:tab/>
        <w:t xml:space="preserve">Chi SW, Zang JB, Mele A, Darnell RB: </w:t>
      </w:r>
      <w:r w:rsidR="009B1083" w:rsidRPr="009B1083">
        <w:rPr>
          <w:rFonts w:ascii="Cambria" w:hAnsi="Cambria" w:cs="Helvetica"/>
          <w:b/>
          <w:noProof/>
          <w:szCs w:val="26"/>
        </w:rPr>
        <w:t>Argonaute HITS-CLIP decodes microRNA-mRNA interaction maps</w:t>
      </w:r>
      <w:r w:rsidR="009B1083" w:rsidRPr="009B1083">
        <w:rPr>
          <w:rFonts w:ascii="Cambria" w:hAnsi="Cambria" w:cs="Helvetica"/>
          <w:noProof/>
          <w:szCs w:val="26"/>
        </w:rPr>
        <w:t xml:space="preserve">. </w:t>
      </w:r>
      <w:r w:rsidR="009B1083" w:rsidRPr="009B1083">
        <w:rPr>
          <w:rFonts w:ascii="Cambria" w:hAnsi="Cambria" w:cs="Helvetica"/>
          <w:i/>
          <w:noProof/>
          <w:szCs w:val="26"/>
        </w:rPr>
        <w:t xml:space="preserve">Nature </w:t>
      </w:r>
      <w:r w:rsidR="009B1083" w:rsidRPr="009B1083">
        <w:rPr>
          <w:rFonts w:ascii="Cambria" w:hAnsi="Cambria" w:cs="Helvetica"/>
          <w:noProof/>
          <w:szCs w:val="26"/>
        </w:rPr>
        <w:t xml:space="preserve">2009, </w:t>
      </w:r>
      <w:r w:rsidR="009B1083" w:rsidRPr="009B1083">
        <w:rPr>
          <w:rFonts w:ascii="Cambria" w:hAnsi="Cambria" w:cs="Helvetica"/>
          <w:b/>
          <w:noProof/>
          <w:szCs w:val="26"/>
        </w:rPr>
        <w:t>460</w:t>
      </w:r>
      <w:r w:rsidR="009B1083" w:rsidRPr="009B1083">
        <w:rPr>
          <w:rFonts w:ascii="Cambria" w:hAnsi="Cambria" w:cs="Helvetica"/>
          <w:noProof/>
          <w:szCs w:val="26"/>
        </w:rPr>
        <w:t>(7254):479-486.</w:t>
      </w:r>
      <w:bookmarkEnd w:id="0"/>
    </w:p>
    <w:p w:rsidR="009B1083" w:rsidRPr="009B1083" w:rsidRDefault="009B1083" w:rsidP="009B1083">
      <w:pPr>
        <w:ind w:left="720" w:hanging="720"/>
        <w:jc w:val="both"/>
        <w:rPr>
          <w:rFonts w:ascii="Cambria" w:hAnsi="Cambria" w:cs="Helvetica"/>
          <w:noProof/>
          <w:szCs w:val="26"/>
        </w:rPr>
      </w:pPr>
      <w:bookmarkStart w:id="1" w:name="_ENREF_2"/>
      <w:r w:rsidRPr="009B1083">
        <w:rPr>
          <w:rFonts w:ascii="Cambria" w:hAnsi="Cambria" w:cs="Helvetica"/>
          <w:noProof/>
          <w:szCs w:val="26"/>
        </w:rPr>
        <w:t>2.</w:t>
      </w:r>
      <w:r w:rsidRPr="009B1083">
        <w:rPr>
          <w:rFonts w:ascii="Cambria" w:hAnsi="Cambria" w:cs="Helvetica"/>
          <w:noProof/>
          <w:szCs w:val="26"/>
        </w:rPr>
        <w:tab/>
        <w:t xml:space="preserve">Zhang C, Darnell RB: </w:t>
      </w:r>
      <w:r w:rsidRPr="009B1083">
        <w:rPr>
          <w:rFonts w:ascii="Cambria" w:hAnsi="Cambria" w:cs="Helvetica"/>
          <w:b/>
          <w:noProof/>
          <w:szCs w:val="26"/>
        </w:rPr>
        <w:t>Mapping in vivo protein-RNA interactions at single-nucleotide resolution from HITS-CLIP data</w:t>
      </w:r>
      <w:r w:rsidRPr="009B1083">
        <w:rPr>
          <w:rFonts w:ascii="Cambria" w:hAnsi="Cambria" w:cs="Helvetica"/>
          <w:noProof/>
          <w:szCs w:val="26"/>
        </w:rPr>
        <w:t xml:space="preserve">. </w:t>
      </w:r>
      <w:r w:rsidRPr="009B1083">
        <w:rPr>
          <w:rFonts w:ascii="Cambria" w:hAnsi="Cambria" w:cs="Helvetica"/>
          <w:i/>
          <w:noProof/>
          <w:szCs w:val="26"/>
        </w:rPr>
        <w:t xml:space="preserve">Nat Biotechnol </w:t>
      </w:r>
      <w:r w:rsidRPr="009B1083">
        <w:rPr>
          <w:rFonts w:ascii="Cambria" w:hAnsi="Cambria" w:cs="Helvetica"/>
          <w:noProof/>
          <w:szCs w:val="26"/>
        </w:rPr>
        <w:t xml:space="preserve">2011, </w:t>
      </w:r>
      <w:r w:rsidRPr="009B1083">
        <w:rPr>
          <w:rFonts w:ascii="Cambria" w:hAnsi="Cambria" w:cs="Helvetica"/>
          <w:b/>
          <w:noProof/>
          <w:szCs w:val="26"/>
        </w:rPr>
        <w:t>29</w:t>
      </w:r>
      <w:r w:rsidRPr="009B1083">
        <w:rPr>
          <w:rFonts w:ascii="Cambria" w:hAnsi="Cambria" w:cs="Helvetica"/>
          <w:noProof/>
          <w:szCs w:val="26"/>
        </w:rPr>
        <w:t>(7):607-614.</w:t>
      </w:r>
      <w:bookmarkEnd w:id="1"/>
    </w:p>
    <w:p w:rsidR="009B1083" w:rsidRPr="009B1083" w:rsidRDefault="009B1083" w:rsidP="009B1083">
      <w:pPr>
        <w:ind w:left="720" w:hanging="720"/>
        <w:jc w:val="both"/>
        <w:rPr>
          <w:rFonts w:ascii="Cambria" w:hAnsi="Cambria" w:cs="Helvetica"/>
          <w:noProof/>
          <w:szCs w:val="26"/>
        </w:rPr>
      </w:pPr>
      <w:bookmarkStart w:id="2" w:name="_ENREF_3"/>
      <w:r w:rsidRPr="009B1083">
        <w:rPr>
          <w:rFonts w:ascii="Cambria" w:hAnsi="Cambria" w:cs="Helvetica"/>
          <w:noProof/>
          <w:szCs w:val="26"/>
        </w:rPr>
        <w:t>3.</w:t>
      </w:r>
      <w:r w:rsidRPr="009B1083">
        <w:rPr>
          <w:rFonts w:ascii="Cambria" w:hAnsi="Cambria" w:cs="Helvetica"/>
          <w:noProof/>
          <w:szCs w:val="26"/>
        </w:rPr>
        <w:tab/>
        <w:t xml:space="preserve">Langmead B, Trapnell C, Pop M, Salzberg SL: </w:t>
      </w:r>
      <w:r w:rsidRPr="009B1083">
        <w:rPr>
          <w:rFonts w:ascii="Cambria" w:hAnsi="Cambria" w:cs="Helvetica"/>
          <w:b/>
          <w:noProof/>
          <w:szCs w:val="26"/>
        </w:rPr>
        <w:t>Ultrafast and memory-efficient alignment of short DNA sequences to the human genome</w:t>
      </w:r>
      <w:r w:rsidRPr="009B1083">
        <w:rPr>
          <w:rFonts w:ascii="Cambria" w:hAnsi="Cambria" w:cs="Helvetica"/>
          <w:noProof/>
          <w:szCs w:val="26"/>
        </w:rPr>
        <w:t xml:space="preserve">. </w:t>
      </w:r>
      <w:r w:rsidRPr="009B1083">
        <w:rPr>
          <w:rFonts w:ascii="Cambria" w:hAnsi="Cambria" w:cs="Helvetica"/>
          <w:i/>
          <w:noProof/>
          <w:szCs w:val="26"/>
        </w:rPr>
        <w:t xml:space="preserve">Genome Biol </w:t>
      </w:r>
      <w:r w:rsidRPr="009B1083">
        <w:rPr>
          <w:rFonts w:ascii="Cambria" w:hAnsi="Cambria" w:cs="Helvetica"/>
          <w:noProof/>
          <w:szCs w:val="26"/>
        </w:rPr>
        <w:t xml:space="preserve">2009, </w:t>
      </w:r>
      <w:r w:rsidRPr="009B1083">
        <w:rPr>
          <w:rFonts w:ascii="Cambria" w:hAnsi="Cambria" w:cs="Helvetica"/>
          <w:b/>
          <w:noProof/>
          <w:szCs w:val="26"/>
        </w:rPr>
        <w:t>10</w:t>
      </w:r>
      <w:r w:rsidRPr="009B1083">
        <w:rPr>
          <w:rFonts w:ascii="Cambria" w:hAnsi="Cambria" w:cs="Helvetica"/>
          <w:noProof/>
          <w:szCs w:val="26"/>
        </w:rPr>
        <w:t>(3):R25.</w:t>
      </w:r>
      <w:bookmarkEnd w:id="2"/>
    </w:p>
    <w:p w:rsidR="009B1083" w:rsidRPr="009B1083" w:rsidRDefault="009B1083" w:rsidP="009B1083">
      <w:pPr>
        <w:ind w:left="720" w:hanging="720"/>
        <w:jc w:val="both"/>
        <w:rPr>
          <w:rFonts w:ascii="Cambria" w:hAnsi="Cambria" w:cs="Helvetica"/>
          <w:noProof/>
          <w:szCs w:val="26"/>
        </w:rPr>
      </w:pPr>
      <w:bookmarkStart w:id="3" w:name="_ENREF_4"/>
      <w:r w:rsidRPr="009B1083">
        <w:rPr>
          <w:rFonts w:ascii="Cambria" w:hAnsi="Cambria" w:cs="Helvetica"/>
          <w:noProof/>
          <w:szCs w:val="26"/>
        </w:rPr>
        <w:t>4.</w:t>
      </w:r>
      <w:r w:rsidRPr="009B1083">
        <w:rPr>
          <w:rFonts w:ascii="Cambria" w:hAnsi="Cambria" w:cs="Helvetica"/>
          <w:noProof/>
          <w:szCs w:val="26"/>
        </w:rPr>
        <w:tab/>
        <w:t xml:space="preserve">Grant GR, Farkas MH, Pizarro AD, Lahens NF, Schug J, Brunk BP, Stoeckert CJ, Hogenesch JB, Pierce EA: </w:t>
      </w:r>
      <w:r w:rsidRPr="009B1083">
        <w:rPr>
          <w:rFonts w:ascii="Cambria" w:hAnsi="Cambria" w:cs="Helvetica"/>
          <w:b/>
          <w:noProof/>
          <w:szCs w:val="26"/>
        </w:rPr>
        <w:t>Comparative analysis of RNA-Seq alignment algorithms and the RNA-Seq unified mapper (RUM)</w:t>
      </w:r>
      <w:r w:rsidRPr="009B1083">
        <w:rPr>
          <w:rFonts w:ascii="Cambria" w:hAnsi="Cambria" w:cs="Helvetica"/>
          <w:noProof/>
          <w:szCs w:val="26"/>
        </w:rPr>
        <w:t xml:space="preserve">. </w:t>
      </w:r>
      <w:r w:rsidRPr="009B1083">
        <w:rPr>
          <w:rFonts w:ascii="Cambria" w:hAnsi="Cambria" w:cs="Helvetica"/>
          <w:i/>
          <w:noProof/>
          <w:szCs w:val="26"/>
        </w:rPr>
        <w:t xml:space="preserve">Bioinformatics </w:t>
      </w:r>
      <w:r w:rsidRPr="009B1083">
        <w:rPr>
          <w:rFonts w:ascii="Cambria" w:hAnsi="Cambria" w:cs="Helvetica"/>
          <w:noProof/>
          <w:szCs w:val="26"/>
        </w:rPr>
        <w:t xml:space="preserve">2011, </w:t>
      </w:r>
      <w:r w:rsidRPr="009B1083">
        <w:rPr>
          <w:rFonts w:ascii="Cambria" w:hAnsi="Cambria" w:cs="Helvetica"/>
          <w:b/>
          <w:noProof/>
          <w:szCs w:val="26"/>
        </w:rPr>
        <w:t>27</w:t>
      </w:r>
      <w:r w:rsidRPr="009B1083">
        <w:rPr>
          <w:rFonts w:ascii="Cambria" w:hAnsi="Cambria" w:cs="Helvetica"/>
          <w:noProof/>
          <w:szCs w:val="26"/>
        </w:rPr>
        <w:t>(18):2518-2528.</w:t>
      </w:r>
      <w:bookmarkEnd w:id="3"/>
    </w:p>
    <w:p w:rsidR="009B1083" w:rsidRDefault="009B1083" w:rsidP="009B1083">
      <w:pPr>
        <w:jc w:val="both"/>
        <w:rPr>
          <w:rFonts w:ascii="Arial" w:hAnsi="Arial" w:cs="Helvetica"/>
          <w:noProof/>
          <w:szCs w:val="26"/>
        </w:rPr>
      </w:pPr>
    </w:p>
    <w:p w:rsidR="00FF722B" w:rsidRPr="00436AF3" w:rsidRDefault="003D4DE7" w:rsidP="00835B18">
      <w:pPr>
        <w:widowControl w:val="0"/>
        <w:autoSpaceDE w:val="0"/>
        <w:autoSpaceDN w:val="0"/>
        <w:adjustRightInd w:val="0"/>
        <w:spacing w:line="480" w:lineRule="auto"/>
        <w:jc w:val="both"/>
        <w:rPr>
          <w:rFonts w:ascii="Helvetica" w:hAnsi="Helvetica" w:cs="Helvetica"/>
          <w:sz w:val="26"/>
          <w:szCs w:val="26"/>
        </w:rPr>
      </w:pPr>
      <w:r w:rsidRPr="00906EC9">
        <w:rPr>
          <w:rFonts w:ascii="Arial" w:hAnsi="Arial" w:cs="Helvetica"/>
          <w:sz w:val="26"/>
          <w:szCs w:val="26"/>
        </w:rPr>
        <w:fldChar w:fldCharType="end"/>
      </w:r>
    </w:p>
    <w:sectPr w:rsidR="00FF722B" w:rsidRPr="00436AF3" w:rsidSect="00FF722B">
      <w:footerReference w:type="even" r:id="rId4"/>
      <w:footerReference w:type="default" r:id="rI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3050602040202020205"/>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0E7" w:rsidRDefault="003D4DE7" w:rsidP="00E276C2">
    <w:pPr>
      <w:pStyle w:val="Footer"/>
      <w:framePr w:wrap="around" w:vAnchor="text" w:hAnchor="margin" w:xAlign="center" w:y="1"/>
      <w:rPr>
        <w:rStyle w:val="PageNumber"/>
      </w:rPr>
    </w:pPr>
    <w:r>
      <w:rPr>
        <w:rStyle w:val="PageNumber"/>
      </w:rPr>
      <w:fldChar w:fldCharType="begin"/>
    </w:r>
    <w:r w:rsidR="00EB40E7">
      <w:rPr>
        <w:rStyle w:val="PageNumber"/>
      </w:rPr>
      <w:instrText xml:space="preserve">PAGE  </w:instrText>
    </w:r>
    <w:r>
      <w:rPr>
        <w:rStyle w:val="PageNumber"/>
      </w:rPr>
      <w:fldChar w:fldCharType="end"/>
    </w:r>
  </w:p>
  <w:p w:rsidR="00EB40E7" w:rsidRDefault="00EB40E7">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0E7" w:rsidRDefault="003D4DE7" w:rsidP="00E276C2">
    <w:pPr>
      <w:pStyle w:val="Footer"/>
      <w:framePr w:wrap="around" w:vAnchor="text" w:hAnchor="margin" w:xAlign="center" w:y="1"/>
      <w:rPr>
        <w:rStyle w:val="PageNumber"/>
      </w:rPr>
    </w:pPr>
    <w:r>
      <w:rPr>
        <w:rStyle w:val="PageNumber"/>
      </w:rPr>
      <w:fldChar w:fldCharType="begin"/>
    </w:r>
    <w:r w:rsidR="00EB40E7">
      <w:rPr>
        <w:rStyle w:val="PageNumber"/>
      </w:rPr>
      <w:instrText xml:space="preserve">PAGE  </w:instrText>
    </w:r>
    <w:r>
      <w:rPr>
        <w:rStyle w:val="PageNumber"/>
      </w:rPr>
      <w:fldChar w:fldCharType="separate"/>
    </w:r>
    <w:r w:rsidR="009B1083">
      <w:rPr>
        <w:rStyle w:val="PageNumber"/>
        <w:noProof/>
      </w:rPr>
      <w:t>5</w:t>
    </w:r>
    <w:r>
      <w:rPr>
        <w:rStyle w:val="PageNumber"/>
      </w:rPr>
      <w:fldChar w:fldCharType="end"/>
    </w:r>
  </w:p>
  <w:p w:rsidR="00EB40E7" w:rsidRDefault="00EB40E7">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compat>
    <w:doNotAutofitConstrainedTables/>
    <w:splitPgBreakAndParaMark/>
    <w:doNotVertAlignCellWithSp/>
    <w:doNotBreakConstrainedForcedTable/>
    <w:useAnsiKerningPairs/>
    <w:cachedColBalance/>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drvp95tfrtf2zeeav85zard2ppx9dzpztvf&quot;&gt;Liver library&lt;record-ids&gt;&lt;item&gt;124&lt;/item&gt;&lt;item&gt;180&lt;/item&gt;&lt;item&gt;182&lt;/item&gt;&lt;item&gt;183&lt;/item&gt;&lt;/record-ids&gt;&lt;/item&gt;&lt;/Libraries&gt;"/>
  </w:docVars>
  <w:rsids>
    <w:rsidRoot w:val="00281FAB"/>
    <w:rsid w:val="00074525"/>
    <w:rsid w:val="00092596"/>
    <w:rsid w:val="000A3CDD"/>
    <w:rsid w:val="000B43EA"/>
    <w:rsid w:val="00100BDC"/>
    <w:rsid w:val="00123D08"/>
    <w:rsid w:val="00124FD8"/>
    <w:rsid w:val="00125308"/>
    <w:rsid w:val="00182FBC"/>
    <w:rsid w:val="001A1F0E"/>
    <w:rsid w:val="001B559B"/>
    <w:rsid w:val="001D526D"/>
    <w:rsid w:val="00201FA3"/>
    <w:rsid w:val="002020EC"/>
    <w:rsid w:val="00261F55"/>
    <w:rsid w:val="00264B91"/>
    <w:rsid w:val="00281FAB"/>
    <w:rsid w:val="002A096D"/>
    <w:rsid w:val="002E3CB0"/>
    <w:rsid w:val="002E7854"/>
    <w:rsid w:val="002F10A7"/>
    <w:rsid w:val="00337611"/>
    <w:rsid w:val="00357763"/>
    <w:rsid w:val="00386186"/>
    <w:rsid w:val="003C1A89"/>
    <w:rsid w:val="003D4DE7"/>
    <w:rsid w:val="00407C02"/>
    <w:rsid w:val="00436AF3"/>
    <w:rsid w:val="0044135A"/>
    <w:rsid w:val="00445F0F"/>
    <w:rsid w:val="00471ADC"/>
    <w:rsid w:val="004B0ADF"/>
    <w:rsid w:val="004D6000"/>
    <w:rsid w:val="004F6968"/>
    <w:rsid w:val="00502F83"/>
    <w:rsid w:val="00504DE5"/>
    <w:rsid w:val="00516E0A"/>
    <w:rsid w:val="005839EA"/>
    <w:rsid w:val="00654935"/>
    <w:rsid w:val="006B4D14"/>
    <w:rsid w:val="006B7D75"/>
    <w:rsid w:val="00717CC3"/>
    <w:rsid w:val="00755BF0"/>
    <w:rsid w:val="007667AB"/>
    <w:rsid w:val="007769B8"/>
    <w:rsid w:val="00783D6D"/>
    <w:rsid w:val="007D67FD"/>
    <w:rsid w:val="007E47D6"/>
    <w:rsid w:val="00835B18"/>
    <w:rsid w:val="009056D1"/>
    <w:rsid w:val="00906EC9"/>
    <w:rsid w:val="00924724"/>
    <w:rsid w:val="00926D52"/>
    <w:rsid w:val="00942CFA"/>
    <w:rsid w:val="009910C2"/>
    <w:rsid w:val="009A23D0"/>
    <w:rsid w:val="009B1083"/>
    <w:rsid w:val="00A50A6A"/>
    <w:rsid w:val="00A715A5"/>
    <w:rsid w:val="00A73595"/>
    <w:rsid w:val="00A7785B"/>
    <w:rsid w:val="00AA728C"/>
    <w:rsid w:val="00AB50C1"/>
    <w:rsid w:val="00AE5478"/>
    <w:rsid w:val="00AF3F89"/>
    <w:rsid w:val="00B50EAB"/>
    <w:rsid w:val="00B6016E"/>
    <w:rsid w:val="00B74716"/>
    <w:rsid w:val="00B77A17"/>
    <w:rsid w:val="00B83289"/>
    <w:rsid w:val="00BA712D"/>
    <w:rsid w:val="00BB7773"/>
    <w:rsid w:val="00BF60BF"/>
    <w:rsid w:val="00C05F41"/>
    <w:rsid w:val="00C30AC5"/>
    <w:rsid w:val="00C727D3"/>
    <w:rsid w:val="00C77A22"/>
    <w:rsid w:val="00C94956"/>
    <w:rsid w:val="00CB6274"/>
    <w:rsid w:val="00CC3AAE"/>
    <w:rsid w:val="00CE02EC"/>
    <w:rsid w:val="00D87595"/>
    <w:rsid w:val="00DD0588"/>
    <w:rsid w:val="00DE38F8"/>
    <w:rsid w:val="00E113D2"/>
    <w:rsid w:val="00E149CD"/>
    <w:rsid w:val="00E22DCF"/>
    <w:rsid w:val="00E46893"/>
    <w:rsid w:val="00E57FB8"/>
    <w:rsid w:val="00EB40E7"/>
    <w:rsid w:val="00EC4286"/>
    <w:rsid w:val="00ED545B"/>
    <w:rsid w:val="00EE2F71"/>
    <w:rsid w:val="00EE52B2"/>
    <w:rsid w:val="00F2137E"/>
    <w:rsid w:val="00F535C0"/>
    <w:rsid w:val="00F5539F"/>
    <w:rsid w:val="00F716A6"/>
    <w:rsid w:val="00F97A7B"/>
    <w:rsid w:val="00FA68FC"/>
    <w:rsid w:val="00FB03C3"/>
    <w:rsid w:val="00FE78AE"/>
    <w:rsid w:val="00FF722B"/>
  </w:rsids>
  <m:mathPr>
    <m:mathFont m:val="ArialM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A300F9"/>
  </w:style>
  <w:style w:type="paragraph" w:styleId="Heading3">
    <w:name w:val="heading 3"/>
    <w:basedOn w:val="Normal"/>
    <w:next w:val="Normal"/>
    <w:link w:val="Heading3Char"/>
    <w:rsid w:val="007667A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rsid w:val="007667AB"/>
    <w:pPr>
      <w:spacing w:beforeLines="1" w:afterLines="1"/>
      <w:outlineLvl w:val="3"/>
    </w:pPr>
    <w:rPr>
      <w:rFonts w:ascii="Times" w:hAnsi="Times"/>
      <w:b/>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CommentReference">
    <w:name w:val="annotation reference"/>
    <w:basedOn w:val="DefaultParagraphFont"/>
    <w:unhideWhenUsed/>
    <w:rsid w:val="00942CFA"/>
    <w:rPr>
      <w:sz w:val="18"/>
      <w:szCs w:val="18"/>
    </w:rPr>
  </w:style>
  <w:style w:type="paragraph" w:styleId="CommentText">
    <w:name w:val="annotation text"/>
    <w:basedOn w:val="Normal"/>
    <w:link w:val="CommentTextChar"/>
    <w:unhideWhenUsed/>
    <w:rsid w:val="00942CFA"/>
  </w:style>
  <w:style w:type="character" w:customStyle="1" w:styleId="CommentTextChar">
    <w:name w:val="Comment Text Char"/>
    <w:basedOn w:val="DefaultParagraphFont"/>
    <w:link w:val="CommentText"/>
    <w:rsid w:val="00942CFA"/>
    <w:rPr>
      <w:sz w:val="24"/>
      <w:szCs w:val="24"/>
    </w:rPr>
  </w:style>
  <w:style w:type="paragraph" w:styleId="CommentSubject">
    <w:name w:val="annotation subject"/>
    <w:basedOn w:val="CommentText"/>
    <w:next w:val="CommentText"/>
    <w:link w:val="CommentSubjectChar"/>
    <w:uiPriority w:val="99"/>
    <w:semiHidden/>
    <w:unhideWhenUsed/>
    <w:rsid w:val="00942CFA"/>
    <w:rPr>
      <w:b/>
      <w:bCs/>
      <w:sz w:val="20"/>
      <w:szCs w:val="20"/>
    </w:rPr>
  </w:style>
  <w:style w:type="character" w:customStyle="1" w:styleId="CommentSubjectChar">
    <w:name w:val="Comment Subject Char"/>
    <w:basedOn w:val="CommentTextChar"/>
    <w:link w:val="CommentSubject"/>
    <w:uiPriority w:val="99"/>
    <w:semiHidden/>
    <w:rsid w:val="00942CFA"/>
    <w:rPr>
      <w:b/>
      <w:bCs/>
    </w:rPr>
  </w:style>
  <w:style w:type="paragraph" w:styleId="BalloonText">
    <w:name w:val="Balloon Text"/>
    <w:basedOn w:val="Normal"/>
    <w:link w:val="BalloonTextChar"/>
    <w:uiPriority w:val="99"/>
    <w:semiHidden/>
    <w:unhideWhenUsed/>
    <w:rsid w:val="00942CFA"/>
    <w:rPr>
      <w:rFonts w:ascii="Lucida Grande" w:hAnsi="Lucida Grande"/>
      <w:sz w:val="18"/>
      <w:szCs w:val="18"/>
    </w:rPr>
  </w:style>
  <w:style w:type="character" w:customStyle="1" w:styleId="BalloonTextChar">
    <w:name w:val="Balloon Text Char"/>
    <w:basedOn w:val="DefaultParagraphFont"/>
    <w:link w:val="BalloonText"/>
    <w:uiPriority w:val="99"/>
    <w:semiHidden/>
    <w:rsid w:val="00942CFA"/>
    <w:rPr>
      <w:rFonts w:ascii="Lucida Grande" w:hAnsi="Lucida Grande"/>
      <w:sz w:val="18"/>
      <w:szCs w:val="18"/>
    </w:rPr>
  </w:style>
  <w:style w:type="character" w:customStyle="1" w:styleId="Heading3Char">
    <w:name w:val="Heading 3 Char"/>
    <w:basedOn w:val="DefaultParagraphFont"/>
    <w:link w:val="Heading3"/>
    <w:rsid w:val="007667A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7667AB"/>
    <w:rPr>
      <w:rFonts w:ascii="Times" w:hAnsi="Times"/>
      <w:b/>
      <w:sz w:val="24"/>
    </w:rPr>
  </w:style>
  <w:style w:type="character" w:styleId="Hyperlink">
    <w:name w:val="Hyperlink"/>
    <w:basedOn w:val="DefaultParagraphFont"/>
    <w:uiPriority w:val="99"/>
    <w:semiHidden/>
    <w:unhideWhenUsed/>
    <w:rsid w:val="006B7D75"/>
    <w:rPr>
      <w:color w:val="0000FF" w:themeColor="hyperlink"/>
      <w:u w:val="single"/>
    </w:rPr>
  </w:style>
  <w:style w:type="paragraph" w:styleId="Footer">
    <w:name w:val="footer"/>
    <w:basedOn w:val="Normal"/>
    <w:link w:val="FooterChar"/>
    <w:rsid w:val="00EB40E7"/>
    <w:pPr>
      <w:tabs>
        <w:tab w:val="center" w:pos="4320"/>
        <w:tab w:val="right" w:pos="8640"/>
      </w:tabs>
    </w:pPr>
  </w:style>
  <w:style w:type="character" w:customStyle="1" w:styleId="FooterChar">
    <w:name w:val="Footer Char"/>
    <w:basedOn w:val="DefaultParagraphFont"/>
    <w:link w:val="Footer"/>
    <w:rsid w:val="00EB40E7"/>
  </w:style>
  <w:style w:type="character" w:styleId="PageNumber">
    <w:name w:val="page number"/>
    <w:basedOn w:val="DefaultParagraphFont"/>
    <w:rsid w:val="00EB40E7"/>
  </w:style>
</w:styles>
</file>

<file path=word/webSettings.xml><?xml version="1.0" encoding="utf-8"?>
<w:webSettings xmlns:r="http://schemas.openxmlformats.org/officeDocument/2006/relationships" xmlns:w="http://schemas.openxmlformats.org/wordprocessingml/2006/main">
  <w:divs>
    <w:div w:id="15408946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1785</Words>
  <Characters>10178</Characters>
  <Application>Microsoft Macintosh Word</Application>
  <DocSecurity>0</DocSecurity>
  <Lines>84</Lines>
  <Paragraphs>20</Paragraphs>
  <ScaleCrop>false</ScaleCrop>
  <Company>THOMAS JEFFERSON UNIVERSITY</Company>
  <LinksUpToDate>false</LinksUpToDate>
  <CharactersWithSpaces>12499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Greenbaum</dc:creator>
  <cp:keywords/>
  <cp:lastModifiedBy>Linda Greenbaum</cp:lastModifiedBy>
  <cp:revision>2</cp:revision>
  <cp:lastPrinted>2012-07-24T11:28:00Z</cp:lastPrinted>
  <dcterms:created xsi:type="dcterms:W3CDTF">2013-01-22T23:01:00Z</dcterms:created>
  <dcterms:modified xsi:type="dcterms:W3CDTF">2013-01-22T23:01:00Z</dcterms:modified>
</cp:coreProperties>
</file>