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B27" w:rsidRPr="00DF6B27" w:rsidRDefault="00DF6B27">
      <w:pPr>
        <w:pStyle w:val="a4"/>
        <w:rPr>
          <w:color w:val="000000"/>
        </w:rPr>
      </w:pPr>
      <w:bookmarkStart w:id="0" w:name="_GoBack"/>
      <w:bookmarkEnd w:id="0"/>
      <w:r w:rsidRPr="00DF6B27">
        <w:rPr>
          <w:color w:val="000000"/>
        </w:rPr>
        <w:t>Validation of RNA-</w:t>
      </w:r>
      <w:proofErr w:type="spellStart"/>
      <w:r w:rsidRPr="00DF6B27">
        <w:rPr>
          <w:color w:val="000000"/>
        </w:rPr>
        <w:t>seq</w:t>
      </w:r>
      <w:proofErr w:type="spellEnd"/>
      <w:r w:rsidRPr="00DF6B27">
        <w:rPr>
          <w:color w:val="000000"/>
        </w:rPr>
        <w:t xml:space="preserve"> data by quantitative PCR</w:t>
      </w:r>
    </w:p>
    <w:p w:rsidR="00DF6B27" w:rsidRPr="00DF6B27" w:rsidRDefault="00DF6B27">
      <w:pPr>
        <w:autoSpaceDE w:val="0"/>
        <w:autoSpaceDN w:val="0"/>
        <w:adjustRightInd w:val="0"/>
        <w:rPr>
          <w:color w:val="000000"/>
          <w:lang w:val="en-GB"/>
        </w:rPr>
      </w:pPr>
    </w:p>
    <w:p w:rsidR="00DF6B27" w:rsidRPr="00DF6B27" w:rsidRDefault="00DF6B27">
      <w:pPr>
        <w:autoSpaceDE w:val="0"/>
        <w:autoSpaceDN w:val="0"/>
        <w:adjustRightInd w:val="0"/>
        <w:ind w:firstLine="708"/>
        <w:jc w:val="both"/>
        <w:rPr>
          <w:color w:val="000000"/>
          <w:lang w:val="en-GB"/>
        </w:rPr>
      </w:pPr>
      <w:r w:rsidRPr="00DF6B27">
        <w:rPr>
          <w:color w:val="000000"/>
          <w:lang w:val="en-GB"/>
        </w:rPr>
        <w:t>In order to validate RNA-</w:t>
      </w:r>
      <w:proofErr w:type="spellStart"/>
      <w:r w:rsidRPr="00DF6B27">
        <w:rPr>
          <w:color w:val="000000"/>
          <w:lang w:val="en-GB"/>
        </w:rPr>
        <w:t>seq</w:t>
      </w:r>
      <w:proofErr w:type="spellEnd"/>
      <w:r w:rsidRPr="00DF6B27">
        <w:rPr>
          <w:color w:val="000000"/>
          <w:lang w:val="en-GB"/>
        </w:rPr>
        <w:t xml:space="preserve"> data and evaluate reproducibility of observed patterns of expression, we performed </w:t>
      </w:r>
      <w:proofErr w:type="spellStart"/>
      <w:r w:rsidRPr="00DF6B27">
        <w:rPr>
          <w:color w:val="000000"/>
          <w:lang w:val="en-GB"/>
        </w:rPr>
        <w:t>qPCR</w:t>
      </w:r>
      <w:proofErr w:type="spellEnd"/>
      <w:r w:rsidRPr="00DF6B27">
        <w:rPr>
          <w:color w:val="000000"/>
          <w:lang w:val="en-GB"/>
        </w:rPr>
        <w:t xml:space="preserve"> analysis of transcription of three selected genes differently expressed in glucose and methanol. Gene HPODL_1177 showed approximately equal expression on methanol and on glucose, HPODL_1513 is 2</w:t>
      </w:r>
      <w:proofErr w:type="gramStart"/>
      <w:r w:rsidRPr="00DF6B27">
        <w:rPr>
          <w:color w:val="000000"/>
          <w:lang w:val="en-GB"/>
        </w:rPr>
        <w:t>,6</w:t>
      </w:r>
      <w:proofErr w:type="gramEnd"/>
      <w:r w:rsidRPr="00DF6B27">
        <w:rPr>
          <w:color w:val="000000"/>
          <w:lang w:val="en-GB"/>
        </w:rPr>
        <w:t xml:space="preserve"> times </w:t>
      </w:r>
      <w:proofErr w:type="spellStart"/>
      <w:r w:rsidRPr="00DF6B27">
        <w:rPr>
          <w:color w:val="000000"/>
          <w:lang w:val="en-GB"/>
        </w:rPr>
        <w:t>downregulated</w:t>
      </w:r>
      <w:proofErr w:type="spellEnd"/>
      <w:r w:rsidRPr="00DF6B27">
        <w:rPr>
          <w:color w:val="000000"/>
          <w:lang w:val="en-GB"/>
        </w:rPr>
        <w:t xml:space="preserve"> by methanol, and HPODL_2458 is 4,7 times induced on methanol according to RNA-</w:t>
      </w:r>
      <w:proofErr w:type="spellStart"/>
      <w:r w:rsidRPr="00DF6B27">
        <w:rPr>
          <w:color w:val="000000"/>
          <w:lang w:val="en-GB"/>
        </w:rPr>
        <w:t>seq</w:t>
      </w:r>
      <w:proofErr w:type="spellEnd"/>
      <w:r w:rsidRPr="00DF6B27">
        <w:rPr>
          <w:color w:val="000000"/>
          <w:lang w:val="en-GB"/>
        </w:rPr>
        <w:t xml:space="preserve"> data. New cultures, other than ones used for RNA-</w:t>
      </w:r>
      <w:proofErr w:type="spellStart"/>
      <w:r w:rsidRPr="00DF6B27">
        <w:rPr>
          <w:color w:val="000000"/>
          <w:lang w:val="en-GB"/>
        </w:rPr>
        <w:t>seq</w:t>
      </w:r>
      <w:proofErr w:type="spellEnd"/>
      <w:r w:rsidRPr="00DF6B27">
        <w:rPr>
          <w:color w:val="000000"/>
          <w:lang w:val="en-GB"/>
        </w:rPr>
        <w:t>, were prepared for these experiments.</w:t>
      </w:r>
    </w:p>
    <w:p w:rsidR="00DF6B27" w:rsidRPr="00DF6B27" w:rsidRDefault="00DF6B27">
      <w:pPr>
        <w:autoSpaceDE w:val="0"/>
        <w:autoSpaceDN w:val="0"/>
        <w:adjustRightInd w:val="0"/>
        <w:ind w:firstLine="708"/>
        <w:jc w:val="both"/>
        <w:rPr>
          <w:color w:val="000000"/>
          <w:lang w:val="en-GB"/>
        </w:rPr>
      </w:pPr>
      <w:r w:rsidRPr="00DF6B27">
        <w:rPr>
          <w:color w:val="000000"/>
          <w:lang w:val="en-GB"/>
        </w:rPr>
        <w:t xml:space="preserve">For </w:t>
      </w:r>
      <w:proofErr w:type="spellStart"/>
      <w:r w:rsidRPr="00DF6B27">
        <w:rPr>
          <w:color w:val="000000"/>
          <w:lang w:val="en-GB"/>
        </w:rPr>
        <w:t>qPCR</w:t>
      </w:r>
      <w:proofErr w:type="spellEnd"/>
      <w:r w:rsidRPr="00DF6B27">
        <w:rPr>
          <w:color w:val="000000"/>
          <w:lang w:val="en-GB"/>
        </w:rPr>
        <w:t xml:space="preserve"> analysis </w:t>
      </w:r>
      <w:r w:rsidRPr="00DF6B27">
        <w:rPr>
          <w:i/>
          <w:color w:val="000000"/>
          <w:lang w:val="en-GB"/>
        </w:rPr>
        <w:t xml:space="preserve">H. </w:t>
      </w:r>
      <w:proofErr w:type="spellStart"/>
      <w:r w:rsidRPr="00DF6B27">
        <w:rPr>
          <w:i/>
          <w:color w:val="000000"/>
          <w:lang w:val="en-GB"/>
        </w:rPr>
        <w:t>polymorpha</w:t>
      </w:r>
      <w:proofErr w:type="spellEnd"/>
      <w:r w:rsidRPr="00DF6B27">
        <w:rPr>
          <w:color w:val="000000"/>
          <w:lang w:val="en-GB"/>
        </w:rPr>
        <w:t xml:space="preserve"> DL-1 was grown up to OD</w:t>
      </w:r>
      <w:r w:rsidRPr="00DF6B27">
        <w:rPr>
          <w:color w:val="000000"/>
          <w:vertAlign w:val="subscript"/>
          <w:lang w:val="en-GB"/>
        </w:rPr>
        <w:t>660</w:t>
      </w:r>
      <w:r w:rsidRPr="00DF6B27">
        <w:rPr>
          <w:color w:val="000000"/>
          <w:lang w:val="en-GB"/>
        </w:rPr>
        <w:t xml:space="preserve"> ~2.2 in 0.67% YNB medium containing </w:t>
      </w:r>
      <w:proofErr w:type="spellStart"/>
      <w:r w:rsidRPr="00DF6B27">
        <w:rPr>
          <w:color w:val="000000"/>
          <w:lang w:val="en-GB"/>
        </w:rPr>
        <w:t>leucine</w:t>
      </w:r>
      <w:proofErr w:type="spellEnd"/>
      <w:r w:rsidRPr="00DF6B27">
        <w:rPr>
          <w:color w:val="000000"/>
          <w:lang w:val="en-GB"/>
        </w:rPr>
        <w:t xml:space="preserve"> (20 mg/l) and either 1% glucose or 1% methanol at 37°C while shaking at 250 rpm. Two independent cultures grown in medium with methanol and two cultures grown in medium with glucose were prepared. Cells were harvested by centrifugation (4000 rpm, 10 min, </w:t>
      </w:r>
      <w:proofErr w:type="gramStart"/>
      <w:r w:rsidRPr="00DF6B27">
        <w:rPr>
          <w:color w:val="000000"/>
          <w:lang w:val="en-GB"/>
        </w:rPr>
        <w:t>4</w:t>
      </w:r>
      <w:proofErr w:type="gramEnd"/>
      <w:r w:rsidRPr="00DF6B27">
        <w:rPr>
          <w:color w:val="000000"/>
          <w:lang w:val="en-GB"/>
        </w:rPr>
        <w:t xml:space="preserve">°C) and taken up in AE-buffer (50mM sodium acetate, 10mM EDTA, pH 5.0). The total RNA </w:t>
      </w:r>
      <w:proofErr w:type="gramStart"/>
      <w:r w:rsidRPr="00DF6B27">
        <w:rPr>
          <w:color w:val="000000"/>
          <w:lang w:val="en-GB"/>
        </w:rPr>
        <w:t>was extracted</w:t>
      </w:r>
      <w:proofErr w:type="gramEnd"/>
      <w:r w:rsidRPr="00DF6B27">
        <w:rPr>
          <w:color w:val="000000"/>
          <w:lang w:val="en-GB"/>
        </w:rPr>
        <w:t xml:space="preserve"> by a hot phenol method followed by purification using </w:t>
      </w:r>
      <w:proofErr w:type="spellStart"/>
      <w:r w:rsidRPr="00DF6B27">
        <w:rPr>
          <w:color w:val="000000"/>
          <w:lang w:val="en-GB"/>
        </w:rPr>
        <w:t>RNeasy</w:t>
      </w:r>
      <w:proofErr w:type="spellEnd"/>
      <w:r w:rsidRPr="00DF6B27">
        <w:rPr>
          <w:color w:val="000000"/>
          <w:lang w:val="en-GB"/>
        </w:rPr>
        <w:t xml:space="preserve"> Mini Kit (</w:t>
      </w:r>
      <w:proofErr w:type="spellStart"/>
      <w:r w:rsidRPr="00DF6B27">
        <w:rPr>
          <w:color w:val="000000"/>
          <w:lang w:val="en-GB"/>
        </w:rPr>
        <w:t>Qiagen</w:t>
      </w:r>
      <w:proofErr w:type="spellEnd"/>
      <w:r w:rsidRPr="00DF6B27">
        <w:rPr>
          <w:color w:val="000000"/>
          <w:lang w:val="en-GB"/>
        </w:rPr>
        <w:t xml:space="preserve">). </w:t>
      </w:r>
    </w:p>
    <w:p w:rsidR="00DF6B27" w:rsidRPr="00DF6B27" w:rsidRDefault="00DF6B27">
      <w:pPr>
        <w:autoSpaceDE w:val="0"/>
        <w:autoSpaceDN w:val="0"/>
        <w:adjustRightInd w:val="0"/>
        <w:ind w:firstLine="708"/>
        <w:jc w:val="both"/>
        <w:rPr>
          <w:color w:val="000000"/>
          <w:lang w:val="en-US"/>
        </w:rPr>
      </w:pPr>
      <w:r w:rsidRPr="00DF6B27">
        <w:rPr>
          <w:color w:val="000000"/>
          <w:lang w:val="en-GB"/>
        </w:rPr>
        <w:t xml:space="preserve">Total RNA samples </w:t>
      </w:r>
      <w:proofErr w:type="gramStart"/>
      <w:r w:rsidRPr="00DF6B27">
        <w:rPr>
          <w:color w:val="000000"/>
          <w:lang w:val="en-GB"/>
        </w:rPr>
        <w:t>were used</w:t>
      </w:r>
      <w:proofErr w:type="gramEnd"/>
      <w:r w:rsidRPr="00DF6B27">
        <w:rPr>
          <w:color w:val="000000"/>
          <w:lang w:val="en-GB"/>
        </w:rPr>
        <w:t xml:space="preserve"> for </w:t>
      </w:r>
      <w:proofErr w:type="spellStart"/>
      <w:r w:rsidRPr="00DF6B27">
        <w:rPr>
          <w:color w:val="000000"/>
          <w:lang w:val="en-GB"/>
        </w:rPr>
        <w:t>cDNA</w:t>
      </w:r>
      <w:proofErr w:type="spellEnd"/>
      <w:r w:rsidRPr="00DF6B27">
        <w:rPr>
          <w:color w:val="000000"/>
          <w:lang w:val="en-GB"/>
        </w:rPr>
        <w:t xml:space="preserve"> synthesis employing </w:t>
      </w:r>
      <w:proofErr w:type="spellStart"/>
      <w:r w:rsidRPr="00DF6B27">
        <w:rPr>
          <w:color w:val="000000"/>
          <w:lang w:val="en-US"/>
        </w:rPr>
        <w:t>RevertAid</w:t>
      </w:r>
      <w:proofErr w:type="spellEnd"/>
      <w:r w:rsidRPr="00DF6B27">
        <w:rPr>
          <w:color w:val="000000"/>
          <w:lang w:val="en-US"/>
        </w:rPr>
        <w:t xml:space="preserve"> First Strand </w:t>
      </w:r>
      <w:proofErr w:type="spellStart"/>
      <w:r w:rsidRPr="00DF6B27">
        <w:rPr>
          <w:color w:val="000000"/>
          <w:lang w:val="en-US"/>
        </w:rPr>
        <w:t>cDNA</w:t>
      </w:r>
      <w:proofErr w:type="spellEnd"/>
      <w:r w:rsidRPr="00DF6B27">
        <w:rPr>
          <w:color w:val="000000"/>
          <w:lang w:val="en-US"/>
        </w:rPr>
        <w:t xml:space="preserve"> Synthesis Kit (Thermo Scientific) with </w:t>
      </w:r>
      <w:r w:rsidRPr="00DF6B27">
        <w:rPr>
          <w:color w:val="000000"/>
          <w:lang w:val="en-GB"/>
        </w:rPr>
        <w:t xml:space="preserve">either </w:t>
      </w:r>
      <w:proofErr w:type="spellStart"/>
      <w:r w:rsidRPr="00DF6B27">
        <w:rPr>
          <w:color w:val="000000"/>
          <w:lang w:val="en-GB"/>
        </w:rPr>
        <w:t>oligo-dT</w:t>
      </w:r>
      <w:proofErr w:type="spellEnd"/>
      <w:r w:rsidRPr="00DF6B27">
        <w:rPr>
          <w:color w:val="000000"/>
          <w:lang w:val="en-GB"/>
        </w:rPr>
        <w:t xml:space="preserve"> or random </w:t>
      </w:r>
      <w:proofErr w:type="spellStart"/>
      <w:r w:rsidRPr="00DF6B27">
        <w:rPr>
          <w:color w:val="000000"/>
          <w:lang w:val="en-GB"/>
        </w:rPr>
        <w:t>hexamer</w:t>
      </w:r>
      <w:proofErr w:type="spellEnd"/>
      <w:r w:rsidRPr="00DF6B27">
        <w:rPr>
          <w:color w:val="000000"/>
          <w:lang w:val="en-GB"/>
        </w:rPr>
        <w:t xml:space="preserve"> primers. </w:t>
      </w:r>
      <w:proofErr w:type="spellStart"/>
      <w:proofErr w:type="gramStart"/>
      <w:r w:rsidRPr="00DF6B27">
        <w:rPr>
          <w:color w:val="000000"/>
          <w:lang w:val="en-GB"/>
        </w:rPr>
        <w:t>qPCR</w:t>
      </w:r>
      <w:proofErr w:type="spellEnd"/>
      <w:proofErr w:type="gramEnd"/>
      <w:r w:rsidRPr="00DF6B27">
        <w:rPr>
          <w:color w:val="000000"/>
          <w:lang w:val="en-GB"/>
        </w:rPr>
        <w:t xml:space="preserve"> analysis of </w:t>
      </w:r>
      <w:proofErr w:type="spellStart"/>
      <w:r w:rsidRPr="00DF6B27">
        <w:rPr>
          <w:color w:val="000000"/>
          <w:lang w:val="en-GB"/>
        </w:rPr>
        <w:t>cDNA</w:t>
      </w:r>
      <w:proofErr w:type="spellEnd"/>
      <w:r w:rsidRPr="00DF6B27">
        <w:rPr>
          <w:color w:val="000000"/>
          <w:lang w:val="en-GB"/>
        </w:rPr>
        <w:t xml:space="preserve"> samples was performed using </w:t>
      </w:r>
      <w:proofErr w:type="spellStart"/>
      <w:r w:rsidRPr="00DF6B27">
        <w:rPr>
          <w:color w:val="000000"/>
          <w:lang w:val="en-US"/>
        </w:rPr>
        <w:t>SsoFast</w:t>
      </w:r>
      <w:proofErr w:type="spellEnd"/>
      <w:r w:rsidRPr="00DF6B27">
        <w:rPr>
          <w:color w:val="000000"/>
          <w:lang w:val="en-US"/>
        </w:rPr>
        <w:t xml:space="preserve"> </w:t>
      </w:r>
      <w:proofErr w:type="spellStart"/>
      <w:r w:rsidRPr="00DF6B27">
        <w:rPr>
          <w:color w:val="000000"/>
          <w:lang w:val="en-US"/>
        </w:rPr>
        <w:t>EvaGreen</w:t>
      </w:r>
      <w:proofErr w:type="spellEnd"/>
      <w:r w:rsidRPr="00DF6B27">
        <w:rPr>
          <w:color w:val="000000"/>
          <w:lang w:val="en-US"/>
        </w:rPr>
        <w:t xml:space="preserve"> </w:t>
      </w:r>
      <w:proofErr w:type="spellStart"/>
      <w:r w:rsidRPr="00DF6B27">
        <w:rPr>
          <w:color w:val="000000"/>
          <w:lang w:val="en-US"/>
        </w:rPr>
        <w:t>Supermix</w:t>
      </w:r>
      <w:proofErr w:type="spellEnd"/>
      <w:r w:rsidRPr="00DF6B27">
        <w:rPr>
          <w:color w:val="000000"/>
          <w:lang w:val="en-US"/>
        </w:rPr>
        <w:t xml:space="preserve"> (</w:t>
      </w:r>
      <w:proofErr w:type="spellStart"/>
      <w:r w:rsidRPr="00DF6B27">
        <w:rPr>
          <w:color w:val="000000"/>
          <w:lang w:val="en-US"/>
        </w:rPr>
        <w:t>BioRad</w:t>
      </w:r>
      <w:proofErr w:type="spellEnd"/>
      <w:r w:rsidRPr="00DF6B27">
        <w:rPr>
          <w:color w:val="000000"/>
          <w:lang w:val="en-US"/>
        </w:rPr>
        <w:t xml:space="preserve">) and primers shown below. As an additional </w:t>
      </w:r>
      <w:proofErr w:type="gramStart"/>
      <w:r w:rsidRPr="00DF6B27">
        <w:rPr>
          <w:color w:val="000000"/>
          <w:lang w:val="en-US"/>
        </w:rPr>
        <w:t>control</w:t>
      </w:r>
      <w:proofErr w:type="gramEnd"/>
      <w:r w:rsidRPr="00DF6B27">
        <w:rPr>
          <w:color w:val="000000"/>
          <w:lang w:val="en-US"/>
        </w:rPr>
        <w:t xml:space="preserve"> we used </w:t>
      </w:r>
      <w:proofErr w:type="spellStart"/>
      <w:r w:rsidRPr="00DF6B27">
        <w:rPr>
          <w:color w:val="000000"/>
          <w:lang w:val="en-US"/>
        </w:rPr>
        <w:t>cDNA</w:t>
      </w:r>
      <w:proofErr w:type="spellEnd"/>
      <w:r w:rsidRPr="00DF6B27">
        <w:rPr>
          <w:color w:val="000000"/>
          <w:lang w:val="en-US"/>
        </w:rPr>
        <w:t xml:space="preserve"> samples </w:t>
      </w:r>
      <w:proofErr w:type="spellStart"/>
      <w:r w:rsidRPr="00DF6B27">
        <w:rPr>
          <w:color w:val="000000"/>
          <w:lang w:val="en-US"/>
        </w:rPr>
        <w:t>analysed</w:t>
      </w:r>
      <w:proofErr w:type="spellEnd"/>
      <w:r w:rsidRPr="00DF6B27">
        <w:rPr>
          <w:color w:val="000000"/>
          <w:lang w:val="en-US"/>
        </w:rPr>
        <w:t xml:space="preserve"> in RNA-</w:t>
      </w:r>
      <w:proofErr w:type="spellStart"/>
      <w:r w:rsidRPr="00DF6B27">
        <w:rPr>
          <w:color w:val="000000"/>
          <w:lang w:val="en-US"/>
        </w:rPr>
        <w:t>seq</w:t>
      </w:r>
      <w:proofErr w:type="spellEnd"/>
      <w:r w:rsidRPr="00DF6B27">
        <w:rPr>
          <w:color w:val="000000"/>
          <w:lang w:val="en-US"/>
        </w:rPr>
        <w:t xml:space="preserve"> experiments.</w:t>
      </w:r>
    </w:p>
    <w:p w:rsidR="00DF6B27" w:rsidRPr="00DF6B27" w:rsidRDefault="00DF6B27">
      <w:pPr>
        <w:autoSpaceDE w:val="0"/>
        <w:autoSpaceDN w:val="0"/>
        <w:adjustRightInd w:val="0"/>
        <w:rPr>
          <w:color w:val="000000"/>
          <w:lang w:val="en-US"/>
        </w:rPr>
      </w:pPr>
    </w:p>
    <w:p w:rsidR="00DF6B27" w:rsidRPr="00DF6B27" w:rsidRDefault="00DF6B27">
      <w:pPr>
        <w:autoSpaceDE w:val="0"/>
        <w:autoSpaceDN w:val="0"/>
        <w:adjustRightInd w:val="0"/>
        <w:rPr>
          <w:color w:val="000000"/>
          <w:lang w:val="en-US"/>
        </w:rPr>
      </w:pPr>
      <w:r w:rsidRPr="00DF6B27">
        <w:rPr>
          <w:color w:val="000000"/>
          <w:lang w:val="en-US"/>
        </w:rPr>
        <w:t>HPODL_1177_F</w:t>
      </w:r>
      <w:r w:rsidRPr="00DF6B27">
        <w:rPr>
          <w:color w:val="000000"/>
          <w:lang w:val="en-US"/>
        </w:rPr>
        <w:tab/>
        <w:t>TTTGGTCATTGGAGGAGGTTCTG</w:t>
      </w:r>
    </w:p>
    <w:p w:rsidR="00DF6B27" w:rsidRPr="00DF6B27" w:rsidRDefault="00DF6B27">
      <w:pPr>
        <w:rPr>
          <w:color w:val="000000"/>
          <w:lang w:val="en-US"/>
        </w:rPr>
      </w:pPr>
      <w:r w:rsidRPr="00DF6B27">
        <w:rPr>
          <w:color w:val="000000"/>
          <w:lang w:val="en-US"/>
        </w:rPr>
        <w:t>HPODL_1177_R</w:t>
      </w:r>
      <w:r w:rsidRPr="00DF6B27">
        <w:rPr>
          <w:color w:val="000000"/>
          <w:lang w:val="en-US"/>
        </w:rPr>
        <w:tab/>
        <w:t>GTACCACATCACTTTCTTTGGAACA</w:t>
      </w:r>
    </w:p>
    <w:p w:rsidR="00DF6B27" w:rsidRPr="00DF6B27" w:rsidRDefault="00DF6B27">
      <w:pPr>
        <w:rPr>
          <w:color w:val="000000"/>
          <w:lang w:val="en-US"/>
        </w:rPr>
      </w:pPr>
    </w:p>
    <w:p w:rsidR="00DF6B27" w:rsidRPr="00DF6B27" w:rsidRDefault="00DF6B27">
      <w:pPr>
        <w:rPr>
          <w:color w:val="000000"/>
          <w:lang w:val="en-US"/>
        </w:rPr>
      </w:pPr>
      <w:r w:rsidRPr="00DF6B27">
        <w:rPr>
          <w:color w:val="000000"/>
          <w:lang w:val="en-US"/>
        </w:rPr>
        <w:t>HPODL_1513_F</w:t>
      </w:r>
      <w:r w:rsidRPr="00DF6B27">
        <w:rPr>
          <w:color w:val="000000"/>
          <w:lang w:val="en-US"/>
        </w:rPr>
        <w:tab/>
        <w:t>CAAACTCGGATGGCTTACCAG</w:t>
      </w:r>
    </w:p>
    <w:p w:rsidR="00DF6B27" w:rsidRPr="00DF6B27" w:rsidRDefault="00DF6B27">
      <w:pPr>
        <w:rPr>
          <w:color w:val="000000"/>
          <w:lang w:val="en-US"/>
        </w:rPr>
      </w:pPr>
      <w:r w:rsidRPr="00DF6B27">
        <w:rPr>
          <w:color w:val="000000"/>
          <w:lang w:val="en-US"/>
        </w:rPr>
        <w:t>HPODL_1513_R</w:t>
      </w:r>
      <w:r w:rsidRPr="00DF6B27">
        <w:rPr>
          <w:color w:val="000000"/>
          <w:lang w:val="en-US"/>
        </w:rPr>
        <w:tab/>
        <w:t>GATGTTCAAGCCTGCCTTTCTG</w:t>
      </w:r>
    </w:p>
    <w:p w:rsidR="00DF6B27" w:rsidRPr="00DF6B27" w:rsidRDefault="00DF6B27">
      <w:pPr>
        <w:rPr>
          <w:color w:val="000000"/>
          <w:lang w:val="en-US"/>
        </w:rPr>
      </w:pPr>
    </w:p>
    <w:p w:rsidR="00DF6B27" w:rsidRPr="00DF6B27" w:rsidRDefault="00DF6B27">
      <w:pPr>
        <w:rPr>
          <w:color w:val="000000"/>
          <w:lang w:val="en-US"/>
        </w:rPr>
      </w:pPr>
      <w:r w:rsidRPr="00DF6B27">
        <w:rPr>
          <w:color w:val="000000"/>
          <w:lang w:val="en-US"/>
        </w:rPr>
        <w:t>HPODL_2458_F</w:t>
      </w:r>
      <w:r w:rsidRPr="00DF6B27">
        <w:rPr>
          <w:color w:val="000000"/>
          <w:lang w:val="en-US"/>
        </w:rPr>
        <w:tab/>
        <w:t xml:space="preserve">CCAGTCAGATCTGCACTGAATG </w:t>
      </w:r>
    </w:p>
    <w:p w:rsidR="00DF6B27" w:rsidRPr="00DF6B27" w:rsidRDefault="00DF6B27">
      <w:pPr>
        <w:autoSpaceDE w:val="0"/>
        <w:autoSpaceDN w:val="0"/>
        <w:adjustRightInd w:val="0"/>
        <w:rPr>
          <w:color w:val="000000"/>
          <w:lang w:val="en-US"/>
        </w:rPr>
      </w:pPr>
      <w:r w:rsidRPr="00DF6B27">
        <w:rPr>
          <w:color w:val="000000"/>
          <w:lang w:val="en-US"/>
        </w:rPr>
        <w:t>HPODL_2458_R</w:t>
      </w:r>
      <w:r w:rsidRPr="00DF6B27">
        <w:rPr>
          <w:color w:val="000000"/>
          <w:lang w:val="en-US"/>
        </w:rPr>
        <w:tab/>
        <w:t>AACTCATTGATCTGGCCAGAAATG</w:t>
      </w:r>
    </w:p>
    <w:p w:rsidR="00DF6B27" w:rsidRPr="00DF6B27" w:rsidRDefault="00DF6B27">
      <w:pPr>
        <w:autoSpaceDE w:val="0"/>
        <w:autoSpaceDN w:val="0"/>
        <w:adjustRightInd w:val="0"/>
        <w:rPr>
          <w:color w:val="000000"/>
          <w:lang w:val="en-US"/>
        </w:rPr>
      </w:pPr>
    </w:p>
    <w:p w:rsidR="00DF6B27" w:rsidRPr="00DF6B27" w:rsidRDefault="00DF6B27">
      <w:pPr>
        <w:autoSpaceDE w:val="0"/>
        <w:autoSpaceDN w:val="0"/>
        <w:adjustRightInd w:val="0"/>
        <w:rPr>
          <w:color w:val="000000"/>
          <w:lang w:val="en-US"/>
        </w:rPr>
      </w:pPr>
    </w:p>
    <w:p w:rsidR="00DF6B27" w:rsidRPr="00DF6B27" w:rsidRDefault="00DF6B27">
      <w:pPr>
        <w:autoSpaceDE w:val="0"/>
        <w:autoSpaceDN w:val="0"/>
        <w:adjustRightInd w:val="0"/>
        <w:rPr>
          <w:color w:val="000000"/>
          <w:lang w:val="en-US"/>
        </w:rPr>
      </w:pPr>
      <w:r w:rsidRPr="00DF6B27">
        <w:rPr>
          <w:color w:val="000000"/>
          <w:lang w:val="en-US"/>
        </w:rPr>
        <w:t xml:space="preserve">Table 1. Differential expression of genes </w:t>
      </w:r>
      <w:r w:rsidRPr="00DF6B27">
        <w:rPr>
          <w:color w:val="000000"/>
          <w:lang w:val="en-GB"/>
        </w:rPr>
        <w:t xml:space="preserve">HPODL_1177, HPODL_1513, and HPODL_2458 </w:t>
      </w:r>
      <w:r w:rsidRPr="00DF6B27">
        <w:rPr>
          <w:color w:val="000000"/>
          <w:lang w:val="en-US"/>
        </w:rPr>
        <w:t xml:space="preserve"> </w:t>
      </w:r>
    </w:p>
    <w:p w:rsidR="00DF6B27" w:rsidRPr="00DF6B27" w:rsidRDefault="00DF6B27">
      <w:pPr>
        <w:autoSpaceDE w:val="0"/>
        <w:autoSpaceDN w:val="0"/>
        <w:adjustRightInd w:val="0"/>
        <w:rPr>
          <w:color w:val="000000"/>
          <w:lang w:val="en-US"/>
        </w:rPr>
      </w:pPr>
      <w:r w:rsidRPr="00DF6B27">
        <w:rPr>
          <w:color w:val="000000"/>
          <w:lang w:val="en-US"/>
        </w:rPr>
        <w:t xml:space="preserve"> </w:t>
      </w:r>
    </w:p>
    <w:tbl>
      <w:tblPr>
        <w:tblW w:w="0" w:type="auto"/>
        <w:tblInd w:w="103" w:type="dxa"/>
        <w:tblLayout w:type="fixed"/>
        <w:tblLook w:val="0000" w:firstRow="0" w:lastRow="0" w:firstColumn="0" w:lastColumn="0" w:noHBand="0" w:noVBand="0"/>
      </w:tblPr>
      <w:tblGrid>
        <w:gridCol w:w="3833"/>
        <w:gridCol w:w="1720"/>
        <w:gridCol w:w="1780"/>
        <w:gridCol w:w="1617"/>
      </w:tblGrid>
      <w:tr w:rsidR="005F6844" w:rsidRPr="00DF6B27">
        <w:tblPrEx>
          <w:tblCellMar>
            <w:top w:w="0" w:type="dxa"/>
            <w:bottom w:w="0" w:type="dxa"/>
          </w:tblCellMar>
        </w:tblPrEx>
        <w:trPr>
          <w:cantSplit/>
          <w:trHeight w:val="255"/>
        </w:trPr>
        <w:tc>
          <w:tcPr>
            <w:tcW w:w="3833" w:type="dxa"/>
            <w:vMerge w:val="restart"/>
            <w:tcBorders>
              <w:top w:val="single" w:sz="4" w:space="0" w:color="auto"/>
              <w:left w:val="single" w:sz="4" w:space="0" w:color="auto"/>
              <w:bottom w:val="nil"/>
              <w:right w:val="single" w:sz="4" w:space="0" w:color="auto"/>
            </w:tcBorders>
            <w:vAlign w:val="center"/>
          </w:tcPr>
          <w:p w:rsidR="00DF6B27" w:rsidRPr="00DF6B27" w:rsidRDefault="00DF6B27">
            <w:pPr>
              <w:jc w:val="center"/>
              <w:rPr>
                <w:color w:val="000000"/>
                <w:lang w:val="en-US"/>
              </w:rPr>
            </w:pPr>
            <w:r w:rsidRPr="00DF6B27">
              <w:rPr>
                <w:color w:val="000000"/>
                <w:lang w:val="en-US"/>
              </w:rPr>
              <w:t>Sample and approach used</w:t>
            </w:r>
          </w:p>
        </w:tc>
        <w:tc>
          <w:tcPr>
            <w:tcW w:w="5117" w:type="dxa"/>
            <w:gridSpan w:val="3"/>
            <w:tcBorders>
              <w:top w:val="single" w:sz="4" w:space="0" w:color="auto"/>
              <w:left w:val="nil"/>
              <w:bottom w:val="single" w:sz="4" w:space="0" w:color="auto"/>
              <w:right w:val="single" w:sz="4" w:space="0" w:color="auto"/>
            </w:tcBorders>
            <w:vAlign w:val="bottom"/>
          </w:tcPr>
          <w:p w:rsidR="00DF6B27" w:rsidRPr="00DF6B27" w:rsidRDefault="00DF6B27">
            <w:pPr>
              <w:spacing w:before="40" w:after="40"/>
              <w:jc w:val="center"/>
              <w:rPr>
                <w:color w:val="000000"/>
                <w:lang w:val="en-US"/>
              </w:rPr>
            </w:pPr>
            <w:r w:rsidRPr="00DF6B27">
              <w:rPr>
                <w:color w:val="000000"/>
                <w:lang w:val="en-US"/>
              </w:rPr>
              <w:t>Relative expression level (LOG2 M/G)</w:t>
            </w:r>
          </w:p>
        </w:tc>
      </w:tr>
      <w:tr w:rsidR="005F6844" w:rsidRPr="00DF6B27">
        <w:tblPrEx>
          <w:tblCellMar>
            <w:top w:w="0" w:type="dxa"/>
            <w:bottom w:w="0" w:type="dxa"/>
          </w:tblCellMar>
        </w:tblPrEx>
        <w:trPr>
          <w:cantSplit/>
          <w:trHeight w:val="255"/>
        </w:trPr>
        <w:tc>
          <w:tcPr>
            <w:tcW w:w="3833" w:type="dxa"/>
            <w:vMerge/>
            <w:tcBorders>
              <w:top w:val="nil"/>
              <w:left w:val="single" w:sz="4" w:space="0" w:color="auto"/>
              <w:bottom w:val="single" w:sz="4" w:space="0" w:color="auto"/>
              <w:right w:val="single" w:sz="4" w:space="0" w:color="auto"/>
            </w:tcBorders>
            <w:vAlign w:val="bottom"/>
          </w:tcPr>
          <w:p w:rsidR="00DF6B27" w:rsidRPr="00DF6B27" w:rsidRDefault="00DF6B27">
            <w:pPr>
              <w:rPr>
                <w:color w:val="000000"/>
                <w:lang w:val="en-US"/>
              </w:rPr>
            </w:pPr>
          </w:p>
        </w:tc>
        <w:tc>
          <w:tcPr>
            <w:tcW w:w="1720" w:type="dxa"/>
            <w:tcBorders>
              <w:top w:val="single" w:sz="4" w:space="0" w:color="auto"/>
              <w:left w:val="nil"/>
              <w:bottom w:val="single" w:sz="4" w:space="0" w:color="auto"/>
              <w:right w:val="single" w:sz="4" w:space="0" w:color="auto"/>
            </w:tcBorders>
            <w:vAlign w:val="bottom"/>
          </w:tcPr>
          <w:p w:rsidR="00DF6B27" w:rsidRPr="00DF6B27" w:rsidRDefault="00DF6B27">
            <w:pPr>
              <w:spacing w:before="40" w:after="40"/>
              <w:rPr>
                <w:color w:val="000000"/>
              </w:rPr>
            </w:pPr>
            <w:r w:rsidRPr="00DF6B27">
              <w:rPr>
                <w:color w:val="000000"/>
              </w:rPr>
              <w:t>HPODL_1177</w:t>
            </w:r>
          </w:p>
        </w:tc>
        <w:tc>
          <w:tcPr>
            <w:tcW w:w="1780" w:type="dxa"/>
            <w:tcBorders>
              <w:top w:val="single" w:sz="4" w:space="0" w:color="auto"/>
              <w:left w:val="nil"/>
              <w:bottom w:val="single" w:sz="4" w:space="0" w:color="auto"/>
              <w:right w:val="single" w:sz="4" w:space="0" w:color="auto"/>
            </w:tcBorders>
            <w:vAlign w:val="bottom"/>
          </w:tcPr>
          <w:p w:rsidR="00DF6B27" w:rsidRPr="00DF6B27" w:rsidRDefault="00DF6B27">
            <w:pPr>
              <w:spacing w:before="40" w:after="40"/>
              <w:rPr>
                <w:color w:val="000000"/>
              </w:rPr>
            </w:pPr>
            <w:r w:rsidRPr="00DF6B27">
              <w:rPr>
                <w:color w:val="000000"/>
              </w:rPr>
              <w:t>HPODL_1513</w:t>
            </w:r>
          </w:p>
        </w:tc>
        <w:tc>
          <w:tcPr>
            <w:tcW w:w="1617" w:type="dxa"/>
            <w:tcBorders>
              <w:top w:val="single" w:sz="4" w:space="0" w:color="auto"/>
              <w:left w:val="nil"/>
              <w:bottom w:val="single" w:sz="4" w:space="0" w:color="auto"/>
              <w:right w:val="single" w:sz="4" w:space="0" w:color="auto"/>
            </w:tcBorders>
            <w:vAlign w:val="bottom"/>
          </w:tcPr>
          <w:p w:rsidR="00DF6B27" w:rsidRPr="00DF6B27" w:rsidRDefault="00DF6B27">
            <w:pPr>
              <w:spacing w:before="40" w:after="40"/>
              <w:rPr>
                <w:color w:val="000000"/>
              </w:rPr>
            </w:pPr>
            <w:r w:rsidRPr="00DF6B27">
              <w:rPr>
                <w:color w:val="000000"/>
              </w:rPr>
              <w:t>HPODL_2458</w:t>
            </w:r>
          </w:p>
        </w:tc>
      </w:tr>
      <w:tr w:rsidR="005F6844" w:rsidRPr="00DF6B27">
        <w:tblPrEx>
          <w:tblCellMar>
            <w:top w:w="0" w:type="dxa"/>
            <w:bottom w:w="0" w:type="dxa"/>
          </w:tblCellMar>
        </w:tblPrEx>
        <w:trPr>
          <w:trHeight w:val="255"/>
        </w:trPr>
        <w:tc>
          <w:tcPr>
            <w:tcW w:w="3833" w:type="dxa"/>
            <w:tcBorders>
              <w:top w:val="nil"/>
              <w:left w:val="single" w:sz="4" w:space="0" w:color="auto"/>
              <w:bottom w:val="single" w:sz="4" w:space="0" w:color="auto"/>
              <w:right w:val="single" w:sz="4" w:space="0" w:color="auto"/>
            </w:tcBorders>
            <w:vAlign w:val="bottom"/>
          </w:tcPr>
          <w:p w:rsidR="00DF6B27" w:rsidRPr="00DF6B27" w:rsidRDefault="00DF6B27">
            <w:pPr>
              <w:rPr>
                <w:color w:val="000000"/>
              </w:rPr>
            </w:pPr>
            <w:r w:rsidRPr="00DF6B27">
              <w:rPr>
                <w:color w:val="000000"/>
              </w:rPr>
              <w:t>RNA</w:t>
            </w:r>
            <w:r w:rsidRPr="00DF6B27">
              <w:rPr>
                <w:color w:val="000000"/>
                <w:lang w:val="en-US"/>
              </w:rPr>
              <w:t>-</w:t>
            </w:r>
            <w:proofErr w:type="spellStart"/>
            <w:r w:rsidRPr="00DF6B27">
              <w:rPr>
                <w:color w:val="000000"/>
              </w:rPr>
              <w:t>seq</w:t>
            </w:r>
            <w:proofErr w:type="spellEnd"/>
          </w:p>
        </w:tc>
        <w:tc>
          <w:tcPr>
            <w:tcW w:w="1720" w:type="dxa"/>
            <w:tcBorders>
              <w:top w:val="nil"/>
              <w:left w:val="nil"/>
              <w:bottom w:val="single" w:sz="4" w:space="0" w:color="auto"/>
              <w:right w:val="single" w:sz="4" w:space="0" w:color="auto"/>
            </w:tcBorders>
            <w:vAlign w:val="center"/>
          </w:tcPr>
          <w:p w:rsidR="00DF6B27" w:rsidRPr="00DF6B27" w:rsidRDefault="00DF6B27">
            <w:pPr>
              <w:jc w:val="center"/>
              <w:rPr>
                <w:color w:val="000000"/>
              </w:rPr>
            </w:pPr>
            <w:r w:rsidRPr="00DF6B27">
              <w:rPr>
                <w:color w:val="000000"/>
              </w:rPr>
              <w:t>0,25</w:t>
            </w:r>
          </w:p>
        </w:tc>
        <w:tc>
          <w:tcPr>
            <w:tcW w:w="1780" w:type="dxa"/>
            <w:tcBorders>
              <w:top w:val="nil"/>
              <w:left w:val="nil"/>
              <w:bottom w:val="single" w:sz="4" w:space="0" w:color="auto"/>
              <w:right w:val="single" w:sz="4" w:space="0" w:color="auto"/>
            </w:tcBorders>
            <w:vAlign w:val="center"/>
          </w:tcPr>
          <w:p w:rsidR="00DF6B27" w:rsidRPr="00DF6B27" w:rsidRDefault="00DF6B27">
            <w:pPr>
              <w:jc w:val="center"/>
              <w:rPr>
                <w:color w:val="000000"/>
              </w:rPr>
            </w:pPr>
            <w:r w:rsidRPr="00DF6B27">
              <w:rPr>
                <w:color w:val="000000"/>
              </w:rPr>
              <w:t>-1,36</w:t>
            </w:r>
          </w:p>
        </w:tc>
        <w:tc>
          <w:tcPr>
            <w:tcW w:w="1617" w:type="dxa"/>
            <w:tcBorders>
              <w:top w:val="nil"/>
              <w:left w:val="nil"/>
              <w:bottom w:val="single" w:sz="4" w:space="0" w:color="auto"/>
              <w:right w:val="single" w:sz="4" w:space="0" w:color="auto"/>
            </w:tcBorders>
            <w:vAlign w:val="center"/>
          </w:tcPr>
          <w:p w:rsidR="00DF6B27" w:rsidRPr="00DF6B27" w:rsidRDefault="00DF6B27">
            <w:pPr>
              <w:jc w:val="center"/>
              <w:rPr>
                <w:color w:val="000000"/>
              </w:rPr>
            </w:pPr>
            <w:r w:rsidRPr="00DF6B27">
              <w:rPr>
                <w:color w:val="000000"/>
              </w:rPr>
              <w:t>2,23</w:t>
            </w:r>
          </w:p>
        </w:tc>
      </w:tr>
      <w:tr w:rsidR="005F6844" w:rsidRPr="00DF6B27">
        <w:tblPrEx>
          <w:tblCellMar>
            <w:top w:w="0" w:type="dxa"/>
            <w:bottom w:w="0" w:type="dxa"/>
          </w:tblCellMar>
        </w:tblPrEx>
        <w:trPr>
          <w:trHeight w:val="255"/>
        </w:trPr>
        <w:tc>
          <w:tcPr>
            <w:tcW w:w="3833" w:type="dxa"/>
            <w:tcBorders>
              <w:top w:val="nil"/>
              <w:left w:val="single" w:sz="4" w:space="0" w:color="auto"/>
              <w:bottom w:val="single" w:sz="4" w:space="0" w:color="auto"/>
              <w:right w:val="single" w:sz="4" w:space="0" w:color="auto"/>
            </w:tcBorders>
            <w:vAlign w:val="bottom"/>
          </w:tcPr>
          <w:p w:rsidR="00DF6B27" w:rsidRPr="00DF6B27" w:rsidRDefault="00DF6B27">
            <w:pPr>
              <w:rPr>
                <w:color w:val="000000"/>
                <w:lang w:val="en-US"/>
              </w:rPr>
            </w:pPr>
            <w:proofErr w:type="spellStart"/>
            <w:r w:rsidRPr="00DF6B27">
              <w:rPr>
                <w:color w:val="000000"/>
                <w:lang w:val="en-US"/>
              </w:rPr>
              <w:t>qPCR</w:t>
            </w:r>
            <w:proofErr w:type="spellEnd"/>
            <w:r w:rsidRPr="00DF6B27">
              <w:rPr>
                <w:color w:val="000000"/>
                <w:lang w:val="en-US"/>
              </w:rPr>
              <w:t xml:space="preserve"> on </w:t>
            </w:r>
            <w:proofErr w:type="spellStart"/>
            <w:r w:rsidRPr="00DF6B27">
              <w:rPr>
                <w:color w:val="000000"/>
                <w:lang w:val="en-US"/>
              </w:rPr>
              <w:t>cDNA</w:t>
            </w:r>
            <w:proofErr w:type="spellEnd"/>
            <w:r w:rsidRPr="00DF6B27">
              <w:rPr>
                <w:color w:val="000000"/>
                <w:lang w:val="en-US"/>
              </w:rPr>
              <w:t xml:space="preserve"> used in RNA-</w:t>
            </w:r>
            <w:proofErr w:type="spellStart"/>
            <w:r w:rsidRPr="00DF6B27">
              <w:rPr>
                <w:color w:val="000000"/>
                <w:lang w:val="en-US"/>
              </w:rPr>
              <w:t>seq</w:t>
            </w:r>
            <w:proofErr w:type="spellEnd"/>
            <w:r w:rsidRPr="00DF6B27">
              <w:rPr>
                <w:color w:val="000000"/>
                <w:lang w:val="en-US"/>
              </w:rPr>
              <w:t xml:space="preserve"> experiment</w:t>
            </w:r>
          </w:p>
        </w:tc>
        <w:tc>
          <w:tcPr>
            <w:tcW w:w="1720" w:type="dxa"/>
            <w:tcBorders>
              <w:top w:val="nil"/>
              <w:left w:val="nil"/>
              <w:bottom w:val="single" w:sz="4" w:space="0" w:color="auto"/>
              <w:right w:val="single" w:sz="4" w:space="0" w:color="auto"/>
            </w:tcBorders>
            <w:vAlign w:val="center"/>
          </w:tcPr>
          <w:p w:rsidR="00DF6B27" w:rsidRPr="00DF6B27" w:rsidRDefault="00DF6B27">
            <w:pPr>
              <w:jc w:val="center"/>
              <w:rPr>
                <w:color w:val="000000"/>
              </w:rPr>
            </w:pPr>
            <w:r w:rsidRPr="00DF6B27">
              <w:rPr>
                <w:color w:val="000000"/>
              </w:rPr>
              <w:t>0,36</w:t>
            </w:r>
          </w:p>
        </w:tc>
        <w:tc>
          <w:tcPr>
            <w:tcW w:w="1780" w:type="dxa"/>
            <w:tcBorders>
              <w:top w:val="nil"/>
              <w:left w:val="nil"/>
              <w:bottom w:val="single" w:sz="4" w:space="0" w:color="auto"/>
              <w:right w:val="single" w:sz="4" w:space="0" w:color="auto"/>
            </w:tcBorders>
            <w:vAlign w:val="center"/>
          </w:tcPr>
          <w:p w:rsidR="00DF6B27" w:rsidRPr="00DF6B27" w:rsidRDefault="00DF6B27">
            <w:pPr>
              <w:jc w:val="center"/>
              <w:rPr>
                <w:color w:val="000000"/>
                <w:lang w:val="en-US"/>
              </w:rPr>
            </w:pPr>
            <w:r w:rsidRPr="00DF6B27">
              <w:rPr>
                <w:color w:val="000000"/>
              </w:rPr>
              <w:t>-</w:t>
            </w:r>
            <w:r w:rsidRPr="00DF6B27">
              <w:rPr>
                <w:color w:val="000000"/>
                <w:lang w:val="en-US"/>
              </w:rPr>
              <w:t>1</w:t>
            </w:r>
            <w:r w:rsidRPr="00DF6B27">
              <w:rPr>
                <w:color w:val="000000"/>
              </w:rPr>
              <w:t>,</w:t>
            </w:r>
            <w:r w:rsidRPr="00DF6B27">
              <w:rPr>
                <w:color w:val="000000"/>
                <w:lang w:val="en-US"/>
              </w:rPr>
              <w:t>39</w:t>
            </w:r>
          </w:p>
        </w:tc>
        <w:tc>
          <w:tcPr>
            <w:tcW w:w="1617" w:type="dxa"/>
            <w:tcBorders>
              <w:top w:val="nil"/>
              <w:left w:val="nil"/>
              <w:bottom w:val="single" w:sz="4" w:space="0" w:color="auto"/>
              <w:right w:val="single" w:sz="4" w:space="0" w:color="auto"/>
            </w:tcBorders>
            <w:vAlign w:val="center"/>
          </w:tcPr>
          <w:p w:rsidR="00DF6B27" w:rsidRPr="00DF6B27" w:rsidRDefault="00DF6B27">
            <w:pPr>
              <w:jc w:val="center"/>
              <w:rPr>
                <w:color w:val="000000"/>
              </w:rPr>
            </w:pPr>
            <w:r w:rsidRPr="00DF6B27">
              <w:rPr>
                <w:color w:val="000000"/>
              </w:rPr>
              <w:t>2,32</w:t>
            </w:r>
          </w:p>
        </w:tc>
      </w:tr>
      <w:tr w:rsidR="005F6844" w:rsidRPr="00DF6B27">
        <w:tblPrEx>
          <w:tblCellMar>
            <w:top w:w="0" w:type="dxa"/>
            <w:bottom w:w="0" w:type="dxa"/>
          </w:tblCellMar>
        </w:tblPrEx>
        <w:trPr>
          <w:trHeight w:val="255"/>
        </w:trPr>
        <w:tc>
          <w:tcPr>
            <w:tcW w:w="3833" w:type="dxa"/>
            <w:tcBorders>
              <w:top w:val="nil"/>
              <w:left w:val="single" w:sz="4" w:space="0" w:color="auto"/>
              <w:bottom w:val="single" w:sz="4" w:space="0" w:color="auto"/>
              <w:right w:val="single" w:sz="4" w:space="0" w:color="auto"/>
            </w:tcBorders>
            <w:vAlign w:val="bottom"/>
          </w:tcPr>
          <w:p w:rsidR="00DF6B27" w:rsidRPr="00DF6B27" w:rsidRDefault="00DF6B27">
            <w:pPr>
              <w:rPr>
                <w:color w:val="000000"/>
                <w:lang w:val="en-US"/>
              </w:rPr>
            </w:pPr>
            <w:proofErr w:type="spellStart"/>
            <w:r w:rsidRPr="00DF6B27">
              <w:rPr>
                <w:color w:val="000000"/>
                <w:lang w:val="en-US"/>
              </w:rPr>
              <w:t>qPCR</w:t>
            </w:r>
            <w:proofErr w:type="spellEnd"/>
            <w:r w:rsidRPr="00DF6B27">
              <w:rPr>
                <w:color w:val="000000"/>
                <w:lang w:val="en-US"/>
              </w:rPr>
              <w:t xml:space="preserve"> on </w:t>
            </w:r>
            <w:proofErr w:type="spellStart"/>
            <w:r w:rsidRPr="00DF6B27">
              <w:rPr>
                <w:color w:val="000000"/>
                <w:lang w:val="en-US"/>
              </w:rPr>
              <w:t>cDNAs</w:t>
            </w:r>
            <w:proofErr w:type="spellEnd"/>
            <w:r w:rsidRPr="00DF6B27">
              <w:rPr>
                <w:color w:val="000000"/>
                <w:lang w:val="en-US"/>
              </w:rPr>
              <w:t xml:space="preserve"> synthesized using </w:t>
            </w:r>
            <w:proofErr w:type="spellStart"/>
            <w:r w:rsidRPr="00DF6B27">
              <w:rPr>
                <w:color w:val="000000"/>
                <w:lang w:val="en-GB"/>
              </w:rPr>
              <w:t>oligo-dT</w:t>
            </w:r>
            <w:proofErr w:type="spellEnd"/>
            <w:r w:rsidRPr="00DF6B27">
              <w:rPr>
                <w:color w:val="000000"/>
                <w:lang w:val="en-GB"/>
              </w:rPr>
              <w:t xml:space="preserve"> (new cultures)</w:t>
            </w:r>
          </w:p>
        </w:tc>
        <w:tc>
          <w:tcPr>
            <w:tcW w:w="1720" w:type="dxa"/>
            <w:tcBorders>
              <w:top w:val="nil"/>
              <w:left w:val="nil"/>
              <w:bottom w:val="single" w:sz="4" w:space="0" w:color="auto"/>
              <w:right w:val="single" w:sz="4" w:space="0" w:color="auto"/>
            </w:tcBorders>
            <w:vAlign w:val="center"/>
          </w:tcPr>
          <w:p w:rsidR="00DF6B27" w:rsidRPr="00DF6B27" w:rsidRDefault="00DF6B27">
            <w:pPr>
              <w:jc w:val="center"/>
              <w:rPr>
                <w:color w:val="000000"/>
              </w:rPr>
            </w:pPr>
            <w:r w:rsidRPr="00DF6B27">
              <w:rPr>
                <w:color w:val="000000"/>
                <w:lang w:val="en-US"/>
              </w:rPr>
              <w:t>0,29±0,06</w:t>
            </w:r>
          </w:p>
        </w:tc>
        <w:tc>
          <w:tcPr>
            <w:tcW w:w="1780" w:type="dxa"/>
            <w:tcBorders>
              <w:top w:val="nil"/>
              <w:left w:val="nil"/>
              <w:bottom w:val="single" w:sz="4" w:space="0" w:color="auto"/>
              <w:right w:val="single" w:sz="4" w:space="0" w:color="auto"/>
            </w:tcBorders>
            <w:vAlign w:val="center"/>
          </w:tcPr>
          <w:p w:rsidR="00DF6B27" w:rsidRPr="00DF6B27" w:rsidRDefault="00DF6B27">
            <w:pPr>
              <w:jc w:val="center"/>
              <w:rPr>
                <w:color w:val="000000"/>
                <w:lang w:val="en-US"/>
              </w:rPr>
            </w:pPr>
            <w:r w:rsidRPr="00DF6B27">
              <w:rPr>
                <w:color w:val="000000"/>
                <w:lang w:val="en-US"/>
              </w:rPr>
              <w:t>-</w:t>
            </w:r>
            <w:r w:rsidRPr="00DF6B27">
              <w:rPr>
                <w:color w:val="000000"/>
              </w:rPr>
              <w:t>2,</w:t>
            </w:r>
            <w:r w:rsidRPr="00DF6B27">
              <w:rPr>
                <w:color w:val="000000"/>
                <w:lang w:val="en-US"/>
              </w:rPr>
              <w:t>74</w:t>
            </w:r>
            <w:r w:rsidRPr="00DF6B27">
              <w:rPr>
                <w:color w:val="000000"/>
              </w:rPr>
              <w:t>±0,</w:t>
            </w:r>
            <w:r w:rsidRPr="00DF6B27">
              <w:rPr>
                <w:color w:val="000000"/>
                <w:lang w:val="en-US"/>
              </w:rPr>
              <w:t>13</w:t>
            </w:r>
          </w:p>
        </w:tc>
        <w:tc>
          <w:tcPr>
            <w:tcW w:w="1617" w:type="dxa"/>
            <w:tcBorders>
              <w:top w:val="nil"/>
              <w:left w:val="nil"/>
              <w:bottom w:val="single" w:sz="4" w:space="0" w:color="auto"/>
              <w:right w:val="single" w:sz="4" w:space="0" w:color="auto"/>
            </w:tcBorders>
            <w:vAlign w:val="center"/>
          </w:tcPr>
          <w:p w:rsidR="00DF6B27" w:rsidRPr="00DF6B27" w:rsidRDefault="00DF6B27">
            <w:pPr>
              <w:jc w:val="center"/>
              <w:rPr>
                <w:color w:val="000000"/>
                <w:lang w:val="en-US"/>
              </w:rPr>
            </w:pPr>
            <w:r w:rsidRPr="00DF6B27">
              <w:rPr>
                <w:color w:val="000000"/>
                <w:lang w:val="en-US"/>
              </w:rPr>
              <w:t>1,99±0,09</w:t>
            </w:r>
          </w:p>
        </w:tc>
      </w:tr>
      <w:tr w:rsidR="005F6844" w:rsidRPr="00DF6B27">
        <w:tblPrEx>
          <w:tblCellMar>
            <w:top w:w="0" w:type="dxa"/>
            <w:bottom w:w="0" w:type="dxa"/>
          </w:tblCellMar>
        </w:tblPrEx>
        <w:trPr>
          <w:trHeight w:val="255"/>
        </w:trPr>
        <w:tc>
          <w:tcPr>
            <w:tcW w:w="3833" w:type="dxa"/>
            <w:tcBorders>
              <w:top w:val="nil"/>
              <w:left w:val="single" w:sz="4" w:space="0" w:color="auto"/>
              <w:bottom w:val="single" w:sz="4" w:space="0" w:color="auto"/>
              <w:right w:val="single" w:sz="4" w:space="0" w:color="auto"/>
            </w:tcBorders>
            <w:vAlign w:val="bottom"/>
          </w:tcPr>
          <w:p w:rsidR="00DF6B27" w:rsidRPr="00DF6B27" w:rsidRDefault="00DF6B27">
            <w:pPr>
              <w:rPr>
                <w:color w:val="000000"/>
                <w:lang w:val="en-US"/>
              </w:rPr>
            </w:pPr>
            <w:proofErr w:type="spellStart"/>
            <w:r w:rsidRPr="00DF6B27">
              <w:rPr>
                <w:color w:val="000000"/>
                <w:lang w:val="en-US"/>
              </w:rPr>
              <w:t>qPCR</w:t>
            </w:r>
            <w:proofErr w:type="spellEnd"/>
            <w:r w:rsidRPr="00DF6B27">
              <w:rPr>
                <w:color w:val="000000"/>
                <w:lang w:val="en-US"/>
              </w:rPr>
              <w:t xml:space="preserve"> on </w:t>
            </w:r>
            <w:proofErr w:type="spellStart"/>
            <w:r w:rsidRPr="00DF6B27">
              <w:rPr>
                <w:color w:val="000000"/>
                <w:lang w:val="en-US"/>
              </w:rPr>
              <w:t>cDNAs</w:t>
            </w:r>
            <w:proofErr w:type="spellEnd"/>
            <w:r w:rsidRPr="00DF6B27">
              <w:rPr>
                <w:color w:val="000000"/>
                <w:lang w:val="en-US"/>
              </w:rPr>
              <w:t xml:space="preserve"> synthesized using random primer </w:t>
            </w:r>
            <w:r w:rsidRPr="00DF6B27">
              <w:rPr>
                <w:color w:val="000000"/>
                <w:lang w:val="en-GB"/>
              </w:rPr>
              <w:t>(new cultures)</w:t>
            </w:r>
          </w:p>
        </w:tc>
        <w:tc>
          <w:tcPr>
            <w:tcW w:w="1720" w:type="dxa"/>
            <w:tcBorders>
              <w:top w:val="nil"/>
              <w:left w:val="nil"/>
              <w:bottom w:val="single" w:sz="4" w:space="0" w:color="auto"/>
              <w:right w:val="single" w:sz="4" w:space="0" w:color="auto"/>
            </w:tcBorders>
            <w:vAlign w:val="center"/>
          </w:tcPr>
          <w:p w:rsidR="00DF6B27" w:rsidRPr="00DF6B27" w:rsidRDefault="00DF6B27">
            <w:pPr>
              <w:jc w:val="center"/>
              <w:rPr>
                <w:color w:val="000000"/>
              </w:rPr>
            </w:pPr>
            <w:r w:rsidRPr="00DF6B27">
              <w:rPr>
                <w:color w:val="000000"/>
                <w:lang w:val="en-US"/>
              </w:rPr>
              <w:t>0,38±0,02</w:t>
            </w:r>
          </w:p>
        </w:tc>
        <w:tc>
          <w:tcPr>
            <w:tcW w:w="1780" w:type="dxa"/>
            <w:tcBorders>
              <w:top w:val="nil"/>
              <w:left w:val="nil"/>
              <w:bottom w:val="single" w:sz="4" w:space="0" w:color="auto"/>
              <w:right w:val="single" w:sz="4" w:space="0" w:color="auto"/>
            </w:tcBorders>
            <w:vAlign w:val="center"/>
          </w:tcPr>
          <w:p w:rsidR="00DF6B27" w:rsidRPr="00DF6B27" w:rsidRDefault="00DF6B27">
            <w:pPr>
              <w:jc w:val="center"/>
              <w:rPr>
                <w:color w:val="000000"/>
                <w:lang w:val="en-US"/>
              </w:rPr>
            </w:pPr>
            <w:r w:rsidRPr="00DF6B27">
              <w:rPr>
                <w:color w:val="000000"/>
                <w:lang w:val="en-US"/>
              </w:rPr>
              <w:t>-2,44</w:t>
            </w:r>
            <w:r w:rsidRPr="00DF6B27">
              <w:rPr>
                <w:color w:val="000000"/>
              </w:rPr>
              <w:t>±0,</w:t>
            </w:r>
            <w:r w:rsidRPr="00DF6B27">
              <w:rPr>
                <w:color w:val="000000"/>
                <w:lang w:val="en-US"/>
              </w:rPr>
              <w:t>12</w:t>
            </w:r>
          </w:p>
        </w:tc>
        <w:tc>
          <w:tcPr>
            <w:tcW w:w="1617" w:type="dxa"/>
            <w:tcBorders>
              <w:top w:val="nil"/>
              <w:left w:val="nil"/>
              <w:bottom w:val="single" w:sz="4" w:space="0" w:color="auto"/>
              <w:right w:val="single" w:sz="4" w:space="0" w:color="auto"/>
            </w:tcBorders>
            <w:vAlign w:val="center"/>
          </w:tcPr>
          <w:p w:rsidR="00DF6B27" w:rsidRPr="00DF6B27" w:rsidRDefault="00DF6B27">
            <w:pPr>
              <w:jc w:val="center"/>
              <w:rPr>
                <w:color w:val="000000"/>
                <w:lang w:val="en-US"/>
              </w:rPr>
            </w:pPr>
            <w:r w:rsidRPr="00DF6B27">
              <w:rPr>
                <w:color w:val="000000"/>
                <w:lang w:val="en-US"/>
              </w:rPr>
              <w:t>2,29±0,13</w:t>
            </w:r>
          </w:p>
        </w:tc>
      </w:tr>
    </w:tbl>
    <w:p w:rsidR="00DF6B27" w:rsidRPr="00DF6B27" w:rsidRDefault="00DF6B27">
      <w:pPr>
        <w:rPr>
          <w:color w:val="000000"/>
          <w:lang w:val="en-US"/>
        </w:rPr>
      </w:pPr>
    </w:p>
    <w:p w:rsidR="00DF6B27" w:rsidRPr="00DF6B27" w:rsidRDefault="00DF6B27">
      <w:pPr>
        <w:pStyle w:val="a3"/>
        <w:jc w:val="both"/>
        <w:rPr>
          <w:color w:val="000000"/>
        </w:rPr>
      </w:pPr>
      <w:r w:rsidRPr="00DF6B27">
        <w:rPr>
          <w:color w:val="000000"/>
        </w:rPr>
        <w:tab/>
        <w:t>The data presented in Table 1 show that, in spite of some variability associated with different techniques used, the patterns of regulation are reproducible.</w:t>
      </w:r>
    </w:p>
    <w:sectPr w:rsidR="00DF6B27" w:rsidRPr="00DF6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6876A2"/>
    <w:multiLevelType w:val="hybridMultilevel"/>
    <w:tmpl w:val="B0DA504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44"/>
    <w:rsid w:val="005F6844"/>
    <w:rsid w:val="00AC488C"/>
    <w:rsid w:val="00DF6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5E7835-B4EE-4B2D-9A75-76B15EE2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color w:val="0000FF"/>
      <w:lang w:val="en-US"/>
    </w:rPr>
  </w:style>
  <w:style w:type="paragraph" w:styleId="a4">
    <w:name w:val="Title"/>
    <w:basedOn w:val="a"/>
    <w:qFormat/>
    <w:pPr>
      <w:autoSpaceDE w:val="0"/>
      <w:autoSpaceDN w:val="0"/>
      <w:adjustRightInd w:val="0"/>
      <w:jc w:val="center"/>
    </w:pPr>
    <w:rPr>
      <w:color w:val="0000FF"/>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1</vt:lpstr>
    </vt:vector>
  </TitlesOfParts>
  <Company>S</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samsung n</dc:creator>
  <cp:keywords/>
  <dc:description/>
  <cp:lastModifiedBy>анна щенникова</cp:lastModifiedBy>
  <cp:revision>2</cp:revision>
  <dcterms:created xsi:type="dcterms:W3CDTF">2013-11-02T09:51:00Z</dcterms:created>
  <dcterms:modified xsi:type="dcterms:W3CDTF">2013-11-02T09:51:00Z</dcterms:modified>
</cp:coreProperties>
</file>