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AB3" w:rsidRDefault="004A3AB3" w:rsidP="004A3AB3">
      <w:pPr>
        <w:rPr>
          <w:rFonts w:ascii="Times New Roman" w:hAnsi="Times New Roman" w:cs="Times New Roman"/>
          <w:b/>
          <w:sz w:val="24"/>
          <w:szCs w:val="24"/>
        </w:rPr>
      </w:pPr>
      <w:r>
        <w:rPr>
          <w:rFonts w:ascii="Times New Roman" w:hAnsi="Times New Roman" w:cs="Times New Roman"/>
          <w:b/>
          <w:sz w:val="24"/>
          <w:szCs w:val="24"/>
        </w:rPr>
        <w:t>Supplemental Methods:</w:t>
      </w:r>
    </w:p>
    <w:p w:rsidR="004A3AB3" w:rsidRDefault="00DE14CC" w:rsidP="004A3AB3">
      <w:pPr>
        <w:rPr>
          <w:rFonts w:ascii="Times New Roman" w:hAnsi="Times New Roman" w:cs="Times New Roman"/>
          <w:b/>
          <w:sz w:val="24"/>
          <w:szCs w:val="24"/>
        </w:rPr>
      </w:pPr>
      <w:r>
        <w:rPr>
          <w:rFonts w:ascii="Times New Roman" w:hAnsi="Times New Roman" w:cs="Times New Roman"/>
          <w:b/>
          <w:sz w:val="24"/>
          <w:szCs w:val="24"/>
        </w:rPr>
        <w:t>Preparation of Custom Oligo M</w:t>
      </w:r>
      <w:r w:rsidR="004A3AB3">
        <w:rPr>
          <w:rFonts w:ascii="Times New Roman" w:hAnsi="Times New Roman" w:cs="Times New Roman"/>
          <w:b/>
          <w:sz w:val="24"/>
          <w:szCs w:val="24"/>
        </w:rPr>
        <w:t>ixture for MicrobEnrich:</w:t>
      </w:r>
    </w:p>
    <w:p w:rsidR="004A3AB3" w:rsidRDefault="004A3AB3" w:rsidP="004A3AB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100 </w:t>
      </w:r>
      <w:proofErr w:type="spellStart"/>
      <w:r>
        <w:rPr>
          <w:rFonts w:ascii="Times New Roman" w:hAnsi="Times New Roman" w:cs="Times New Roman"/>
          <w:sz w:val="24"/>
          <w:szCs w:val="24"/>
        </w:rPr>
        <w:t>uM</w:t>
      </w:r>
      <w:proofErr w:type="spellEnd"/>
      <w:r>
        <w:rPr>
          <w:rFonts w:ascii="Times New Roman" w:hAnsi="Times New Roman" w:cs="Times New Roman"/>
          <w:sz w:val="24"/>
          <w:szCs w:val="24"/>
        </w:rPr>
        <w:t xml:space="preserve"> stock solutions for each oligo were purchased from IDT (Coralville, IA).  6 µL (0.6 </w:t>
      </w:r>
      <w:proofErr w:type="spellStart"/>
      <w:r>
        <w:rPr>
          <w:rFonts w:ascii="Times New Roman" w:hAnsi="Times New Roman" w:cs="Times New Roman"/>
          <w:sz w:val="24"/>
          <w:szCs w:val="24"/>
        </w:rPr>
        <w:t>nmol</w:t>
      </w:r>
      <w:proofErr w:type="spellEnd"/>
      <w:r>
        <w:rPr>
          <w:rFonts w:ascii="Times New Roman" w:hAnsi="Times New Roman" w:cs="Times New Roman"/>
          <w:sz w:val="24"/>
          <w:szCs w:val="24"/>
        </w:rPr>
        <w:t xml:space="preserve">)  of 18S-565, 18S-1270, 18S-1356,  28S-1341, 28S-2438, 28S-3258, 28S-3258, and 28S-3365 and 10 µL 28S-349 (1.0 </w:t>
      </w:r>
      <w:proofErr w:type="spellStart"/>
      <w:r>
        <w:rPr>
          <w:rFonts w:ascii="Times New Roman" w:hAnsi="Times New Roman" w:cs="Times New Roman"/>
          <w:sz w:val="24"/>
          <w:szCs w:val="24"/>
        </w:rPr>
        <w:t>nmol</w:t>
      </w:r>
      <w:proofErr w:type="spellEnd"/>
      <w:r>
        <w:rPr>
          <w:rFonts w:ascii="Times New Roman" w:hAnsi="Times New Roman" w:cs="Times New Roman"/>
          <w:sz w:val="24"/>
          <w:szCs w:val="24"/>
        </w:rPr>
        <w:t xml:space="preserve">)  were added to 148 µL </w:t>
      </w:r>
      <w:proofErr w:type="spellStart"/>
      <w:r>
        <w:rPr>
          <w:rFonts w:ascii="Times New Roman" w:hAnsi="Times New Roman" w:cs="Times New Roman"/>
          <w:sz w:val="24"/>
          <w:szCs w:val="24"/>
        </w:rPr>
        <w:t>RNase</w:t>
      </w:r>
      <w:proofErr w:type="spellEnd"/>
      <w:r>
        <w:rPr>
          <w:rFonts w:ascii="Times New Roman" w:hAnsi="Times New Roman" w:cs="Times New Roman"/>
          <w:sz w:val="24"/>
          <w:szCs w:val="24"/>
        </w:rPr>
        <w:t xml:space="preserve">-free TE buffer (1.5 M, pH=8.0) bringing the final concentration of 18S-565, 18S-1270, 18S-1356,  28S-1341, 28S-2438, 28S-3258, 28S-3258, and 28S-3365  to 2.9 µM each and 28S-349  and  to 4.9 µM.  Insect rRNAs were subtracted from the total RNA extraction using MicrobEnrich following the manufacturer’s protocol, but replacing the 4 </w:t>
      </w:r>
      <w:proofErr w:type="spellStart"/>
      <w:r>
        <w:rPr>
          <w:rFonts w:ascii="Times New Roman" w:hAnsi="Times New Roman" w:cs="Times New Roman"/>
          <w:sz w:val="24"/>
          <w:szCs w:val="24"/>
        </w:rPr>
        <w:t>uL</w:t>
      </w:r>
      <w:proofErr w:type="spellEnd"/>
      <w:r>
        <w:rPr>
          <w:rFonts w:ascii="Times New Roman" w:hAnsi="Times New Roman" w:cs="Times New Roman"/>
          <w:sz w:val="24"/>
          <w:szCs w:val="24"/>
        </w:rPr>
        <w:t xml:space="preserve"> capture oligos supplied with the kit with 4 </w:t>
      </w:r>
      <w:proofErr w:type="spellStart"/>
      <w:r>
        <w:rPr>
          <w:rFonts w:ascii="Times New Roman" w:hAnsi="Times New Roman" w:cs="Times New Roman"/>
          <w:sz w:val="24"/>
          <w:szCs w:val="24"/>
        </w:rPr>
        <w:t>uL</w:t>
      </w:r>
      <w:proofErr w:type="spellEnd"/>
      <w:r>
        <w:rPr>
          <w:rFonts w:ascii="Times New Roman" w:hAnsi="Times New Roman" w:cs="Times New Roman"/>
          <w:sz w:val="24"/>
          <w:szCs w:val="24"/>
        </w:rPr>
        <w:t xml:space="preserve"> of the custom oligo mixture.  </w:t>
      </w:r>
    </w:p>
    <w:p w:rsidR="0083750D" w:rsidRDefault="0083750D" w:rsidP="0083750D">
      <w:pPr>
        <w:rPr>
          <w:rFonts w:ascii="Times New Roman" w:hAnsi="Times New Roman" w:cs="Times New Roman"/>
          <w:b/>
          <w:sz w:val="24"/>
          <w:szCs w:val="24"/>
        </w:rPr>
      </w:pPr>
      <w:r>
        <w:rPr>
          <w:rFonts w:ascii="Times New Roman" w:hAnsi="Times New Roman" w:cs="Times New Roman"/>
          <w:b/>
          <w:sz w:val="24"/>
          <w:szCs w:val="24"/>
        </w:rPr>
        <w:t>Supplemental Results:</w:t>
      </w:r>
    </w:p>
    <w:p w:rsidR="000A6EB0" w:rsidRPr="001D1F5B" w:rsidRDefault="000A6EB0" w:rsidP="000A6EB0">
      <w:pPr>
        <w:spacing w:after="0" w:line="480" w:lineRule="auto"/>
        <w:rPr>
          <w:rFonts w:ascii="Times New Roman" w:hAnsi="Times New Roman" w:cs="Times New Roman"/>
          <w:b/>
          <w:sz w:val="24"/>
          <w:szCs w:val="24"/>
        </w:rPr>
      </w:pPr>
      <w:r w:rsidRPr="001D1F5B">
        <w:rPr>
          <w:rFonts w:ascii="Times New Roman" w:hAnsi="Times New Roman" w:cs="Times New Roman"/>
          <w:b/>
          <w:sz w:val="24"/>
          <w:szCs w:val="24"/>
        </w:rPr>
        <w:t>Analysis of Transcripts Predicted to Encode Secreted Proteins:</w:t>
      </w:r>
    </w:p>
    <w:p w:rsidR="000A6EB0" w:rsidRPr="001D1F5B" w:rsidRDefault="000A6EB0" w:rsidP="000A6EB0">
      <w:pPr>
        <w:spacing w:after="0" w:line="480" w:lineRule="auto"/>
        <w:rPr>
          <w:rFonts w:ascii="Times New Roman" w:hAnsi="Times New Roman" w:cs="Times New Roman"/>
          <w:sz w:val="24"/>
          <w:szCs w:val="24"/>
        </w:rPr>
      </w:pPr>
      <w:r w:rsidRPr="001D1F5B">
        <w:rPr>
          <w:rFonts w:ascii="Times New Roman" w:hAnsi="Times New Roman" w:cs="Times New Roman"/>
          <w:sz w:val="24"/>
          <w:szCs w:val="24"/>
        </w:rPr>
        <w:tab/>
        <w:t>Approximately 700 transcripts with predicted signal peptides for extracellular targeting were detected in the assembly and could serve key roles in the large scale degradation of woody tissue and nutrient extraction</w:t>
      </w:r>
      <w:r>
        <w:rPr>
          <w:rFonts w:ascii="Times New Roman" w:hAnsi="Times New Roman" w:cs="Times New Roman"/>
          <w:sz w:val="24"/>
          <w:szCs w:val="24"/>
        </w:rPr>
        <w:t xml:space="preserve"> (</w:t>
      </w:r>
      <w:proofErr w:type="spellStart"/>
      <w:r w:rsidR="004641DF">
        <w:rPr>
          <w:rFonts w:ascii="Times New Roman" w:hAnsi="Times New Roman" w:cs="Times New Roman"/>
          <w:sz w:val="24"/>
          <w:szCs w:val="24"/>
        </w:rPr>
        <w:t>SFigure</w:t>
      </w:r>
      <w:proofErr w:type="spellEnd"/>
      <w:r w:rsidR="004641DF">
        <w:rPr>
          <w:rFonts w:ascii="Times New Roman" w:hAnsi="Times New Roman" w:cs="Times New Roman"/>
          <w:sz w:val="24"/>
          <w:szCs w:val="24"/>
        </w:rPr>
        <w:t xml:space="preserve"> 1</w:t>
      </w:r>
      <w:r>
        <w:rPr>
          <w:rFonts w:ascii="Times New Roman" w:hAnsi="Times New Roman" w:cs="Times New Roman"/>
          <w:sz w:val="24"/>
          <w:szCs w:val="24"/>
        </w:rPr>
        <w:t>)</w:t>
      </w:r>
      <w:r w:rsidRPr="001D1F5B">
        <w:rPr>
          <w:rFonts w:ascii="Times New Roman" w:hAnsi="Times New Roman" w:cs="Times New Roman"/>
          <w:sz w:val="24"/>
          <w:szCs w:val="24"/>
        </w:rPr>
        <w:t xml:space="preserve">.  Not surprisingly, the many of these transcripts had predicted involvement in carbohydrate and amino acid transport and metabolism, but a function for many transcripts could be not be directly inferred since many transcripts were classified to ‘general functional prediction’ and ‘function unknown’ KOG categories.  Although the majority of proteins assigned to the KOG category ‘function unknown’ had highest scoring BLAST alignments to uncharacterized and hypothetical proteins, a subset of the proteins assigned to the ‘general functional prediction’ category could be conclusively characterized and included several carboxylesterases, chitinases, α/β hydrolase proteins, peroxidases, surface mucin proteins, and cysteine proteinases.  Further, several transcripts with predicted involvement in defense were </w:t>
      </w:r>
      <w:r w:rsidRPr="001D1F5B">
        <w:rPr>
          <w:rFonts w:ascii="Times New Roman" w:hAnsi="Times New Roman" w:cs="Times New Roman"/>
          <w:sz w:val="24"/>
          <w:szCs w:val="24"/>
        </w:rPr>
        <w:lastRenderedPageBreak/>
        <w:t xml:space="preserve">also detected, including several transcripts predicted to encode </w:t>
      </w:r>
      <w:proofErr w:type="spellStart"/>
      <w:r w:rsidRPr="001D1F5B">
        <w:rPr>
          <w:rFonts w:ascii="Times New Roman" w:hAnsi="Times New Roman" w:cs="Times New Roman"/>
          <w:sz w:val="24"/>
          <w:szCs w:val="24"/>
        </w:rPr>
        <w:t>thioredoxins</w:t>
      </w:r>
      <w:proofErr w:type="spellEnd"/>
      <w:r w:rsidRPr="001D1F5B">
        <w:rPr>
          <w:rFonts w:ascii="Times New Roman" w:hAnsi="Times New Roman" w:cs="Times New Roman"/>
          <w:sz w:val="24"/>
          <w:szCs w:val="24"/>
        </w:rPr>
        <w:t>, which likely act as antioxidants and destroy reactive oxygen species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&lt;EndNote&gt;&lt;Cite&gt;&lt;Author&gt;Kanzok&lt;/Author&gt;&lt;Year&gt;2001&lt;/Year&gt;&lt;RecNum&gt;2612&lt;/RecNum&gt;&lt;DisplayText&gt;[142]&lt;/DisplayText&gt;&lt;record&gt;&lt;rec-number&gt;2612&lt;/rec-number&gt;&lt;foreign-keys&gt;&lt;key app="EN" db-id="fwszd2wf6rxw9oeddsrpxt0nr9eeef0r9x0f"&gt;2612&lt;/key&gt;&lt;/foreign-keys&gt;&lt;ref-type name="Journal Article"&gt;17&lt;/ref-type&gt;&lt;contributors&gt;&lt;authors&gt;&lt;author&gt;Kanzok, Stefan M&lt;/author&gt;&lt;author&gt;Fechner, Anke&lt;/author&gt;&lt;author&gt;Bauer, Holger&lt;/author&gt;&lt;author&gt;Ulschmid, Julia K&lt;/author&gt;&lt;author&gt;Müller, Hans-Michael&lt;/author&gt;&lt;author&gt;Botella-Munoz, José&lt;/author&gt;&lt;author&gt;Schneuwly, Stephan&lt;/author&gt;&lt;author&gt;Schirmer, R Heiner&lt;/author&gt;&lt;author&gt;Becker, Katja&lt;/author&gt;&lt;/authors&gt;&lt;/contributors&gt;&lt;titles&gt;&lt;title&gt;Substitution of the thioredoxin system for glutathione reductase in Drosophila melanogaster&lt;/title&gt;&lt;secondary-title&gt;Science&lt;/secondary-title&gt;&lt;/titles&gt;&lt;periodical&gt;&lt;full-title&gt;Science&lt;/full-title&gt;&lt;abbr-1&gt;Science&lt;/abbr-1&gt;&lt;/periodical&gt;&lt;pages&gt;643-646&lt;/pages&gt;&lt;volume&gt;291&lt;/volume&gt;&lt;number&gt;5504&lt;/number&gt;&lt;dates&gt;&lt;year&gt;2001&lt;/year&gt;&lt;/dates&gt;&lt;isbn&gt;0036-8075&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142" w:tooltip="Kanzok, 2001 #2612" w:history="1">
        <w:r>
          <w:rPr>
            <w:rFonts w:ascii="Times New Roman" w:hAnsi="Times New Roman" w:cs="Times New Roman"/>
            <w:noProof/>
            <w:sz w:val="24"/>
            <w:szCs w:val="24"/>
          </w:rPr>
          <w:t>142</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sidRPr="001D1F5B">
        <w:rPr>
          <w:rFonts w:ascii="Times New Roman" w:hAnsi="Times New Roman" w:cs="Times New Roman"/>
          <w:sz w:val="24"/>
          <w:szCs w:val="24"/>
        </w:rPr>
        <w:t xml:space="preserve"> that may be generated during large scale lignin metabolism that occurs in the gut, and UDP-</w:t>
      </w:r>
      <w:proofErr w:type="spellStart"/>
      <w:r w:rsidRPr="001D1F5B">
        <w:rPr>
          <w:rFonts w:ascii="Times New Roman" w:hAnsi="Times New Roman" w:cs="Times New Roman"/>
          <w:sz w:val="24"/>
          <w:szCs w:val="24"/>
        </w:rPr>
        <w:t>glucuronsyl</w:t>
      </w:r>
      <w:proofErr w:type="spellEnd"/>
      <w:r w:rsidRPr="001D1F5B">
        <w:rPr>
          <w:rFonts w:ascii="Times New Roman" w:hAnsi="Times New Roman" w:cs="Times New Roman"/>
          <w:sz w:val="24"/>
          <w:szCs w:val="24"/>
        </w:rPr>
        <w:t xml:space="preserve"> transferases, which are involved in conjugative inactivation and subsequent elimination of exogenous xenobiotic compounds.  </w:t>
      </w:r>
    </w:p>
    <w:p w:rsidR="000A6EB0" w:rsidRPr="001D1F5B" w:rsidRDefault="000A6EB0" w:rsidP="000A6EB0">
      <w:pPr>
        <w:spacing w:after="0" w:line="480" w:lineRule="auto"/>
        <w:rPr>
          <w:rFonts w:ascii="Times New Roman" w:hAnsi="Times New Roman" w:cs="Times New Roman"/>
          <w:sz w:val="24"/>
          <w:szCs w:val="24"/>
        </w:rPr>
      </w:pPr>
      <w:r w:rsidRPr="001D1F5B">
        <w:rPr>
          <w:rFonts w:ascii="Times New Roman" w:hAnsi="Times New Roman" w:cs="Times New Roman"/>
          <w:sz w:val="24"/>
          <w:szCs w:val="24"/>
        </w:rPr>
        <w:tab/>
        <w:t>Not surprisingly, many of the transcripts predicted to encode cell wall degrading enzymes also had predicted signal peptides, including many of the α-mannosidases, β-galactosidases, β-glucosidases, endo-β-1</w:t>
      </w:r>
      <w:proofErr w:type="gramStart"/>
      <w:r w:rsidRPr="001D1F5B">
        <w:rPr>
          <w:rFonts w:ascii="Times New Roman" w:hAnsi="Times New Roman" w:cs="Times New Roman"/>
          <w:sz w:val="24"/>
          <w:szCs w:val="24"/>
        </w:rPr>
        <w:t>,4</w:t>
      </w:r>
      <w:proofErr w:type="gramEnd"/>
      <w:r w:rsidRPr="001D1F5B">
        <w:rPr>
          <w:rFonts w:ascii="Times New Roman" w:hAnsi="Times New Roman" w:cs="Times New Roman"/>
          <w:sz w:val="24"/>
          <w:szCs w:val="24"/>
        </w:rPr>
        <w:t>-glucanases, β-</w:t>
      </w:r>
      <w:proofErr w:type="spellStart"/>
      <w:r w:rsidRPr="001D1F5B">
        <w:rPr>
          <w:rFonts w:ascii="Times New Roman" w:hAnsi="Times New Roman" w:cs="Times New Roman"/>
          <w:sz w:val="24"/>
          <w:szCs w:val="24"/>
        </w:rPr>
        <w:t>glucuronidase</w:t>
      </w:r>
      <w:r>
        <w:rPr>
          <w:rFonts w:ascii="Times New Roman" w:hAnsi="Times New Roman" w:cs="Times New Roman"/>
          <w:sz w:val="24"/>
          <w:szCs w:val="24"/>
        </w:rPr>
        <w:t>s</w:t>
      </w:r>
      <w:proofErr w:type="spellEnd"/>
      <w:r>
        <w:rPr>
          <w:rFonts w:ascii="Times New Roman" w:hAnsi="Times New Roman" w:cs="Times New Roman"/>
          <w:sz w:val="24"/>
          <w:szCs w:val="24"/>
        </w:rPr>
        <w:t>, and β-</w:t>
      </w:r>
      <w:proofErr w:type="spellStart"/>
      <w:r>
        <w:rPr>
          <w:rFonts w:ascii="Times New Roman" w:hAnsi="Times New Roman" w:cs="Times New Roman"/>
          <w:sz w:val="24"/>
          <w:szCs w:val="24"/>
        </w:rPr>
        <w:t>fructofuranoisdases</w:t>
      </w:r>
      <w:proofErr w:type="spellEnd"/>
      <w:r>
        <w:rPr>
          <w:rFonts w:ascii="Times New Roman" w:hAnsi="Times New Roman" w:cs="Times New Roman"/>
          <w:sz w:val="24"/>
          <w:szCs w:val="24"/>
        </w:rPr>
        <w:t xml:space="preserve">.  </w:t>
      </w:r>
      <w:r w:rsidRPr="001D1F5B">
        <w:rPr>
          <w:rFonts w:ascii="Times New Roman" w:hAnsi="Times New Roman" w:cs="Times New Roman"/>
          <w:sz w:val="24"/>
          <w:szCs w:val="24"/>
        </w:rPr>
        <w:t>Interestingly, only a subset of the xylanase isoforms had predicted signal peptides, suggesting t</w:t>
      </w:r>
      <w:r>
        <w:rPr>
          <w:rFonts w:ascii="Times New Roman" w:hAnsi="Times New Roman" w:cs="Times New Roman"/>
          <w:sz w:val="24"/>
          <w:szCs w:val="24"/>
        </w:rPr>
        <w:t xml:space="preserve">hat only some of these transcripts encode </w:t>
      </w:r>
      <w:r w:rsidRPr="001D1F5B">
        <w:rPr>
          <w:rFonts w:ascii="Times New Roman" w:hAnsi="Times New Roman" w:cs="Times New Roman"/>
          <w:sz w:val="24"/>
          <w:szCs w:val="24"/>
        </w:rPr>
        <w:t>secreted</w:t>
      </w:r>
      <w:r>
        <w:rPr>
          <w:rFonts w:ascii="Times New Roman" w:hAnsi="Times New Roman" w:cs="Times New Roman"/>
          <w:sz w:val="24"/>
          <w:szCs w:val="24"/>
        </w:rPr>
        <w:t xml:space="preserve"> enzymes</w:t>
      </w:r>
      <w:r w:rsidRPr="001D1F5B">
        <w:rPr>
          <w:rFonts w:ascii="Times New Roman" w:hAnsi="Times New Roman" w:cs="Times New Roman"/>
          <w:sz w:val="24"/>
          <w:szCs w:val="24"/>
        </w:rPr>
        <w:t xml:space="preserve"> and that some of the isoforms might have different intracellular roles in processing smaller oligosaccharides (e.g. </w:t>
      </w:r>
      <w:proofErr w:type="spellStart"/>
      <w:r w:rsidRPr="001D1F5B">
        <w:rPr>
          <w:rFonts w:ascii="Times New Roman" w:hAnsi="Times New Roman" w:cs="Times New Roman"/>
          <w:sz w:val="24"/>
          <w:szCs w:val="24"/>
        </w:rPr>
        <w:t>xylobiose</w:t>
      </w:r>
      <w:proofErr w:type="spellEnd"/>
      <w:r w:rsidRPr="001D1F5B">
        <w:rPr>
          <w:rFonts w:ascii="Times New Roman" w:hAnsi="Times New Roman" w:cs="Times New Roman"/>
          <w:sz w:val="24"/>
          <w:szCs w:val="24"/>
        </w:rPr>
        <w:t xml:space="preserve">) released from large scale hemicellulose digestion or could serve other digestive functions.  Chitinases, </w:t>
      </w:r>
      <w:proofErr w:type="spellStart"/>
      <w:r w:rsidRPr="001D1F5B">
        <w:rPr>
          <w:rFonts w:ascii="Times New Roman" w:hAnsi="Times New Roman" w:cs="Times New Roman"/>
          <w:sz w:val="24"/>
          <w:szCs w:val="24"/>
        </w:rPr>
        <w:t>trehalases</w:t>
      </w:r>
      <w:proofErr w:type="spellEnd"/>
      <w:r w:rsidRPr="001D1F5B">
        <w:rPr>
          <w:rFonts w:ascii="Times New Roman" w:hAnsi="Times New Roman" w:cs="Times New Roman"/>
          <w:sz w:val="24"/>
          <w:szCs w:val="24"/>
        </w:rPr>
        <w:t xml:space="preserve">, and β-hexosamidases are also highly represented, which could be involved in remodeling the peritrophic matrix or could be involved in digesting the chitinous cell walls of fungi found in association with the gut.   Furthermore, several transcripts predicted to encode enzymes involved in metabolizing proteins and lipids also had predicted signal peptides and could be relevant for digesting proteins embedded in the plant cell wall matrix or lipids produced by gut microbes.  Many of the cysteine and serine proteinases with putative involvement in nitrogen acquisition had predicted signal peptides, including several carbon-nitrogen hydrolase proteins, which are likely involved in catalyzing amino acid or nucleotide </w:t>
      </w:r>
      <w:proofErr w:type="spellStart"/>
      <w:r w:rsidRPr="001D1F5B">
        <w:rPr>
          <w:rFonts w:ascii="Times New Roman" w:hAnsi="Times New Roman" w:cs="Times New Roman"/>
          <w:sz w:val="24"/>
          <w:szCs w:val="24"/>
        </w:rPr>
        <w:t>deaminase</w:t>
      </w:r>
      <w:proofErr w:type="spellEnd"/>
      <w:r w:rsidRPr="001D1F5B">
        <w:rPr>
          <w:rFonts w:ascii="Times New Roman" w:hAnsi="Times New Roman" w:cs="Times New Roman"/>
          <w:sz w:val="24"/>
          <w:szCs w:val="24"/>
        </w:rPr>
        <w:t xml:space="preserve"> reactions for nitrogen recycling processes.  In terms of lipid metabolism, several transcripts predicted to encode lysosomal acid phosphatases and </w:t>
      </w:r>
      <w:proofErr w:type="spellStart"/>
      <w:r w:rsidRPr="001D1F5B">
        <w:rPr>
          <w:rFonts w:ascii="Times New Roman" w:hAnsi="Times New Roman" w:cs="Times New Roman"/>
          <w:sz w:val="24"/>
          <w:szCs w:val="24"/>
        </w:rPr>
        <w:t>palmitoyl</w:t>
      </w:r>
      <w:proofErr w:type="spellEnd"/>
      <w:r w:rsidRPr="001D1F5B">
        <w:rPr>
          <w:rFonts w:ascii="Times New Roman" w:hAnsi="Times New Roman" w:cs="Times New Roman"/>
          <w:sz w:val="24"/>
          <w:szCs w:val="24"/>
        </w:rPr>
        <w:t xml:space="preserve"> protein </w:t>
      </w:r>
      <w:proofErr w:type="spellStart"/>
      <w:r w:rsidRPr="001D1F5B">
        <w:rPr>
          <w:rFonts w:ascii="Times New Roman" w:hAnsi="Times New Roman" w:cs="Times New Roman"/>
          <w:sz w:val="24"/>
          <w:szCs w:val="24"/>
        </w:rPr>
        <w:t>thioesterases</w:t>
      </w:r>
      <w:proofErr w:type="spellEnd"/>
      <w:r w:rsidRPr="001D1F5B">
        <w:rPr>
          <w:rFonts w:ascii="Times New Roman" w:hAnsi="Times New Roman" w:cs="Times New Roman"/>
          <w:sz w:val="24"/>
          <w:szCs w:val="24"/>
        </w:rPr>
        <w:t xml:space="preserve"> were detected and could be involved in digesting ester-linked fatty acyl groups from microbial cell wall proteins during lysosomal-mediated degradation.  </w:t>
      </w:r>
    </w:p>
    <w:p w:rsidR="0083750D" w:rsidRDefault="0083750D" w:rsidP="0083750D">
      <w:pPr>
        <w:rPr>
          <w:rFonts w:ascii="Times New Roman" w:hAnsi="Times New Roman" w:cs="Times New Roman"/>
          <w:b/>
          <w:sz w:val="24"/>
          <w:szCs w:val="24"/>
        </w:rPr>
      </w:pPr>
      <w:r>
        <w:rPr>
          <w:rFonts w:ascii="Times New Roman" w:hAnsi="Times New Roman" w:cs="Times New Roman"/>
          <w:b/>
          <w:sz w:val="24"/>
          <w:szCs w:val="24"/>
        </w:rPr>
        <w:lastRenderedPageBreak/>
        <w:t>Sterol synthesis:</w:t>
      </w:r>
    </w:p>
    <w:p w:rsidR="0083750D" w:rsidRPr="001D1F5B" w:rsidRDefault="0083750D" w:rsidP="0083750D">
      <w:pPr>
        <w:spacing w:after="0" w:line="480" w:lineRule="auto"/>
        <w:ind w:firstLine="720"/>
        <w:rPr>
          <w:rFonts w:ascii="Times New Roman" w:hAnsi="Times New Roman" w:cs="Times New Roman"/>
          <w:sz w:val="24"/>
          <w:szCs w:val="24"/>
        </w:rPr>
      </w:pPr>
      <w:r w:rsidRPr="001D1F5B">
        <w:rPr>
          <w:rFonts w:ascii="Times New Roman" w:hAnsi="Times New Roman" w:cs="Times New Roman"/>
          <w:sz w:val="24"/>
          <w:szCs w:val="24"/>
        </w:rPr>
        <w:t xml:space="preserve">Although the sterol synthesis pathway is blocked at several steps in insects, </w:t>
      </w:r>
      <w:r w:rsidRPr="001D1F5B">
        <w:rPr>
          <w:rFonts w:ascii="Times New Roman" w:hAnsi="Times New Roman" w:cs="Times New Roman"/>
          <w:i/>
          <w:sz w:val="24"/>
          <w:szCs w:val="24"/>
        </w:rPr>
        <w:t>A. glabripennis</w:t>
      </w:r>
      <w:r w:rsidRPr="001D1F5B">
        <w:rPr>
          <w:rFonts w:ascii="Times New Roman" w:hAnsi="Times New Roman" w:cs="Times New Roman"/>
          <w:sz w:val="24"/>
          <w:szCs w:val="24"/>
        </w:rPr>
        <w:t xml:space="preserve"> and most other insects still maintain partial cholesterol synthesis pathways, many of which are still transcriptionally and translationally active.  Because these pathways are blocked, insects usually have to acquire cholesterol from their diet or rely on symbiotic microbes for their production.  Several transcripts predicted to encode </w:t>
      </w:r>
      <w:proofErr w:type="spellStart"/>
      <w:r w:rsidRPr="001D1F5B">
        <w:rPr>
          <w:rFonts w:ascii="Times New Roman" w:hAnsi="Times New Roman" w:cs="Times New Roman"/>
          <w:sz w:val="24"/>
          <w:szCs w:val="24"/>
        </w:rPr>
        <w:t>melvonate</w:t>
      </w:r>
      <w:proofErr w:type="spellEnd"/>
      <w:r w:rsidRPr="001D1F5B">
        <w:rPr>
          <w:rFonts w:ascii="Times New Roman" w:hAnsi="Times New Roman" w:cs="Times New Roman"/>
          <w:sz w:val="24"/>
          <w:szCs w:val="24"/>
        </w:rPr>
        <w:t xml:space="preserve"> pathway enzymes were detected in the midgut, including </w:t>
      </w:r>
      <w:proofErr w:type="spellStart"/>
      <w:r w:rsidRPr="001D1F5B">
        <w:rPr>
          <w:rFonts w:ascii="Times New Roman" w:hAnsi="Times New Roman" w:cs="Times New Roman"/>
          <w:sz w:val="24"/>
          <w:szCs w:val="24"/>
        </w:rPr>
        <w:t>hydroxymethylglutaryl</w:t>
      </w:r>
      <w:proofErr w:type="spellEnd"/>
      <w:r w:rsidRPr="001D1F5B">
        <w:rPr>
          <w:rFonts w:ascii="Times New Roman" w:hAnsi="Times New Roman" w:cs="Times New Roman"/>
          <w:sz w:val="24"/>
          <w:szCs w:val="24"/>
        </w:rPr>
        <w:t>-coA reductase, which catalyzes the first step in the pathway and converts (R)-</w:t>
      </w:r>
      <w:proofErr w:type="spellStart"/>
      <w:r w:rsidRPr="001D1F5B">
        <w:rPr>
          <w:rFonts w:ascii="Times New Roman" w:hAnsi="Times New Roman" w:cs="Times New Roman"/>
          <w:sz w:val="24"/>
          <w:szCs w:val="24"/>
        </w:rPr>
        <w:t>melvonate</w:t>
      </w:r>
      <w:proofErr w:type="spellEnd"/>
      <w:r w:rsidRPr="001D1F5B">
        <w:rPr>
          <w:rFonts w:ascii="Times New Roman" w:hAnsi="Times New Roman" w:cs="Times New Roman"/>
          <w:sz w:val="24"/>
          <w:szCs w:val="24"/>
        </w:rPr>
        <w:t xml:space="preserve"> to (S)-3-hydroxy-3-methylglutaryl-CoA.    Other transcripts predicted to encode enzymes from this pathway included transcripts annotated as farnesyl </w:t>
      </w:r>
      <w:proofErr w:type="spellStart"/>
      <w:r w:rsidRPr="001D1F5B">
        <w:rPr>
          <w:rFonts w:ascii="Times New Roman" w:hAnsi="Times New Roman" w:cs="Times New Roman"/>
          <w:sz w:val="24"/>
          <w:szCs w:val="24"/>
        </w:rPr>
        <w:t>pyrophosphatase</w:t>
      </w:r>
      <w:proofErr w:type="spellEnd"/>
      <w:r w:rsidRPr="001D1F5B">
        <w:rPr>
          <w:rFonts w:ascii="Times New Roman" w:hAnsi="Times New Roman" w:cs="Times New Roman"/>
          <w:sz w:val="24"/>
          <w:szCs w:val="24"/>
        </w:rPr>
        <w:t xml:space="preserve">, </w:t>
      </w:r>
      <w:proofErr w:type="spellStart"/>
      <w:r w:rsidRPr="001D1F5B">
        <w:rPr>
          <w:rFonts w:ascii="Times New Roman" w:hAnsi="Times New Roman" w:cs="Times New Roman"/>
          <w:sz w:val="24"/>
          <w:szCs w:val="24"/>
        </w:rPr>
        <w:t>isopentenyl-diphosphate</w:t>
      </w:r>
      <w:proofErr w:type="spellEnd"/>
      <w:r w:rsidRPr="001D1F5B">
        <w:rPr>
          <w:rFonts w:ascii="Times New Roman" w:hAnsi="Times New Roman" w:cs="Times New Roman"/>
          <w:sz w:val="24"/>
          <w:szCs w:val="24"/>
        </w:rPr>
        <w:t xml:space="preserve"> delta-isomerase (IPP</w:t>
      </w:r>
      <w:proofErr w:type="gramStart"/>
      <w:r w:rsidRPr="001D1F5B">
        <w:rPr>
          <w:rFonts w:ascii="Times New Roman" w:hAnsi="Times New Roman" w:cs="Times New Roman"/>
          <w:sz w:val="24"/>
          <w:szCs w:val="24"/>
        </w:rPr>
        <w:t>:DMAPP</w:t>
      </w:r>
      <w:proofErr w:type="gramEnd"/>
      <w:r w:rsidRPr="001D1F5B">
        <w:rPr>
          <w:rFonts w:ascii="Times New Roman" w:hAnsi="Times New Roman" w:cs="Times New Roman"/>
          <w:sz w:val="24"/>
          <w:szCs w:val="24"/>
        </w:rPr>
        <w:t xml:space="preserve">), 24-dehydrocholesterol reductases, 3-hydroxy-3-methylglutaryl coenzyme A synthase, and estradiol 17 beta-dehydrogenase.  In addition, despite their prolific roles in detoxification pathways, cytochrome P450s and carboxylesterases could potentially participate in cholesterol synthesis or the conversion of plant phytosterols or microbial-derived ergosterols into sterols and, eventually, into pheromones.  </w:t>
      </w:r>
      <w:r w:rsidR="00D95B67">
        <w:rPr>
          <w:rFonts w:ascii="Times New Roman" w:hAnsi="Times New Roman" w:cs="Times New Roman"/>
          <w:sz w:val="24"/>
          <w:szCs w:val="24"/>
        </w:rPr>
        <w:t xml:space="preserve">Additionally, many transcripts with sterol-sensing or </w:t>
      </w:r>
      <w:proofErr w:type="spellStart"/>
      <w:r w:rsidR="00D95B67">
        <w:rPr>
          <w:rFonts w:ascii="Times New Roman" w:hAnsi="Times New Roman" w:cs="Times New Roman"/>
          <w:sz w:val="24"/>
          <w:szCs w:val="24"/>
        </w:rPr>
        <w:t>oxysterol</w:t>
      </w:r>
      <w:proofErr w:type="spellEnd"/>
      <w:r w:rsidR="00D95B67">
        <w:rPr>
          <w:rFonts w:ascii="Times New Roman" w:hAnsi="Times New Roman" w:cs="Times New Roman"/>
          <w:sz w:val="24"/>
          <w:szCs w:val="24"/>
        </w:rPr>
        <w:t xml:space="preserve"> binding domains were also detected and may play key roles in metabolizing pheromones or internalizing ergosterols or phytosterols acquired from fungal symbionts or plants, respectively.  </w:t>
      </w:r>
    </w:p>
    <w:p w:rsidR="002D2A49" w:rsidRPr="001D1F5B" w:rsidRDefault="002D2A49" w:rsidP="002D2A49">
      <w:pPr>
        <w:spacing w:after="0" w:line="480" w:lineRule="auto"/>
        <w:rPr>
          <w:rFonts w:ascii="Times New Roman" w:hAnsi="Times New Roman" w:cs="Times New Roman"/>
          <w:b/>
          <w:sz w:val="24"/>
          <w:szCs w:val="24"/>
        </w:rPr>
      </w:pPr>
      <w:r w:rsidRPr="001D1F5B">
        <w:rPr>
          <w:rFonts w:ascii="Times New Roman" w:hAnsi="Times New Roman" w:cs="Times New Roman"/>
          <w:b/>
          <w:sz w:val="24"/>
          <w:szCs w:val="24"/>
        </w:rPr>
        <w:t>Fatty Acid Synthesis:</w:t>
      </w:r>
    </w:p>
    <w:p w:rsidR="002D2A49" w:rsidRPr="001D1F5B" w:rsidRDefault="002D2A49" w:rsidP="002D2A4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fatty acids, </w:t>
      </w:r>
      <w:r w:rsidRPr="001D1F5B">
        <w:rPr>
          <w:rFonts w:ascii="Times New Roman" w:hAnsi="Times New Roman" w:cs="Times New Roman"/>
          <w:sz w:val="24"/>
          <w:szCs w:val="24"/>
        </w:rPr>
        <w:t>sterol esters</w:t>
      </w:r>
      <w:r>
        <w:rPr>
          <w:rFonts w:ascii="Times New Roman" w:hAnsi="Times New Roman" w:cs="Times New Roman"/>
          <w:sz w:val="24"/>
          <w:szCs w:val="24"/>
        </w:rPr>
        <w:t>, and waxes</w:t>
      </w:r>
      <w:r w:rsidRPr="001D1F5B">
        <w:rPr>
          <w:rFonts w:ascii="Times New Roman" w:hAnsi="Times New Roman" w:cs="Times New Roman"/>
          <w:sz w:val="24"/>
          <w:szCs w:val="24"/>
        </w:rPr>
        <w:t xml:space="preserve"> can be found in the sapwood of deciduous host trees w</w:t>
      </w:r>
      <w:r>
        <w:rPr>
          <w:rFonts w:ascii="Times New Roman" w:hAnsi="Times New Roman" w:cs="Times New Roman"/>
          <w:sz w:val="24"/>
          <w:szCs w:val="24"/>
        </w:rPr>
        <w:t>h</w:t>
      </w:r>
      <w:r w:rsidRPr="001D1F5B">
        <w:rPr>
          <w:rFonts w:ascii="Times New Roman" w:hAnsi="Times New Roman" w:cs="Times New Roman"/>
          <w:sz w:val="24"/>
          <w:szCs w:val="24"/>
        </w:rPr>
        <w:t xml:space="preserve">ere </w:t>
      </w:r>
      <w:r w:rsidRPr="001D1F5B">
        <w:rPr>
          <w:rFonts w:ascii="Times New Roman" w:hAnsi="Times New Roman" w:cs="Times New Roman"/>
          <w:i/>
          <w:sz w:val="24"/>
          <w:szCs w:val="24"/>
        </w:rPr>
        <w:t>A. glabripennis</w:t>
      </w:r>
      <w:r w:rsidRPr="001D1F5B">
        <w:rPr>
          <w:rFonts w:ascii="Times New Roman" w:hAnsi="Times New Roman" w:cs="Times New Roman"/>
          <w:sz w:val="24"/>
          <w:szCs w:val="24"/>
        </w:rPr>
        <w:t xml:space="preserve"> larvae initially </w:t>
      </w:r>
      <w:r>
        <w:rPr>
          <w:rFonts w:ascii="Times New Roman" w:hAnsi="Times New Roman" w:cs="Times New Roman"/>
          <w:sz w:val="24"/>
          <w:szCs w:val="24"/>
        </w:rPr>
        <w:t xml:space="preserve">feed </w:t>
      </w:r>
      <w:r w:rsidRPr="001D1F5B">
        <w:rPr>
          <w:rFonts w:ascii="Times New Roman" w:hAnsi="Times New Roman" w:cs="Times New Roman"/>
          <w:sz w:val="24"/>
          <w:szCs w:val="24"/>
        </w:rPr>
        <w:t>after hatching, they are present in very low levels in the heartwood were older larvae grow and develop</w:t>
      </w:r>
      <w:r>
        <w:rPr>
          <w:rFonts w:ascii="Times New Roman" w:hAnsi="Times New Roman" w:cs="Times New Roman"/>
          <w:sz w:val="24"/>
          <w:szCs w:val="24"/>
        </w:rPr>
        <w:t xml:space="preserve"> {Leone, 1998 #2600} </w:t>
      </w:r>
      <w:r w:rsidRPr="001D1F5B">
        <w:rPr>
          <w:rFonts w:ascii="Times New Roman" w:hAnsi="Times New Roman" w:cs="Times New Roman"/>
          <w:sz w:val="24"/>
          <w:szCs w:val="24"/>
        </w:rPr>
        <w:t xml:space="preserve">.  Thus, older larvae must have mechanisms in place to conserve or recycle fatty acids or synthesize them from compounds present in the heartwood.  We have previously shown that yeasts associated with the gut possess the machinery to convert xylose and other sugars to acetate, which can be used as </w:t>
      </w:r>
      <w:r w:rsidRPr="001D1F5B">
        <w:rPr>
          <w:rFonts w:ascii="Times New Roman" w:hAnsi="Times New Roman" w:cs="Times New Roman"/>
          <w:sz w:val="24"/>
          <w:szCs w:val="24"/>
        </w:rPr>
        <w:lastRenderedPageBreak/>
        <w:t xml:space="preserve">building blocks for fatty acid production by </w:t>
      </w:r>
      <w:r w:rsidRPr="001D1F5B">
        <w:rPr>
          <w:rFonts w:ascii="Times New Roman" w:hAnsi="Times New Roman" w:cs="Times New Roman"/>
          <w:i/>
          <w:sz w:val="24"/>
          <w:szCs w:val="24"/>
        </w:rPr>
        <w:t>A. glabripennis</w:t>
      </w:r>
      <w:r w:rsidRPr="001D1F5B">
        <w:rPr>
          <w:rFonts w:ascii="Times New Roman" w:hAnsi="Times New Roman" w:cs="Times New Roman"/>
          <w:sz w:val="24"/>
          <w:szCs w:val="24"/>
        </w:rPr>
        <w:t xml:space="preserve"> (Scully et al, submitted). </w:t>
      </w:r>
      <w:r w:rsidRPr="001D1F5B">
        <w:rPr>
          <w:rFonts w:ascii="Times New Roman" w:hAnsi="Times New Roman" w:cs="Times New Roman"/>
          <w:i/>
          <w:sz w:val="24"/>
          <w:szCs w:val="24"/>
        </w:rPr>
        <w:t>A. glabripennis</w:t>
      </w:r>
      <w:r w:rsidRPr="001D1F5B">
        <w:rPr>
          <w:rFonts w:ascii="Times New Roman" w:hAnsi="Times New Roman" w:cs="Times New Roman"/>
          <w:sz w:val="24"/>
          <w:szCs w:val="24"/>
        </w:rPr>
        <w:t xml:space="preserve"> is capable of converting acetate and pyruvate produced by gut microbes (or through glycolysis) to acetyl </w:t>
      </w:r>
      <w:proofErr w:type="gramStart"/>
      <w:r w:rsidRPr="001D1F5B">
        <w:rPr>
          <w:rFonts w:ascii="Times New Roman" w:hAnsi="Times New Roman" w:cs="Times New Roman"/>
          <w:sz w:val="24"/>
          <w:szCs w:val="24"/>
        </w:rPr>
        <w:t>coA</w:t>
      </w:r>
      <w:proofErr w:type="gramEnd"/>
      <w:r w:rsidRPr="001D1F5B">
        <w:rPr>
          <w:rFonts w:ascii="Times New Roman" w:hAnsi="Times New Roman" w:cs="Times New Roman"/>
          <w:sz w:val="24"/>
          <w:szCs w:val="24"/>
        </w:rPr>
        <w:t xml:space="preserve"> through acetyl-CoA carboxylases and pyruvate decarboxylases respectively.  </w:t>
      </w:r>
    </w:p>
    <w:p w:rsidR="002D2A49" w:rsidRPr="001D1F5B" w:rsidRDefault="002D2A49" w:rsidP="002D2A49">
      <w:pPr>
        <w:spacing w:after="0" w:line="480" w:lineRule="auto"/>
        <w:ind w:firstLine="720"/>
        <w:rPr>
          <w:rFonts w:ascii="Times New Roman" w:hAnsi="Times New Roman" w:cs="Times New Roman"/>
          <w:sz w:val="24"/>
          <w:szCs w:val="24"/>
        </w:rPr>
      </w:pPr>
      <w:r w:rsidRPr="001D1F5B">
        <w:rPr>
          <w:rFonts w:ascii="Times New Roman" w:hAnsi="Times New Roman" w:cs="Times New Roman"/>
          <w:sz w:val="24"/>
          <w:szCs w:val="24"/>
        </w:rPr>
        <w:t xml:space="preserve">However, an alternate mechanism for converting components of chloroplasts into medium-chain fatty acids was detected in the </w:t>
      </w:r>
      <w:r w:rsidRPr="001D1F5B">
        <w:rPr>
          <w:rFonts w:ascii="Times New Roman" w:hAnsi="Times New Roman" w:cs="Times New Roman"/>
          <w:i/>
          <w:sz w:val="24"/>
          <w:szCs w:val="24"/>
        </w:rPr>
        <w:t>A. glabripennis</w:t>
      </w:r>
      <w:r w:rsidRPr="001D1F5B">
        <w:rPr>
          <w:rFonts w:ascii="Times New Roman" w:hAnsi="Times New Roman" w:cs="Times New Roman"/>
          <w:sz w:val="24"/>
          <w:szCs w:val="24"/>
        </w:rPr>
        <w:t xml:space="preserve"> midgut transcriptome, which may allow the insect to synthesize fatty acids without the aid of gut microbes.  Several transcripts predicted to encode 2-hydroxyphytanoyl-coA ligase were </w:t>
      </w:r>
      <w:r w:rsidR="00DE14CC">
        <w:rPr>
          <w:rFonts w:ascii="Times New Roman" w:hAnsi="Times New Roman" w:cs="Times New Roman"/>
          <w:sz w:val="24"/>
          <w:szCs w:val="24"/>
        </w:rPr>
        <w:t xml:space="preserve">detected in the midgut, which can be </w:t>
      </w:r>
      <w:r w:rsidRPr="001D1F5B">
        <w:rPr>
          <w:rFonts w:ascii="Times New Roman" w:hAnsi="Times New Roman" w:cs="Times New Roman"/>
          <w:sz w:val="24"/>
          <w:szCs w:val="24"/>
        </w:rPr>
        <w:t xml:space="preserve">intricately involved releasing </w:t>
      </w:r>
      <w:proofErr w:type="spellStart"/>
      <w:r w:rsidRPr="001D1F5B">
        <w:rPr>
          <w:rFonts w:ascii="Times New Roman" w:hAnsi="Times New Roman" w:cs="Times New Roman"/>
          <w:sz w:val="24"/>
          <w:szCs w:val="24"/>
        </w:rPr>
        <w:t>phytol</w:t>
      </w:r>
      <w:proofErr w:type="spellEnd"/>
      <w:r w:rsidRPr="001D1F5B">
        <w:rPr>
          <w:rFonts w:ascii="Times New Roman" w:hAnsi="Times New Roman" w:cs="Times New Roman"/>
          <w:sz w:val="24"/>
          <w:szCs w:val="24"/>
        </w:rPr>
        <w:t xml:space="preserve"> (a component of chlorophyll) through the fermentation of plant materials</w:t>
      </w:r>
      <w:r>
        <w:rPr>
          <w:rFonts w:ascii="Times New Roman" w:hAnsi="Times New Roman" w:cs="Times New Roman"/>
          <w:sz w:val="24"/>
          <w:szCs w:val="24"/>
        </w:rPr>
        <w:t xml:space="preserve"> in many rumen-associated bacteria.</w:t>
      </w:r>
      <w:r w:rsidRPr="001D1F5B">
        <w:rPr>
          <w:rFonts w:ascii="Times New Roman" w:hAnsi="Times New Roman" w:cs="Times New Roman"/>
          <w:sz w:val="24"/>
          <w:szCs w:val="24"/>
        </w:rPr>
        <w:t xml:space="preserve"> Through a series of reactions involving α-oxidation and </w:t>
      </w:r>
      <w:proofErr w:type="spellStart"/>
      <w:r w:rsidRPr="001D1F5B">
        <w:rPr>
          <w:rFonts w:ascii="Times New Roman" w:hAnsi="Times New Roman" w:cs="Times New Roman"/>
          <w:sz w:val="24"/>
          <w:szCs w:val="24"/>
        </w:rPr>
        <w:t>peroxisomal</w:t>
      </w:r>
      <w:proofErr w:type="spellEnd"/>
      <w:r w:rsidRPr="001D1F5B">
        <w:rPr>
          <w:rFonts w:ascii="Times New Roman" w:hAnsi="Times New Roman" w:cs="Times New Roman"/>
          <w:sz w:val="24"/>
          <w:szCs w:val="24"/>
        </w:rPr>
        <w:t xml:space="preserve"> enzymes, </w:t>
      </w:r>
      <w:proofErr w:type="spellStart"/>
      <w:r w:rsidRPr="001D1F5B">
        <w:rPr>
          <w:rFonts w:ascii="Times New Roman" w:hAnsi="Times New Roman" w:cs="Times New Roman"/>
          <w:sz w:val="24"/>
          <w:szCs w:val="24"/>
        </w:rPr>
        <w:t>phytol</w:t>
      </w:r>
      <w:proofErr w:type="spellEnd"/>
      <w:r w:rsidRPr="001D1F5B">
        <w:rPr>
          <w:rFonts w:ascii="Times New Roman" w:hAnsi="Times New Roman" w:cs="Times New Roman"/>
          <w:sz w:val="24"/>
          <w:szCs w:val="24"/>
        </w:rPr>
        <w:t xml:space="preserve"> is converted to </w:t>
      </w:r>
      <w:proofErr w:type="spellStart"/>
      <w:r w:rsidRPr="001D1F5B">
        <w:rPr>
          <w:rFonts w:ascii="Times New Roman" w:hAnsi="Times New Roman" w:cs="Times New Roman"/>
          <w:sz w:val="24"/>
          <w:szCs w:val="24"/>
        </w:rPr>
        <w:t>phytanoic</w:t>
      </w:r>
      <w:proofErr w:type="spellEnd"/>
      <w:r w:rsidRPr="001D1F5B">
        <w:rPr>
          <w:rFonts w:ascii="Times New Roman" w:hAnsi="Times New Roman" w:cs="Times New Roman"/>
          <w:sz w:val="24"/>
          <w:szCs w:val="24"/>
        </w:rPr>
        <w:t xml:space="preserve"> acid and eventually into </w:t>
      </w:r>
      <w:proofErr w:type="spellStart"/>
      <w:r w:rsidRPr="001D1F5B">
        <w:rPr>
          <w:rFonts w:ascii="Times New Roman" w:hAnsi="Times New Roman" w:cs="Times New Roman"/>
          <w:sz w:val="24"/>
          <w:szCs w:val="24"/>
        </w:rPr>
        <w:t>pristanic</w:t>
      </w:r>
      <w:proofErr w:type="spellEnd"/>
      <w:r w:rsidRPr="001D1F5B">
        <w:rPr>
          <w:rFonts w:ascii="Times New Roman" w:hAnsi="Times New Roman" w:cs="Times New Roman"/>
          <w:sz w:val="24"/>
          <w:szCs w:val="24"/>
        </w:rPr>
        <w:t xml:space="preserve"> acid, which can be incorporated into medium chain fatty acids.  </w:t>
      </w:r>
      <w:r>
        <w:rPr>
          <w:rFonts w:ascii="Times New Roman" w:hAnsi="Times New Roman" w:cs="Times New Roman"/>
          <w:sz w:val="24"/>
          <w:szCs w:val="24"/>
        </w:rPr>
        <w:t xml:space="preserve">Although the cells found in heartwood are typically empty and dead, cells found in the sapwood and cambium contain a mixture of live and dead cells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&lt;EndNote&gt;&lt;Cite&gt;&lt;Author&gt;Saranpää&lt;/Author&gt;&lt;Year&gt;1988&lt;/Year&gt;&lt;RecNum&gt;2590&lt;/RecNum&gt;&lt;DisplayText&gt;[152]&lt;/DisplayText&gt;&lt;record&gt;&lt;rec-number&gt;2590&lt;/rec-number&gt;&lt;foreign-keys&gt;&lt;key app="EN" db-id="fwszd2wf6rxw9oeddsrpxt0nr9eeef0r9x0f"&gt;2590&lt;/key&gt;&lt;/foreign-keys&gt;&lt;ref-type name="Journal Article"&gt;17&lt;/ref-type&gt;&lt;contributors&gt;&lt;authors&gt;&lt;author&gt;Saranpää, Pekka&lt;/author&gt;&lt;/authors&gt;&lt;/contributors&gt;&lt;titles&gt;&lt;title&gt;Plastids and glycolipids in the stemwood of Pinus sylvestris L&lt;/title&gt;&lt;secondary-title&gt;Trees&lt;/secondary-title&gt;&lt;/titles&gt;&lt;periodical&gt;&lt;full-title&gt;Trees&lt;/full-title&gt;&lt;/periodical&gt;&lt;pages&gt;180-187&lt;/pages&gt;&lt;volume&gt;2&lt;/volume&gt;&lt;number&gt;3&lt;/number&gt;&lt;dates&gt;&lt;year&gt;1988&lt;/year&gt;&lt;/dates&gt;&lt;isbn&gt;0931-1890&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152" w:tooltip="Saranpää, 1988 #2590" w:history="1">
        <w:r>
          <w:rPr>
            <w:rFonts w:ascii="Times New Roman" w:hAnsi="Times New Roman" w:cs="Times New Roman"/>
            <w:noProof/>
            <w:sz w:val="24"/>
            <w:szCs w:val="24"/>
          </w:rPr>
          <w:t>152</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and may still contain remnants of chloroplasts that could be used as a source of nutrients by </w:t>
      </w:r>
      <w:r w:rsidRPr="0077374D">
        <w:rPr>
          <w:rFonts w:ascii="Times New Roman" w:hAnsi="Times New Roman" w:cs="Times New Roman"/>
          <w:i/>
          <w:sz w:val="24"/>
          <w:szCs w:val="24"/>
        </w:rPr>
        <w:t>A. glabripennis</w:t>
      </w:r>
      <w:r>
        <w:rPr>
          <w:rFonts w:ascii="Times New Roman" w:hAnsi="Times New Roman" w:cs="Times New Roman"/>
          <w:sz w:val="24"/>
          <w:szCs w:val="24"/>
        </w:rPr>
        <w:t xml:space="preserve">.  </w:t>
      </w:r>
      <w:r w:rsidRPr="001D1F5B">
        <w:rPr>
          <w:rFonts w:ascii="Times New Roman" w:hAnsi="Times New Roman" w:cs="Times New Roman"/>
          <w:sz w:val="24"/>
          <w:szCs w:val="24"/>
        </w:rPr>
        <w:t xml:space="preserve">Full suites of transcripts predicted to encode enzymes involved in fatty acid synthesis and storage were detected in the midgut transcriptome, including fatty acid synthases, fatty acid </w:t>
      </w:r>
      <w:proofErr w:type="spellStart"/>
      <w:r w:rsidRPr="001D1F5B">
        <w:rPr>
          <w:rFonts w:ascii="Times New Roman" w:hAnsi="Times New Roman" w:cs="Times New Roman"/>
          <w:sz w:val="24"/>
          <w:szCs w:val="24"/>
        </w:rPr>
        <w:t>elongases</w:t>
      </w:r>
      <w:proofErr w:type="spellEnd"/>
      <w:r w:rsidRPr="001D1F5B">
        <w:rPr>
          <w:rFonts w:ascii="Times New Roman" w:hAnsi="Times New Roman" w:cs="Times New Roman"/>
          <w:sz w:val="24"/>
          <w:szCs w:val="24"/>
        </w:rPr>
        <w:t xml:space="preserve">, phospholipid synthesis proteins, </w:t>
      </w:r>
      <w:r>
        <w:rPr>
          <w:rFonts w:ascii="Times New Roman" w:hAnsi="Times New Roman" w:cs="Times New Roman"/>
          <w:sz w:val="24"/>
          <w:szCs w:val="24"/>
        </w:rPr>
        <w:t xml:space="preserve">fatty acid </w:t>
      </w:r>
      <w:proofErr w:type="spellStart"/>
      <w:r>
        <w:rPr>
          <w:rFonts w:ascii="Times New Roman" w:hAnsi="Times New Roman" w:cs="Times New Roman"/>
          <w:sz w:val="24"/>
          <w:szCs w:val="24"/>
        </w:rPr>
        <w:t>desaturases</w:t>
      </w:r>
      <w:proofErr w:type="spellEnd"/>
      <w:r>
        <w:rPr>
          <w:rFonts w:ascii="Times New Roman" w:hAnsi="Times New Roman" w:cs="Times New Roman"/>
          <w:sz w:val="24"/>
          <w:szCs w:val="24"/>
        </w:rPr>
        <w:t xml:space="preserve"> </w:t>
      </w:r>
      <w:r w:rsidRPr="001D1F5B">
        <w:rPr>
          <w:rFonts w:ascii="Times New Roman" w:hAnsi="Times New Roman" w:cs="Times New Roman"/>
          <w:sz w:val="24"/>
          <w:szCs w:val="24"/>
        </w:rPr>
        <w:t xml:space="preserve">and triglyceride synthesis proteins (Figure Fatty Acid).  </w:t>
      </w:r>
    </w:p>
    <w:p w:rsidR="00A325A2" w:rsidRDefault="00A325A2">
      <w:pPr>
        <w:rPr>
          <w:rFonts w:ascii="Times New Roman" w:hAnsi="Times New Roman" w:cs="Times New Roman"/>
          <w:b/>
          <w:sz w:val="24"/>
          <w:szCs w:val="24"/>
        </w:rPr>
      </w:pPr>
    </w:p>
    <w:p w:rsidR="00A325A2" w:rsidRDefault="00A325A2">
      <w:pPr>
        <w:rPr>
          <w:rFonts w:ascii="Times New Roman" w:hAnsi="Times New Roman" w:cs="Times New Roman"/>
          <w:b/>
          <w:sz w:val="24"/>
          <w:szCs w:val="24"/>
        </w:rPr>
      </w:pPr>
    </w:p>
    <w:p w:rsidR="00A325A2" w:rsidRDefault="00A325A2">
      <w:pPr>
        <w:rPr>
          <w:rFonts w:ascii="Times New Roman" w:hAnsi="Times New Roman" w:cs="Times New Roman"/>
          <w:b/>
          <w:sz w:val="24"/>
          <w:szCs w:val="24"/>
        </w:rPr>
      </w:pPr>
    </w:p>
    <w:p w:rsidR="00A325A2" w:rsidRDefault="00A325A2">
      <w:pPr>
        <w:rPr>
          <w:rFonts w:ascii="Times New Roman" w:hAnsi="Times New Roman" w:cs="Times New Roman"/>
          <w:b/>
          <w:sz w:val="24"/>
          <w:szCs w:val="24"/>
        </w:rPr>
      </w:pPr>
    </w:p>
    <w:p w:rsidR="00A325A2" w:rsidRDefault="00A325A2">
      <w:pPr>
        <w:rPr>
          <w:rFonts w:ascii="Times New Roman" w:hAnsi="Times New Roman" w:cs="Times New Roman"/>
          <w:b/>
          <w:sz w:val="24"/>
          <w:szCs w:val="24"/>
        </w:rPr>
      </w:pPr>
    </w:p>
    <w:p w:rsidR="00A325A2" w:rsidRDefault="00A325A2">
      <w:pPr>
        <w:rPr>
          <w:rFonts w:ascii="Times New Roman" w:hAnsi="Times New Roman" w:cs="Times New Roman"/>
          <w:b/>
          <w:sz w:val="24"/>
          <w:szCs w:val="24"/>
        </w:rPr>
      </w:pPr>
    </w:p>
    <w:p w:rsidR="00CB70E0" w:rsidRPr="00AB049A" w:rsidRDefault="00AB049A">
      <w:pPr>
        <w:rPr>
          <w:rFonts w:ascii="Times New Roman" w:hAnsi="Times New Roman" w:cs="Times New Roman"/>
          <w:b/>
          <w:sz w:val="24"/>
          <w:szCs w:val="24"/>
        </w:rPr>
      </w:pPr>
      <w:r>
        <w:rPr>
          <w:rFonts w:ascii="Times New Roman" w:hAnsi="Times New Roman" w:cs="Times New Roman"/>
          <w:b/>
          <w:sz w:val="24"/>
          <w:szCs w:val="24"/>
        </w:rPr>
        <w:lastRenderedPageBreak/>
        <w:t>Supplemental Figures</w:t>
      </w:r>
      <w:r w:rsidRPr="00AB049A">
        <w:rPr>
          <w:rFonts w:ascii="Times New Roman" w:hAnsi="Times New Roman" w:cs="Times New Roman"/>
          <w:b/>
          <w:sz w:val="24"/>
          <w:szCs w:val="24"/>
        </w:rPr>
        <w:t>:</w:t>
      </w:r>
    </w:p>
    <w:p w:rsidR="00A325A2" w:rsidRDefault="00A325A2" w:rsidP="00A325A2">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83FF350" wp14:editId="48663FEB">
            <wp:extent cx="5577840" cy="3882136"/>
            <wp:effectExtent l="0" t="0" r="381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lFigure1.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77840" cy="3882136"/>
                    </a:xfrm>
                    <a:prstGeom prst="rect">
                      <a:avLst/>
                    </a:prstGeom>
                  </pic:spPr>
                </pic:pic>
              </a:graphicData>
            </a:graphic>
          </wp:inline>
        </w:drawing>
      </w:r>
    </w:p>
    <w:p w:rsidR="00A325A2" w:rsidRDefault="00A325A2" w:rsidP="00A325A2">
      <w:pPr>
        <w:jc w:val="center"/>
        <w:rPr>
          <w:rFonts w:ascii="Times New Roman" w:hAnsi="Times New Roman" w:cs="Times New Roman"/>
          <w:sz w:val="24"/>
          <w:szCs w:val="24"/>
        </w:rPr>
      </w:pPr>
    </w:p>
    <w:p w:rsidR="009F38F8" w:rsidRDefault="009F38F8" w:rsidP="00A325A2">
      <w:pPr>
        <w:jc w:val="center"/>
        <w:rPr>
          <w:rFonts w:ascii="Times New Roman" w:hAnsi="Times New Roman" w:cs="Times New Roman"/>
          <w:sz w:val="24"/>
          <w:szCs w:val="24"/>
        </w:rPr>
      </w:pPr>
      <w:r>
        <w:rPr>
          <w:rFonts w:ascii="Times New Roman" w:hAnsi="Times New Roman" w:cs="Times New Roman"/>
          <w:sz w:val="24"/>
          <w:szCs w:val="24"/>
        </w:rPr>
        <w:t xml:space="preserve">Figure S1.  </w:t>
      </w:r>
      <w:r w:rsidRPr="009F38F8">
        <w:rPr>
          <w:rFonts w:ascii="Times New Roman" w:hAnsi="Times New Roman" w:cs="Times New Roman"/>
          <w:sz w:val="24"/>
          <w:szCs w:val="24"/>
        </w:rPr>
        <w:t>KOG assignments for transcripts with predicted signal peptides</w:t>
      </w:r>
      <w:r>
        <w:rPr>
          <w:rFonts w:ascii="Times New Roman" w:hAnsi="Times New Roman" w:cs="Times New Roman"/>
          <w:sz w:val="24"/>
          <w:szCs w:val="24"/>
        </w:rPr>
        <w:t>.</w:t>
      </w:r>
    </w:p>
    <w:p w:rsidR="00A325A2" w:rsidRDefault="00A325A2" w:rsidP="00A325A2">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486400" cy="548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criptome.distribution.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rsidR="00A325A2" w:rsidRDefault="00A325A2" w:rsidP="00A325A2">
      <w:pPr>
        <w:jc w:val="center"/>
        <w:rPr>
          <w:rFonts w:ascii="Times New Roman" w:hAnsi="Times New Roman" w:cs="Times New Roman"/>
          <w:sz w:val="24"/>
          <w:szCs w:val="24"/>
        </w:rPr>
      </w:pPr>
    </w:p>
    <w:p w:rsidR="00AB049A" w:rsidRDefault="009F38F8" w:rsidP="00A325A2">
      <w:pPr>
        <w:jc w:val="center"/>
      </w:pPr>
      <w:r>
        <w:rPr>
          <w:rFonts w:ascii="Times New Roman" w:hAnsi="Times New Roman" w:cs="Times New Roman"/>
          <w:sz w:val="24"/>
          <w:szCs w:val="24"/>
        </w:rPr>
        <w:t>Figure S2</w:t>
      </w:r>
      <w:r w:rsidR="00AB049A">
        <w:rPr>
          <w:rFonts w:ascii="Times New Roman" w:hAnsi="Times New Roman" w:cs="Times New Roman"/>
          <w:sz w:val="24"/>
          <w:szCs w:val="24"/>
        </w:rPr>
        <w:t xml:space="preserve">.  </w:t>
      </w:r>
      <w:proofErr w:type="gramStart"/>
      <w:r w:rsidR="00AB049A">
        <w:rPr>
          <w:rFonts w:ascii="Times New Roman" w:hAnsi="Times New Roman" w:cs="Times New Roman"/>
          <w:sz w:val="24"/>
          <w:szCs w:val="24"/>
        </w:rPr>
        <w:t xml:space="preserve">Length distributions of annotated transcripts and singletons used in transcriptome </w:t>
      </w:r>
      <w:bookmarkStart w:id="0" w:name="_GoBack"/>
      <w:bookmarkEnd w:id="0"/>
      <w:r w:rsidR="00AB049A">
        <w:rPr>
          <w:rFonts w:ascii="Times New Roman" w:hAnsi="Times New Roman" w:cs="Times New Roman"/>
          <w:sz w:val="24"/>
          <w:szCs w:val="24"/>
        </w:rPr>
        <w:t>comparisons.</w:t>
      </w:r>
      <w:proofErr w:type="gramEnd"/>
    </w:p>
    <w:sectPr w:rsidR="00AB04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AB3"/>
    <w:rsid w:val="000A6EB0"/>
    <w:rsid w:val="002D2A49"/>
    <w:rsid w:val="004641DF"/>
    <w:rsid w:val="004A3AB3"/>
    <w:rsid w:val="00795853"/>
    <w:rsid w:val="0083750D"/>
    <w:rsid w:val="008A393E"/>
    <w:rsid w:val="009F38F8"/>
    <w:rsid w:val="00A325A2"/>
    <w:rsid w:val="00AB049A"/>
    <w:rsid w:val="00CB70E0"/>
    <w:rsid w:val="00D95B67"/>
    <w:rsid w:val="00DE1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A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3750D"/>
    <w:rPr>
      <w:sz w:val="16"/>
      <w:szCs w:val="16"/>
    </w:rPr>
  </w:style>
  <w:style w:type="paragraph" w:styleId="CommentText">
    <w:name w:val="annotation text"/>
    <w:basedOn w:val="Normal"/>
    <w:link w:val="CommentTextChar"/>
    <w:uiPriority w:val="99"/>
    <w:semiHidden/>
    <w:unhideWhenUsed/>
    <w:rsid w:val="0083750D"/>
    <w:pPr>
      <w:spacing w:line="240" w:lineRule="auto"/>
    </w:pPr>
    <w:rPr>
      <w:sz w:val="20"/>
      <w:szCs w:val="20"/>
    </w:rPr>
  </w:style>
  <w:style w:type="character" w:customStyle="1" w:styleId="CommentTextChar">
    <w:name w:val="Comment Text Char"/>
    <w:basedOn w:val="DefaultParagraphFont"/>
    <w:link w:val="CommentText"/>
    <w:uiPriority w:val="99"/>
    <w:semiHidden/>
    <w:rsid w:val="0083750D"/>
    <w:rPr>
      <w:sz w:val="20"/>
      <w:szCs w:val="20"/>
    </w:rPr>
  </w:style>
  <w:style w:type="paragraph" w:styleId="BalloonText">
    <w:name w:val="Balloon Text"/>
    <w:basedOn w:val="Normal"/>
    <w:link w:val="BalloonTextChar"/>
    <w:uiPriority w:val="99"/>
    <w:semiHidden/>
    <w:unhideWhenUsed/>
    <w:rsid w:val="008375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5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A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3750D"/>
    <w:rPr>
      <w:sz w:val="16"/>
      <w:szCs w:val="16"/>
    </w:rPr>
  </w:style>
  <w:style w:type="paragraph" w:styleId="CommentText">
    <w:name w:val="annotation text"/>
    <w:basedOn w:val="Normal"/>
    <w:link w:val="CommentTextChar"/>
    <w:uiPriority w:val="99"/>
    <w:semiHidden/>
    <w:unhideWhenUsed/>
    <w:rsid w:val="0083750D"/>
    <w:pPr>
      <w:spacing w:line="240" w:lineRule="auto"/>
    </w:pPr>
    <w:rPr>
      <w:sz w:val="20"/>
      <w:szCs w:val="20"/>
    </w:rPr>
  </w:style>
  <w:style w:type="character" w:customStyle="1" w:styleId="CommentTextChar">
    <w:name w:val="Comment Text Char"/>
    <w:basedOn w:val="DefaultParagraphFont"/>
    <w:link w:val="CommentText"/>
    <w:uiPriority w:val="99"/>
    <w:semiHidden/>
    <w:rsid w:val="0083750D"/>
    <w:rPr>
      <w:sz w:val="20"/>
      <w:szCs w:val="20"/>
    </w:rPr>
  </w:style>
  <w:style w:type="paragraph" w:styleId="BalloonText">
    <w:name w:val="Balloon Text"/>
    <w:basedOn w:val="Normal"/>
    <w:link w:val="BalloonTextChar"/>
    <w:uiPriority w:val="99"/>
    <w:semiHidden/>
    <w:unhideWhenUsed/>
    <w:rsid w:val="008375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5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1456</Words>
  <Characters>8302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dc:creator>
  <cp:lastModifiedBy>Erin</cp:lastModifiedBy>
  <cp:revision>2</cp:revision>
  <dcterms:created xsi:type="dcterms:W3CDTF">2013-11-27T02:02:00Z</dcterms:created>
  <dcterms:modified xsi:type="dcterms:W3CDTF">2013-11-27T02:02:00Z</dcterms:modified>
</cp:coreProperties>
</file>