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3AA" w:rsidRDefault="009433AA" w:rsidP="009433AA">
      <w:pPr>
        <w:ind w:firstLine="0"/>
      </w:pPr>
    </w:p>
    <w:p w:rsidR="009433AA" w:rsidRDefault="00502A28" w:rsidP="009433AA">
      <w:pPr>
        <w:ind w:firstLine="0"/>
      </w:pPr>
      <w:r>
        <w:rPr>
          <w:rFonts w:eastAsia="Times New Roman"/>
          <w:b/>
          <w:color w:val="000000"/>
          <w:lang w:eastAsia="en-GB"/>
        </w:rPr>
        <w:t>Additional file</w:t>
      </w:r>
      <w:r w:rsidR="00BF22B3">
        <w:rPr>
          <w:rFonts w:eastAsia="Times New Roman"/>
          <w:b/>
          <w:color w:val="000000"/>
          <w:lang w:eastAsia="en-GB"/>
        </w:rPr>
        <w:t xml:space="preserve"> 9</w:t>
      </w:r>
      <w:bookmarkStart w:id="0" w:name="_GoBack"/>
      <w:bookmarkEnd w:id="0"/>
      <w:r w:rsidR="009433AA" w:rsidRPr="00762DE3">
        <w:rPr>
          <w:rFonts w:eastAsia="Times New Roman"/>
          <w:b/>
          <w:color w:val="000000"/>
          <w:lang w:eastAsia="en-GB"/>
        </w:rPr>
        <w:t>.</w:t>
      </w:r>
      <w:r w:rsidR="000C1027">
        <w:rPr>
          <w:rFonts w:eastAsia="Times New Roman"/>
          <w:color w:val="000000"/>
          <w:lang w:eastAsia="en-GB"/>
        </w:rPr>
        <w:t xml:space="preserve"> </w:t>
      </w:r>
      <w:r w:rsidR="000C1027" w:rsidRPr="00AA6C0D">
        <w:rPr>
          <w:rFonts w:eastAsia="Times New Roman"/>
          <w:b/>
          <w:color w:val="000000"/>
          <w:lang w:eastAsia="en-GB"/>
        </w:rPr>
        <w:t>Metabolite</w:t>
      </w:r>
      <w:r w:rsidR="009433AA" w:rsidRPr="00AA6C0D">
        <w:rPr>
          <w:rFonts w:eastAsia="Times New Roman"/>
          <w:b/>
          <w:color w:val="000000"/>
          <w:lang w:eastAsia="en-GB"/>
        </w:rPr>
        <w:t xml:space="preserve"> </w:t>
      </w:r>
      <w:r w:rsidR="004A4859">
        <w:rPr>
          <w:rFonts w:eastAsia="Times New Roman"/>
          <w:b/>
          <w:color w:val="000000"/>
          <w:lang w:eastAsia="en-GB"/>
        </w:rPr>
        <w:t>quantification parameters for</w:t>
      </w:r>
      <w:r w:rsidR="009433AA" w:rsidRPr="00AA6C0D">
        <w:rPr>
          <w:rFonts w:eastAsia="Times New Roman"/>
          <w:b/>
          <w:color w:val="000000"/>
          <w:lang w:eastAsia="en-GB"/>
        </w:rPr>
        <w:t xml:space="preserve"> GC-MS</w:t>
      </w:r>
      <w:r w:rsidR="004A4859">
        <w:rPr>
          <w:rFonts w:eastAsia="Times New Roman"/>
          <w:b/>
          <w:color w:val="000000"/>
          <w:lang w:eastAsia="en-GB"/>
        </w:rPr>
        <w:t xml:space="preserve"> analysis</w:t>
      </w:r>
      <w:r w:rsidR="009433AA" w:rsidRPr="00AA6C0D">
        <w:rPr>
          <w:rFonts w:eastAsia="Times New Roman"/>
          <w:b/>
          <w:color w:val="000000"/>
          <w:lang w:eastAsia="en-GB"/>
        </w:rPr>
        <w:t>.</w:t>
      </w:r>
      <w:r w:rsidR="00AA6C0D">
        <w:rPr>
          <w:rFonts w:eastAsia="Times New Roman"/>
          <w:color w:val="000000"/>
          <w:lang w:eastAsia="en-GB"/>
        </w:rPr>
        <w:t xml:space="preserve"> The ‘internal</w:t>
      </w:r>
      <w:r w:rsidR="009433AA" w:rsidRPr="00D527A0">
        <w:rPr>
          <w:rFonts w:eastAsia="Times New Roman"/>
          <w:color w:val="000000"/>
          <w:lang w:eastAsia="en-GB"/>
        </w:rPr>
        <w:t xml:space="preserve"> standard reference’, refers to which internal standard was used for quantification. Target Ion, the MS peak used for quantification and Q1 (qualifier) Ion is the second peak for MS quantification. Relative response refers to the ratio between target Ion and Q1 ion. R</w:t>
      </w:r>
      <w:r w:rsidR="009433AA" w:rsidRPr="00D527A0">
        <w:rPr>
          <w:rFonts w:eastAsia="Times New Roman"/>
          <w:color w:val="000000"/>
          <w:vertAlign w:val="superscript"/>
          <w:lang w:eastAsia="en-GB"/>
        </w:rPr>
        <w:t xml:space="preserve">2 </w:t>
      </w:r>
      <w:r>
        <w:rPr>
          <w:rFonts w:eastAsia="Times New Roman"/>
          <w:color w:val="000000"/>
          <w:lang w:eastAsia="en-GB"/>
        </w:rPr>
        <w:t>is</w:t>
      </w:r>
      <w:r w:rsidR="009433AA" w:rsidRPr="00D527A0">
        <w:rPr>
          <w:rFonts w:eastAsia="Times New Roman"/>
          <w:color w:val="000000"/>
          <w:lang w:eastAsia="en-GB"/>
        </w:rPr>
        <w:t xml:space="preserve"> the</w:t>
      </w:r>
      <w:r>
        <w:rPr>
          <w:rFonts w:eastAsia="Times New Roman"/>
          <w:color w:val="000000"/>
          <w:lang w:eastAsia="en-GB"/>
        </w:rPr>
        <w:t xml:space="preserve"> regression coefficient for the</w:t>
      </w:r>
      <w:r w:rsidR="009433AA" w:rsidRPr="00D527A0">
        <w:rPr>
          <w:rFonts w:eastAsia="Times New Roman"/>
          <w:color w:val="000000"/>
          <w:lang w:eastAsia="en-GB"/>
        </w:rPr>
        <w:t xml:space="preserve"> standard curve using Enhanced data analysis software. * = internal standard</w:t>
      </w:r>
      <w:r>
        <w:rPr>
          <w:rFonts w:eastAsia="Times New Roman"/>
          <w:color w:val="000000"/>
          <w:lang w:eastAsia="en-GB"/>
        </w:rPr>
        <w:t>.</w:t>
      </w:r>
    </w:p>
    <w:tbl>
      <w:tblPr>
        <w:tblW w:w="10224" w:type="dxa"/>
        <w:tblInd w:w="-318" w:type="dxa"/>
        <w:tblLook w:val="04A0" w:firstRow="1" w:lastRow="0" w:firstColumn="1" w:lastColumn="0" w:noHBand="0" w:noVBand="1"/>
      </w:tblPr>
      <w:tblGrid>
        <w:gridCol w:w="1951"/>
        <w:gridCol w:w="1841"/>
        <w:gridCol w:w="1316"/>
        <w:gridCol w:w="1005"/>
        <w:gridCol w:w="757"/>
        <w:gridCol w:w="1485"/>
        <w:gridCol w:w="864"/>
        <w:gridCol w:w="1005"/>
      </w:tblGrid>
      <w:tr w:rsidR="009433AA" w:rsidRPr="00D23C18" w:rsidTr="00996E77">
        <w:trPr>
          <w:cantSplit/>
          <w:trHeight w:val="340"/>
        </w:trPr>
        <w:tc>
          <w:tcPr>
            <w:tcW w:w="1864" w:type="dxa"/>
            <w:tcBorders>
              <w:top w:val="single" w:sz="4" w:space="0" w:color="auto"/>
              <w:left w:val="single" w:sz="8" w:space="0" w:color="000000"/>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b/>
                <w:bCs/>
                <w:color w:val="000000"/>
                <w:sz w:val="20"/>
                <w:szCs w:val="20"/>
                <w:lang w:eastAsia="en-GB"/>
              </w:rPr>
            </w:pPr>
            <w:r w:rsidRPr="00D23C18">
              <w:rPr>
                <w:rFonts w:eastAsia="Times New Roman"/>
                <w:b/>
                <w:bCs/>
                <w:color w:val="000000"/>
                <w:sz w:val="20"/>
                <w:szCs w:val="20"/>
                <w:lang w:eastAsia="en-GB"/>
              </w:rPr>
              <w:t>Metabolite</w:t>
            </w:r>
          </w:p>
        </w:tc>
        <w:tc>
          <w:tcPr>
            <w:tcW w:w="1758" w:type="dxa"/>
            <w:tcBorders>
              <w:top w:val="single" w:sz="4" w:space="0" w:color="auto"/>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b/>
                <w:bCs/>
                <w:color w:val="000000"/>
                <w:sz w:val="20"/>
                <w:szCs w:val="20"/>
                <w:lang w:eastAsia="en-GB"/>
              </w:rPr>
            </w:pPr>
            <w:r w:rsidRPr="00D23C18">
              <w:rPr>
                <w:rFonts w:eastAsia="Times New Roman"/>
                <w:b/>
                <w:bCs/>
                <w:color w:val="000000"/>
                <w:sz w:val="20"/>
                <w:szCs w:val="20"/>
                <w:lang w:eastAsia="en-GB"/>
              </w:rPr>
              <w:t>Internal standard reference</w:t>
            </w:r>
          </w:p>
        </w:tc>
        <w:tc>
          <w:tcPr>
            <w:tcW w:w="1257" w:type="dxa"/>
            <w:tcBorders>
              <w:top w:val="single" w:sz="4" w:space="0" w:color="auto"/>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b/>
                <w:bCs/>
                <w:color w:val="000000"/>
                <w:sz w:val="20"/>
                <w:szCs w:val="20"/>
                <w:lang w:eastAsia="en-GB"/>
              </w:rPr>
            </w:pPr>
            <w:r w:rsidRPr="00D23C18">
              <w:rPr>
                <w:rFonts w:eastAsia="Times New Roman"/>
                <w:b/>
                <w:bCs/>
                <w:color w:val="000000"/>
                <w:sz w:val="20"/>
                <w:szCs w:val="20"/>
                <w:lang w:eastAsia="en-GB"/>
              </w:rPr>
              <w:t>Retention time (min)</w:t>
            </w:r>
          </w:p>
        </w:tc>
        <w:tc>
          <w:tcPr>
            <w:tcW w:w="960" w:type="dxa"/>
            <w:tcBorders>
              <w:top w:val="single" w:sz="4" w:space="0" w:color="auto"/>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b/>
                <w:bCs/>
                <w:color w:val="000000"/>
                <w:sz w:val="20"/>
                <w:szCs w:val="20"/>
                <w:lang w:eastAsia="en-GB"/>
              </w:rPr>
            </w:pPr>
            <w:r w:rsidRPr="00D23C18">
              <w:rPr>
                <w:rFonts w:eastAsia="Times New Roman"/>
                <w:b/>
                <w:bCs/>
                <w:color w:val="000000"/>
                <w:sz w:val="20"/>
                <w:szCs w:val="20"/>
                <w:lang w:eastAsia="en-GB"/>
              </w:rPr>
              <w:t>Target ion</w:t>
            </w:r>
          </w:p>
        </w:tc>
        <w:tc>
          <w:tcPr>
            <w:tcW w:w="723" w:type="dxa"/>
            <w:tcBorders>
              <w:top w:val="single" w:sz="4" w:space="0" w:color="auto"/>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b/>
                <w:bCs/>
                <w:color w:val="000000"/>
                <w:sz w:val="20"/>
                <w:szCs w:val="20"/>
                <w:lang w:eastAsia="en-GB"/>
              </w:rPr>
            </w:pPr>
            <w:r w:rsidRPr="00D23C18">
              <w:rPr>
                <w:rFonts w:eastAsia="Times New Roman"/>
                <w:b/>
                <w:bCs/>
                <w:color w:val="000000"/>
                <w:sz w:val="20"/>
                <w:szCs w:val="20"/>
                <w:lang w:eastAsia="en-GB"/>
              </w:rPr>
              <w:t>Q1 Ion</w:t>
            </w:r>
          </w:p>
        </w:tc>
        <w:tc>
          <w:tcPr>
            <w:tcW w:w="1418" w:type="dxa"/>
            <w:tcBorders>
              <w:top w:val="single" w:sz="4" w:space="0" w:color="auto"/>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b/>
                <w:bCs/>
                <w:color w:val="000000"/>
                <w:sz w:val="20"/>
                <w:szCs w:val="20"/>
                <w:lang w:eastAsia="en-GB"/>
              </w:rPr>
            </w:pPr>
            <w:r w:rsidRPr="00D23C18">
              <w:rPr>
                <w:rFonts w:eastAsia="Times New Roman"/>
                <w:b/>
                <w:bCs/>
                <w:color w:val="000000"/>
                <w:sz w:val="20"/>
                <w:szCs w:val="20"/>
                <w:lang w:eastAsia="en-GB"/>
              </w:rPr>
              <w:t>Relative response (%)</w:t>
            </w:r>
          </w:p>
        </w:tc>
        <w:tc>
          <w:tcPr>
            <w:tcW w:w="825" w:type="dxa"/>
            <w:tcBorders>
              <w:top w:val="single" w:sz="4" w:space="0" w:color="auto"/>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b/>
                <w:bCs/>
                <w:color w:val="000000"/>
                <w:sz w:val="20"/>
                <w:szCs w:val="20"/>
                <w:lang w:eastAsia="en-GB"/>
              </w:rPr>
            </w:pPr>
            <w:r w:rsidRPr="00D23C18">
              <w:rPr>
                <w:rFonts w:eastAsia="Times New Roman"/>
                <w:b/>
                <w:bCs/>
                <w:color w:val="000000"/>
                <w:sz w:val="20"/>
                <w:szCs w:val="20"/>
                <w:lang w:eastAsia="en-GB"/>
              </w:rPr>
              <w:t>R</w:t>
            </w:r>
            <w:r w:rsidRPr="00D23C18">
              <w:rPr>
                <w:rFonts w:eastAsia="Times New Roman"/>
                <w:b/>
                <w:bCs/>
                <w:color w:val="000000"/>
                <w:sz w:val="20"/>
                <w:szCs w:val="20"/>
                <w:vertAlign w:val="superscript"/>
                <w:lang w:eastAsia="en-GB"/>
              </w:rPr>
              <w:t>2</w:t>
            </w:r>
          </w:p>
        </w:tc>
        <w:tc>
          <w:tcPr>
            <w:tcW w:w="960" w:type="dxa"/>
            <w:tcBorders>
              <w:top w:val="single" w:sz="4" w:space="0" w:color="auto"/>
              <w:bottom w:val="single" w:sz="4" w:space="0" w:color="auto"/>
              <w:right w:val="single" w:sz="8" w:space="0" w:color="000000"/>
            </w:tcBorders>
            <w:shd w:val="clear" w:color="auto" w:fill="auto"/>
            <w:noWrap/>
            <w:vAlign w:val="center"/>
            <w:hideMark/>
          </w:tcPr>
          <w:p w:rsidR="009433AA" w:rsidRPr="00D23C18" w:rsidRDefault="009433AA" w:rsidP="00996E77">
            <w:pPr>
              <w:spacing w:after="0" w:line="240" w:lineRule="auto"/>
              <w:ind w:firstLine="0"/>
              <w:jc w:val="center"/>
              <w:rPr>
                <w:rFonts w:eastAsia="Times New Roman"/>
                <w:b/>
                <w:bCs/>
                <w:color w:val="000000"/>
                <w:sz w:val="20"/>
                <w:szCs w:val="20"/>
                <w:lang w:eastAsia="en-GB"/>
              </w:rPr>
            </w:pPr>
            <w:r>
              <w:rPr>
                <w:rFonts w:eastAsia="Times New Roman"/>
                <w:b/>
                <w:bCs/>
                <w:color w:val="000000"/>
                <w:sz w:val="20"/>
                <w:szCs w:val="20"/>
                <w:lang w:eastAsia="en-GB"/>
              </w:rPr>
              <w:t>Range (</w:t>
            </w:r>
            <w:r>
              <w:rPr>
                <w:rFonts w:eastAsia="Times New Roman"/>
                <w:b/>
                <w:bCs/>
                <w:color w:val="000000"/>
                <w:sz w:val="20"/>
                <w:szCs w:val="20"/>
                <w:lang w:eastAsia="en-GB"/>
              </w:rPr>
              <w:sym w:font="Symbol" w:char="F06D"/>
            </w:r>
            <w:r w:rsidRPr="00D23C18">
              <w:rPr>
                <w:rFonts w:eastAsia="Times New Roman"/>
                <w:b/>
                <w:bCs/>
                <w:color w:val="000000"/>
                <w:sz w:val="20"/>
                <w:szCs w:val="20"/>
                <w:lang w:eastAsia="en-GB"/>
              </w:rPr>
              <w:t>g)</w:t>
            </w:r>
          </w:p>
        </w:tc>
      </w:tr>
      <w:tr w:rsidR="009433AA" w:rsidRPr="00D23C18" w:rsidTr="00996E77">
        <w:trPr>
          <w:cantSplit/>
          <w:trHeight w:val="340"/>
        </w:trPr>
        <w:tc>
          <w:tcPr>
            <w:tcW w:w="1864" w:type="dxa"/>
            <w:tcBorders>
              <w:top w:val="single" w:sz="4" w:space="0" w:color="auto"/>
              <w:lef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Proline</w:t>
            </w:r>
            <w:proofErr w:type="spellEnd"/>
          </w:p>
        </w:tc>
        <w:tc>
          <w:tcPr>
            <w:tcW w:w="1758" w:type="dxa"/>
            <w:tcBorders>
              <w:top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Cyclo-leucine</w:t>
            </w:r>
            <w:proofErr w:type="spellEnd"/>
          </w:p>
        </w:tc>
        <w:tc>
          <w:tcPr>
            <w:tcW w:w="1257" w:type="dxa"/>
            <w:tcBorders>
              <w:top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8.24</w:t>
            </w:r>
          </w:p>
        </w:tc>
        <w:tc>
          <w:tcPr>
            <w:tcW w:w="960" w:type="dxa"/>
            <w:tcBorders>
              <w:top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216.1</w:t>
            </w:r>
          </w:p>
        </w:tc>
        <w:tc>
          <w:tcPr>
            <w:tcW w:w="723" w:type="dxa"/>
            <w:tcBorders>
              <w:top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147.1</w:t>
            </w:r>
          </w:p>
        </w:tc>
        <w:tc>
          <w:tcPr>
            <w:tcW w:w="1418" w:type="dxa"/>
            <w:tcBorders>
              <w:top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91.2</w:t>
            </w:r>
          </w:p>
        </w:tc>
        <w:tc>
          <w:tcPr>
            <w:tcW w:w="825" w:type="dxa"/>
            <w:tcBorders>
              <w:top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0.992</w:t>
            </w:r>
          </w:p>
        </w:tc>
        <w:tc>
          <w:tcPr>
            <w:tcW w:w="960" w:type="dxa"/>
            <w:tcBorders>
              <w:top w:val="single" w:sz="4" w:space="0" w:color="auto"/>
              <w:righ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10-200</w:t>
            </w:r>
          </w:p>
        </w:tc>
      </w:tr>
      <w:tr w:rsidR="009433AA" w:rsidRPr="00D23C18" w:rsidTr="00996E77">
        <w:trPr>
          <w:cantSplit/>
          <w:trHeight w:val="340"/>
        </w:trPr>
        <w:tc>
          <w:tcPr>
            <w:tcW w:w="1864" w:type="dxa"/>
            <w:tcBorders>
              <w:lef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Malate</w:t>
            </w:r>
          </w:p>
        </w:tc>
        <w:tc>
          <w:tcPr>
            <w:tcW w:w="175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Castanospermine</w:t>
            </w:r>
            <w:proofErr w:type="spellEnd"/>
          </w:p>
        </w:tc>
        <w:tc>
          <w:tcPr>
            <w:tcW w:w="1257"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10.63</w:t>
            </w:r>
          </w:p>
        </w:tc>
        <w:tc>
          <w:tcPr>
            <w:tcW w:w="960"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335.1</w:t>
            </w:r>
          </w:p>
        </w:tc>
        <w:tc>
          <w:tcPr>
            <w:tcW w:w="723"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265.1</w:t>
            </w:r>
          </w:p>
        </w:tc>
        <w:tc>
          <w:tcPr>
            <w:tcW w:w="141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61.2</w:t>
            </w:r>
          </w:p>
        </w:tc>
        <w:tc>
          <w:tcPr>
            <w:tcW w:w="825"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0.995</w:t>
            </w:r>
          </w:p>
        </w:tc>
        <w:tc>
          <w:tcPr>
            <w:tcW w:w="960" w:type="dxa"/>
            <w:tcBorders>
              <w:righ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10-200</w:t>
            </w:r>
          </w:p>
        </w:tc>
      </w:tr>
      <w:tr w:rsidR="009433AA" w:rsidRPr="00D23C18" w:rsidTr="00996E77">
        <w:trPr>
          <w:cantSplit/>
          <w:trHeight w:val="340"/>
        </w:trPr>
        <w:tc>
          <w:tcPr>
            <w:tcW w:w="1864" w:type="dxa"/>
            <w:tcBorders>
              <w:lef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Glucose</w:t>
            </w:r>
          </w:p>
        </w:tc>
        <w:tc>
          <w:tcPr>
            <w:tcW w:w="175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Cyclo-leucine</w:t>
            </w:r>
            <w:proofErr w:type="spellEnd"/>
          </w:p>
        </w:tc>
        <w:tc>
          <w:tcPr>
            <w:tcW w:w="1257"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15.14</w:t>
            </w:r>
          </w:p>
        </w:tc>
        <w:tc>
          <w:tcPr>
            <w:tcW w:w="960"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364.2</w:t>
            </w:r>
          </w:p>
        </w:tc>
        <w:tc>
          <w:tcPr>
            <w:tcW w:w="723"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291.1</w:t>
            </w:r>
          </w:p>
        </w:tc>
        <w:tc>
          <w:tcPr>
            <w:tcW w:w="141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197.8</w:t>
            </w:r>
          </w:p>
        </w:tc>
        <w:tc>
          <w:tcPr>
            <w:tcW w:w="825"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0.986</w:t>
            </w:r>
          </w:p>
        </w:tc>
        <w:tc>
          <w:tcPr>
            <w:tcW w:w="960" w:type="dxa"/>
            <w:tcBorders>
              <w:righ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1 -50</w:t>
            </w:r>
          </w:p>
        </w:tc>
      </w:tr>
      <w:tr w:rsidR="009433AA" w:rsidRPr="00D23C18" w:rsidTr="00996E77">
        <w:trPr>
          <w:cantSplit/>
          <w:trHeight w:val="340"/>
        </w:trPr>
        <w:tc>
          <w:tcPr>
            <w:tcW w:w="1864" w:type="dxa"/>
            <w:tcBorders>
              <w:lef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Fructose</w:t>
            </w:r>
          </w:p>
        </w:tc>
        <w:tc>
          <w:tcPr>
            <w:tcW w:w="175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Cyclo-leucine</w:t>
            </w:r>
            <w:proofErr w:type="spellEnd"/>
          </w:p>
        </w:tc>
        <w:tc>
          <w:tcPr>
            <w:tcW w:w="1257"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14.88</w:t>
            </w:r>
          </w:p>
        </w:tc>
        <w:tc>
          <w:tcPr>
            <w:tcW w:w="960"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364.2</w:t>
            </w:r>
          </w:p>
        </w:tc>
        <w:tc>
          <w:tcPr>
            <w:tcW w:w="723"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307.2</w:t>
            </w:r>
          </w:p>
        </w:tc>
        <w:tc>
          <w:tcPr>
            <w:tcW w:w="141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801.6</w:t>
            </w:r>
          </w:p>
        </w:tc>
        <w:tc>
          <w:tcPr>
            <w:tcW w:w="825"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0.979</w:t>
            </w:r>
          </w:p>
        </w:tc>
        <w:tc>
          <w:tcPr>
            <w:tcW w:w="960" w:type="dxa"/>
            <w:tcBorders>
              <w:righ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1 -50</w:t>
            </w:r>
          </w:p>
        </w:tc>
      </w:tr>
      <w:tr w:rsidR="009433AA" w:rsidRPr="00D23C18" w:rsidTr="00996E77">
        <w:trPr>
          <w:cantSplit/>
          <w:trHeight w:val="340"/>
        </w:trPr>
        <w:tc>
          <w:tcPr>
            <w:tcW w:w="1864" w:type="dxa"/>
            <w:tcBorders>
              <w:lef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613E05">
              <w:rPr>
                <w:rFonts w:eastAsia="Times New Roman"/>
                <w:i/>
                <w:color w:val="000000"/>
                <w:sz w:val="20"/>
                <w:szCs w:val="20"/>
                <w:lang w:eastAsia="en-GB"/>
              </w:rPr>
              <w:t>Myo</w:t>
            </w:r>
            <w:proofErr w:type="spellEnd"/>
            <w:r w:rsidRPr="00613E05">
              <w:rPr>
                <w:rFonts w:eastAsia="Times New Roman"/>
                <w:i/>
                <w:color w:val="000000"/>
                <w:sz w:val="20"/>
                <w:szCs w:val="20"/>
                <w:lang w:eastAsia="en-GB"/>
              </w:rPr>
              <w:t>-</w:t>
            </w:r>
            <w:r w:rsidRPr="00D23C18">
              <w:rPr>
                <w:rFonts w:eastAsia="Times New Roman"/>
                <w:color w:val="000000"/>
                <w:sz w:val="20"/>
                <w:szCs w:val="20"/>
                <w:lang w:eastAsia="en-GB"/>
              </w:rPr>
              <w:t>inositol</w:t>
            </w:r>
          </w:p>
        </w:tc>
        <w:tc>
          <w:tcPr>
            <w:tcW w:w="175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Cyclo-leucine</w:t>
            </w:r>
            <w:proofErr w:type="spellEnd"/>
          </w:p>
        </w:tc>
        <w:tc>
          <w:tcPr>
            <w:tcW w:w="1257"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17.08</w:t>
            </w:r>
          </w:p>
        </w:tc>
        <w:tc>
          <w:tcPr>
            <w:tcW w:w="960"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432.3</w:t>
            </w:r>
          </w:p>
        </w:tc>
        <w:tc>
          <w:tcPr>
            <w:tcW w:w="723"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265.1</w:t>
            </w:r>
          </w:p>
        </w:tc>
        <w:tc>
          <w:tcPr>
            <w:tcW w:w="141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176.2</w:t>
            </w:r>
          </w:p>
        </w:tc>
        <w:tc>
          <w:tcPr>
            <w:tcW w:w="825"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0.992</w:t>
            </w:r>
          </w:p>
        </w:tc>
        <w:tc>
          <w:tcPr>
            <w:tcW w:w="960" w:type="dxa"/>
            <w:tcBorders>
              <w:righ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1 -50</w:t>
            </w:r>
          </w:p>
        </w:tc>
      </w:tr>
      <w:tr w:rsidR="009433AA" w:rsidRPr="00D23C18" w:rsidTr="00996E77">
        <w:trPr>
          <w:cantSplit/>
          <w:trHeight w:val="340"/>
        </w:trPr>
        <w:tc>
          <w:tcPr>
            <w:tcW w:w="1864" w:type="dxa"/>
            <w:tcBorders>
              <w:lef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Pinitol</w:t>
            </w:r>
            <w:proofErr w:type="spellEnd"/>
          </w:p>
        </w:tc>
        <w:tc>
          <w:tcPr>
            <w:tcW w:w="175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Castanospermine</w:t>
            </w:r>
            <w:proofErr w:type="spellEnd"/>
          </w:p>
        </w:tc>
        <w:tc>
          <w:tcPr>
            <w:tcW w:w="1257"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14.47</w:t>
            </w:r>
          </w:p>
        </w:tc>
        <w:tc>
          <w:tcPr>
            <w:tcW w:w="960"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433.3</w:t>
            </w:r>
          </w:p>
        </w:tc>
        <w:tc>
          <w:tcPr>
            <w:tcW w:w="723"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318.2</w:t>
            </w:r>
          </w:p>
        </w:tc>
        <w:tc>
          <w:tcPr>
            <w:tcW w:w="141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458.8</w:t>
            </w:r>
          </w:p>
        </w:tc>
        <w:tc>
          <w:tcPr>
            <w:tcW w:w="825"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0.996</w:t>
            </w:r>
          </w:p>
        </w:tc>
        <w:tc>
          <w:tcPr>
            <w:tcW w:w="960" w:type="dxa"/>
            <w:tcBorders>
              <w:righ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1 -50</w:t>
            </w:r>
          </w:p>
        </w:tc>
      </w:tr>
      <w:tr w:rsidR="009433AA" w:rsidRPr="00D23C18" w:rsidTr="00996E77">
        <w:trPr>
          <w:cantSplit/>
          <w:trHeight w:val="340"/>
        </w:trPr>
        <w:tc>
          <w:tcPr>
            <w:tcW w:w="1864" w:type="dxa"/>
            <w:tcBorders>
              <w:lef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Pinitol</w:t>
            </w:r>
            <w:proofErr w:type="spellEnd"/>
          </w:p>
        </w:tc>
        <w:tc>
          <w:tcPr>
            <w:tcW w:w="175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Castanospermine</w:t>
            </w:r>
            <w:proofErr w:type="spellEnd"/>
          </w:p>
        </w:tc>
        <w:tc>
          <w:tcPr>
            <w:tcW w:w="1257"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14.47</w:t>
            </w:r>
          </w:p>
        </w:tc>
        <w:tc>
          <w:tcPr>
            <w:tcW w:w="960"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433.2</w:t>
            </w:r>
          </w:p>
        </w:tc>
        <w:tc>
          <w:tcPr>
            <w:tcW w:w="723"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374.2</w:t>
            </w:r>
          </w:p>
        </w:tc>
        <w:tc>
          <w:tcPr>
            <w:tcW w:w="141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108.9</w:t>
            </w:r>
          </w:p>
        </w:tc>
        <w:tc>
          <w:tcPr>
            <w:tcW w:w="825"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0.977</w:t>
            </w:r>
          </w:p>
        </w:tc>
        <w:tc>
          <w:tcPr>
            <w:tcW w:w="960" w:type="dxa"/>
            <w:tcBorders>
              <w:righ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50-200</w:t>
            </w:r>
          </w:p>
        </w:tc>
      </w:tr>
      <w:tr w:rsidR="009433AA" w:rsidRPr="00D23C18" w:rsidTr="00996E77">
        <w:trPr>
          <w:cantSplit/>
          <w:trHeight w:val="340"/>
        </w:trPr>
        <w:tc>
          <w:tcPr>
            <w:tcW w:w="1864" w:type="dxa"/>
            <w:tcBorders>
              <w:lef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Pinitol</w:t>
            </w:r>
            <w:proofErr w:type="spellEnd"/>
          </w:p>
        </w:tc>
        <w:tc>
          <w:tcPr>
            <w:tcW w:w="175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Castanospermine</w:t>
            </w:r>
            <w:proofErr w:type="spellEnd"/>
          </w:p>
        </w:tc>
        <w:tc>
          <w:tcPr>
            <w:tcW w:w="1257"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14.47</w:t>
            </w:r>
          </w:p>
        </w:tc>
        <w:tc>
          <w:tcPr>
            <w:tcW w:w="960"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462.2</w:t>
            </w:r>
          </w:p>
        </w:tc>
        <w:tc>
          <w:tcPr>
            <w:tcW w:w="723"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387.2</w:t>
            </w:r>
          </w:p>
        </w:tc>
        <w:tc>
          <w:tcPr>
            <w:tcW w:w="141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318.5</w:t>
            </w:r>
          </w:p>
        </w:tc>
        <w:tc>
          <w:tcPr>
            <w:tcW w:w="825"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0.945</w:t>
            </w:r>
          </w:p>
        </w:tc>
        <w:tc>
          <w:tcPr>
            <w:tcW w:w="960" w:type="dxa"/>
            <w:tcBorders>
              <w:righ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200-500</w:t>
            </w:r>
          </w:p>
        </w:tc>
      </w:tr>
      <w:tr w:rsidR="009433AA" w:rsidRPr="00D23C18" w:rsidTr="00996E77">
        <w:trPr>
          <w:cantSplit/>
          <w:trHeight w:val="340"/>
        </w:trPr>
        <w:tc>
          <w:tcPr>
            <w:tcW w:w="1864" w:type="dxa"/>
            <w:tcBorders>
              <w:lef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Castanospermine</w:t>
            </w:r>
            <w:proofErr w:type="spellEnd"/>
            <w:r w:rsidRPr="00D23C18">
              <w:rPr>
                <w:rFonts w:eastAsia="Times New Roman"/>
                <w:color w:val="000000"/>
                <w:sz w:val="20"/>
                <w:szCs w:val="20"/>
                <w:lang w:eastAsia="en-GB"/>
              </w:rPr>
              <w:t>*</w:t>
            </w:r>
          </w:p>
        </w:tc>
        <w:tc>
          <w:tcPr>
            <w:tcW w:w="175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w:t>
            </w:r>
          </w:p>
        </w:tc>
        <w:tc>
          <w:tcPr>
            <w:tcW w:w="1257"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16.62</w:t>
            </w:r>
          </w:p>
        </w:tc>
        <w:tc>
          <w:tcPr>
            <w:tcW w:w="960"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462.3</w:t>
            </w:r>
          </w:p>
        </w:tc>
        <w:tc>
          <w:tcPr>
            <w:tcW w:w="723"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387.2</w:t>
            </w:r>
          </w:p>
        </w:tc>
        <w:tc>
          <w:tcPr>
            <w:tcW w:w="1418"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369.2</w:t>
            </w:r>
          </w:p>
        </w:tc>
        <w:tc>
          <w:tcPr>
            <w:tcW w:w="825" w:type="dxa"/>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w:t>
            </w:r>
          </w:p>
        </w:tc>
        <w:tc>
          <w:tcPr>
            <w:tcW w:w="960" w:type="dxa"/>
            <w:tcBorders>
              <w:righ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w:t>
            </w:r>
          </w:p>
        </w:tc>
      </w:tr>
      <w:tr w:rsidR="009433AA" w:rsidRPr="00D23C18" w:rsidTr="00996E77">
        <w:trPr>
          <w:cantSplit/>
          <w:trHeight w:val="340"/>
        </w:trPr>
        <w:tc>
          <w:tcPr>
            <w:tcW w:w="1864" w:type="dxa"/>
            <w:tcBorders>
              <w:left w:val="single" w:sz="4" w:space="0" w:color="auto"/>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proofErr w:type="spellStart"/>
            <w:r w:rsidRPr="00D23C18">
              <w:rPr>
                <w:rFonts w:eastAsia="Times New Roman"/>
                <w:color w:val="000000"/>
                <w:sz w:val="20"/>
                <w:szCs w:val="20"/>
                <w:lang w:eastAsia="en-GB"/>
              </w:rPr>
              <w:t>Cyclo-leucine</w:t>
            </w:r>
            <w:proofErr w:type="spellEnd"/>
            <w:r w:rsidRPr="00D23C18">
              <w:rPr>
                <w:rFonts w:eastAsia="Times New Roman"/>
                <w:color w:val="000000"/>
                <w:sz w:val="20"/>
                <w:szCs w:val="20"/>
                <w:lang w:eastAsia="en-GB"/>
              </w:rPr>
              <w:t>*</w:t>
            </w:r>
          </w:p>
        </w:tc>
        <w:tc>
          <w:tcPr>
            <w:tcW w:w="1758" w:type="dxa"/>
            <w:tcBorders>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w:t>
            </w:r>
          </w:p>
        </w:tc>
        <w:tc>
          <w:tcPr>
            <w:tcW w:w="1257" w:type="dxa"/>
            <w:tcBorders>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9.17</w:t>
            </w:r>
          </w:p>
        </w:tc>
        <w:tc>
          <w:tcPr>
            <w:tcW w:w="960" w:type="dxa"/>
            <w:tcBorders>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230.1</w:t>
            </w:r>
          </w:p>
        </w:tc>
        <w:tc>
          <w:tcPr>
            <w:tcW w:w="723" w:type="dxa"/>
            <w:tcBorders>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168.0</w:t>
            </w:r>
          </w:p>
        </w:tc>
        <w:tc>
          <w:tcPr>
            <w:tcW w:w="1418" w:type="dxa"/>
            <w:tcBorders>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51.5</w:t>
            </w:r>
          </w:p>
        </w:tc>
        <w:tc>
          <w:tcPr>
            <w:tcW w:w="825" w:type="dxa"/>
            <w:tcBorders>
              <w:bottom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w:t>
            </w:r>
          </w:p>
        </w:tc>
        <w:tc>
          <w:tcPr>
            <w:tcW w:w="960" w:type="dxa"/>
            <w:tcBorders>
              <w:bottom w:val="single" w:sz="4" w:space="0" w:color="auto"/>
              <w:right w:val="single" w:sz="4" w:space="0" w:color="auto"/>
            </w:tcBorders>
            <w:shd w:val="clear" w:color="auto" w:fill="auto"/>
            <w:noWrap/>
            <w:vAlign w:val="center"/>
            <w:hideMark/>
          </w:tcPr>
          <w:p w:rsidR="009433AA" w:rsidRPr="00D23C18" w:rsidRDefault="009433AA" w:rsidP="00996E77">
            <w:pPr>
              <w:spacing w:after="0" w:line="240" w:lineRule="auto"/>
              <w:ind w:firstLine="0"/>
              <w:jc w:val="center"/>
              <w:rPr>
                <w:rFonts w:eastAsia="Times New Roman"/>
                <w:color w:val="000000"/>
                <w:sz w:val="20"/>
                <w:szCs w:val="20"/>
                <w:lang w:eastAsia="en-GB"/>
              </w:rPr>
            </w:pPr>
            <w:r w:rsidRPr="00D23C18">
              <w:rPr>
                <w:rFonts w:eastAsia="Times New Roman"/>
                <w:color w:val="000000"/>
                <w:sz w:val="20"/>
                <w:szCs w:val="20"/>
                <w:lang w:eastAsia="en-GB"/>
              </w:rPr>
              <w:t>*</w:t>
            </w:r>
          </w:p>
        </w:tc>
      </w:tr>
    </w:tbl>
    <w:p w:rsidR="009433AA" w:rsidRPr="006B1048" w:rsidRDefault="009433AA" w:rsidP="009433AA">
      <w:pPr>
        <w:ind w:firstLine="0"/>
      </w:pPr>
    </w:p>
    <w:p w:rsidR="009B2BDF" w:rsidRDefault="00BF22B3"/>
    <w:sectPr w:rsidR="009B2B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3AA"/>
    <w:rsid w:val="000825F3"/>
    <w:rsid w:val="000C1027"/>
    <w:rsid w:val="004A4859"/>
    <w:rsid w:val="00502A28"/>
    <w:rsid w:val="005911B8"/>
    <w:rsid w:val="009433AA"/>
    <w:rsid w:val="00AA6C0D"/>
    <w:rsid w:val="00BF22B3"/>
    <w:rsid w:val="00CA0EBD"/>
    <w:rsid w:val="00F46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3AA"/>
    <w:pPr>
      <w:spacing w:line="360" w:lineRule="auto"/>
      <w:ind w:firstLine="720"/>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3AA"/>
    <w:pPr>
      <w:spacing w:line="360" w:lineRule="auto"/>
      <w:ind w:firstLine="720"/>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Words>
  <Characters>1152</Characters>
  <Application>Microsoft Office Word</Application>
  <DocSecurity>0</DocSecurity>
  <Lines>19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lfs</cp:lastModifiedBy>
  <cp:revision>2</cp:revision>
  <dcterms:created xsi:type="dcterms:W3CDTF">2014-03-07T11:22:00Z</dcterms:created>
  <dcterms:modified xsi:type="dcterms:W3CDTF">2014-03-07T11:22:00Z</dcterms:modified>
</cp:coreProperties>
</file>