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EDC" w:rsidRDefault="00EB166B">
      <w:r w:rsidRPr="0081693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val="en-US"/>
        </w:rPr>
        <w:drawing>
          <wp:inline distT="0" distB="0" distL="0" distR="0" wp14:anchorId="1E2A1816" wp14:editId="4FEAC39B">
            <wp:extent cx="4320000" cy="4320000"/>
            <wp:effectExtent l="0" t="0" r="23495" b="23495"/>
            <wp:docPr id="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B166B" w:rsidRDefault="00EB166B"/>
    <w:p w:rsidR="00EB166B" w:rsidRDefault="00EB166B">
      <w:pPr>
        <w:widowControl/>
        <w:jc w:val="left"/>
      </w:pPr>
      <w:r>
        <w:br w:type="page"/>
      </w:r>
    </w:p>
    <w:p w:rsidR="00EB166B" w:rsidRDefault="00EB166B">
      <w:r w:rsidRPr="0081693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val="en-US"/>
        </w:rPr>
        <w:lastRenderedPageBreak/>
        <w:drawing>
          <wp:inline distT="0" distB="0" distL="0" distR="0" wp14:anchorId="2DA37EF1" wp14:editId="74499FA4">
            <wp:extent cx="4320000" cy="6766560"/>
            <wp:effectExtent l="0" t="0" r="23495" b="15240"/>
            <wp:docPr id="5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B166B" w:rsidRDefault="00EB166B"/>
    <w:p w:rsidR="00EB166B" w:rsidRDefault="00EB166B">
      <w:pPr>
        <w:widowControl/>
        <w:jc w:val="left"/>
      </w:pPr>
      <w:r>
        <w:br w:type="page"/>
      </w:r>
    </w:p>
    <w:p w:rsidR="00EB166B" w:rsidRDefault="00EB166B">
      <w:r w:rsidRPr="0081693F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  <w:lang w:val="en-US"/>
        </w:rPr>
        <w:lastRenderedPageBreak/>
        <w:drawing>
          <wp:inline distT="0" distB="0" distL="0" distR="0" wp14:anchorId="076448EF" wp14:editId="2D4EA110">
            <wp:extent cx="4476584" cy="8094428"/>
            <wp:effectExtent l="0" t="0" r="19685" b="20955"/>
            <wp:docPr id="11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B166B" w:rsidRDefault="00EB166B"/>
    <w:p w:rsidR="00EB166B" w:rsidRDefault="00EB166B" w:rsidP="000460F1">
      <w:pPr>
        <w:widowControl/>
        <w:jc w:val="left"/>
      </w:pPr>
      <w:bookmarkStart w:id="0" w:name="_GoBack"/>
      <w:bookmarkEnd w:id="0"/>
    </w:p>
    <w:sectPr w:rsidR="00EB1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94"/>
    <w:rsid w:val="000460F1"/>
    <w:rsid w:val="003430E8"/>
    <w:rsid w:val="00BA6F35"/>
    <w:rsid w:val="00CE7294"/>
    <w:rsid w:val="00D10EDC"/>
    <w:rsid w:val="00EA7E83"/>
    <w:rsid w:val="00EB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166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166B"/>
    <w:rPr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166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166B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aotao\&#24037;&#20316;&#25991;&#20214;\&#39033;&#30446;&#25991;&#20214;\wb\annot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aotao\&#24037;&#20316;&#25991;&#20214;\&#39033;&#30446;&#25991;&#20214;\wb\annotation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aotao\&#24037;&#20316;&#25991;&#20214;\&#39033;&#30446;&#25991;&#20214;\wb\annot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cellular_component</a:t>
            </a:r>
            <a:endParaRPr lang="zh-CN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go!$A$2:$A$12</c:f>
              <c:strCache>
                <c:ptCount val="11"/>
                <c:pt idx="0">
                  <c:v>external encapsulating structure</c:v>
                </c:pt>
                <c:pt idx="1">
                  <c:v>intracellular</c:v>
                </c:pt>
                <c:pt idx="2">
                  <c:v>cell</c:v>
                </c:pt>
                <c:pt idx="3">
                  <c:v>extracellular space</c:v>
                </c:pt>
                <c:pt idx="4">
                  <c:v>nucleus</c:v>
                </c:pt>
                <c:pt idx="5">
                  <c:v>cytoplasm</c:v>
                </c:pt>
                <c:pt idx="6">
                  <c:v>extracellular region</c:v>
                </c:pt>
                <c:pt idx="7">
                  <c:v>chromosome</c:v>
                </c:pt>
                <c:pt idx="8">
                  <c:v>membrane</c:v>
                </c:pt>
                <c:pt idx="9">
                  <c:v>proteinaceous extracellular matrix</c:v>
                </c:pt>
                <c:pt idx="10">
                  <c:v>cell surface</c:v>
                </c:pt>
              </c:strCache>
            </c:strRef>
          </c:cat>
          <c:val>
            <c:numRef>
              <c:f>go!$B$2:$B$12</c:f>
              <c:numCache>
                <c:formatCode>General</c:formatCode>
                <c:ptCount val="11"/>
                <c:pt idx="0">
                  <c:v>388</c:v>
                </c:pt>
                <c:pt idx="1">
                  <c:v>6891</c:v>
                </c:pt>
                <c:pt idx="2">
                  <c:v>9019</c:v>
                </c:pt>
                <c:pt idx="3">
                  <c:v>40</c:v>
                </c:pt>
                <c:pt idx="4">
                  <c:v>2528</c:v>
                </c:pt>
                <c:pt idx="5">
                  <c:v>4807</c:v>
                </c:pt>
                <c:pt idx="6">
                  <c:v>681</c:v>
                </c:pt>
                <c:pt idx="7">
                  <c:v>194</c:v>
                </c:pt>
                <c:pt idx="8">
                  <c:v>3745</c:v>
                </c:pt>
                <c:pt idx="9">
                  <c:v>8</c:v>
                </c:pt>
                <c:pt idx="10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475584"/>
        <c:axId val="112854144"/>
      </c:barChart>
      <c:catAx>
        <c:axId val="11947558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2854144"/>
        <c:crosses val="autoZero"/>
        <c:auto val="1"/>
        <c:lblAlgn val="ctr"/>
        <c:lblOffset val="100"/>
        <c:noMultiLvlLbl val="0"/>
      </c:catAx>
      <c:valAx>
        <c:axId val="112854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194755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molecular_function</a:t>
            </a:r>
            <a:endParaRPr lang="zh-CN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go!$A$14:$A$38</c:f>
              <c:strCache>
                <c:ptCount val="25"/>
                <c:pt idx="0">
                  <c:v>receptor activity</c:v>
                </c:pt>
                <c:pt idx="1">
                  <c:v>binding</c:v>
                </c:pt>
                <c:pt idx="2">
                  <c:v>transferase activity</c:v>
                </c:pt>
                <c:pt idx="3">
                  <c:v>catalytic activity</c:v>
                </c:pt>
                <c:pt idx="4">
                  <c:v>nucleic acid binding</c:v>
                </c:pt>
                <c:pt idx="5">
                  <c:v>signal transducer activity</c:v>
                </c:pt>
                <c:pt idx="6">
                  <c:v>protein binding</c:v>
                </c:pt>
                <c:pt idx="7">
                  <c:v>ligase activity</c:v>
                </c:pt>
                <c:pt idx="8">
                  <c:v>motor activity</c:v>
                </c:pt>
                <c:pt idx="9">
                  <c:v>isomerase activity</c:v>
                </c:pt>
                <c:pt idx="10">
                  <c:v>transcription regulator activity</c:v>
                </c:pt>
                <c:pt idx="11">
                  <c:v>oxidoreductase activity</c:v>
                </c:pt>
                <c:pt idx="12">
                  <c:v>ion transmembrane transporter activity</c:v>
                </c:pt>
                <c:pt idx="13">
                  <c:v>protein transporter activity</c:v>
                </c:pt>
                <c:pt idx="14">
                  <c:v>kinase activity</c:v>
                </c:pt>
                <c:pt idx="15">
                  <c:v>enzyme regulator activity</c:v>
                </c:pt>
                <c:pt idx="16">
                  <c:v>translation regulator activity</c:v>
                </c:pt>
                <c:pt idx="17">
                  <c:v>channel activity</c:v>
                </c:pt>
                <c:pt idx="18">
                  <c:v>transporter activity</c:v>
                </c:pt>
                <c:pt idx="19">
                  <c:v>helicase activity</c:v>
                </c:pt>
                <c:pt idx="20">
                  <c:v>hydrolase activity</c:v>
                </c:pt>
                <c:pt idx="21">
                  <c:v>structural molecule activity</c:v>
                </c:pt>
                <c:pt idx="22">
                  <c:v>electron carrier activity</c:v>
                </c:pt>
                <c:pt idx="23">
                  <c:v>antioxidant activity</c:v>
                </c:pt>
                <c:pt idx="24">
                  <c:v>lyase activity</c:v>
                </c:pt>
              </c:strCache>
            </c:strRef>
          </c:cat>
          <c:val>
            <c:numRef>
              <c:f>go!$B$14:$B$38</c:f>
              <c:numCache>
                <c:formatCode>General</c:formatCode>
                <c:ptCount val="25"/>
                <c:pt idx="0">
                  <c:v>592</c:v>
                </c:pt>
                <c:pt idx="1">
                  <c:v>7804</c:v>
                </c:pt>
                <c:pt idx="2">
                  <c:v>2316</c:v>
                </c:pt>
                <c:pt idx="3">
                  <c:v>6457</c:v>
                </c:pt>
                <c:pt idx="4">
                  <c:v>2062</c:v>
                </c:pt>
                <c:pt idx="5">
                  <c:v>677</c:v>
                </c:pt>
                <c:pt idx="6">
                  <c:v>2810</c:v>
                </c:pt>
                <c:pt idx="7">
                  <c:v>447</c:v>
                </c:pt>
                <c:pt idx="8">
                  <c:v>103</c:v>
                </c:pt>
                <c:pt idx="9">
                  <c:v>203</c:v>
                </c:pt>
                <c:pt idx="10">
                  <c:v>534</c:v>
                </c:pt>
                <c:pt idx="11">
                  <c:v>1150</c:v>
                </c:pt>
                <c:pt idx="12">
                  <c:v>422</c:v>
                </c:pt>
                <c:pt idx="13">
                  <c:v>27</c:v>
                </c:pt>
                <c:pt idx="14">
                  <c:v>1157</c:v>
                </c:pt>
                <c:pt idx="15">
                  <c:v>138</c:v>
                </c:pt>
                <c:pt idx="16">
                  <c:v>5</c:v>
                </c:pt>
                <c:pt idx="17">
                  <c:v>106</c:v>
                </c:pt>
                <c:pt idx="18">
                  <c:v>826</c:v>
                </c:pt>
                <c:pt idx="19">
                  <c:v>253</c:v>
                </c:pt>
                <c:pt idx="20">
                  <c:v>2330</c:v>
                </c:pt>
                <c:pt idx="21">
                  <c:v>291</c:v>
                </c:pt>
                <c:pt idx="22">
                  <c:v>258</c:v>
                </c:pt>
                <c:pt idx="23">
                  <c:v>118</c:v>
                </c:pt>
                <c:pt idx="24">
                  <c:v>278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870144"/>
        <c:axId val="112871680"/>
      </c:barChart>
      <c:catAx>
        <c:axId val="112870144"/>
        <c:scaling>
          <c:orientation val="minMax"/>
        </c:scaling>
        <c:delete val="0"/>
        <c:axPos val="b"/>
        <c:majorTickMark val="none"/>
        <c:minorTickMark val="none"/>
        <c:tickLblPos val="nextTo"/>
        <c:crossAx val="112871680"/>
        <c:crosses val="autoZero"/>
        <c:auto val="1"/>
        <c:lblAlgn val="ctr"/>
        <c:lblOffset val="100"/>
        <c:noMultiLvlLbl val="0"/>
      </c:catAx>
      <c:valAx>
        <c:axId val="1128716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128701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biological_process</a:t>
            </a:r>
            <a:endParaRPr lang="zh-CN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0606214670290791"/>
          <c:y val="7.6896124004236316E-2"/>
          <c:w val="0.8615801536353771"/>
          <c:h val="0.38165822217456258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go!$A$40:$A$60</c:f>
              <c:strCache>
                <c:ptCount val="21"/>
                <c:pt idx="0">
                  <c:v>cellular membrane fusion</c:v>
                </c:pt>
                <c:pt idx="1">
                  <c:v>metabolic process</c:v>
                </c:pt>
                <c:pt idx="2">
                  <c:v>cellular component movement</c:v>
                </c:pt>
                <c:pt idx="3">
                  <c:v>multicellular organismal development</c:v>
                </c:pt>
                <c:pt idx="4">
                  <c:v>cellular process</c:v>
                </c:pt>
                <c:pt idx="5">
                  <c:v>biosynthetic process</c:v>
                </c:pt>
                <c:pt idx="6">
                  <c:v>response to stimulus</c:v>
                </c:pt>
                <c:pt idx="7">
                  <c:v>multicellular organismal process</c:v>
                </c:pt>
                <c:pt idx="8">
                  <c:v>macromolecule metabolic process</c:v>
                </c:pt>
                <c:pt idx="9">
                  <c:v>extracellular structure organization</c:v>
                </c:pt>
                <c:pt idx="10">
                  <c:v>nucleobase, nucleoside, nucleotide and nucleic acid metabolic process</c:v>
                </c:pt>
                <c:pt idx="11">
                  <c:v>cell communication</c:v>
                </c:pt>
                <c:pt idx="12">
                  <c:v>cell death</c:v>
                </c:pt>
                <c:pt idx="13">
                  <c:v>regulation of biological process</c:v>
                </c:pt>
                <c:pt idx="14">
                  <c:v>catabolic process</c:v>
                </c:pt>
                <c:pt idx="15">
                  <c:v>cellular amino acid and derivative metabolic process</c:v>
                </c:pt>
                <c:pt idx="16">
                  <c:v>cell differentiation</c:v>
                </c:pt>
                <c:pt idx="17">
                  <c:v>secretion</c:v>
                </c:pt>
                <c:pt idx="18">
                  <c:v>multi-organism process</c:v>
                </c:pt>
                <c:pt idx="19">
                  <c:v>transport</c:v>
                </c:pt>
                <c:pt idx="20">
                  <c:v>behavior</c:v>
                </c:pt>
              </c:strCache>
            </c:strRef>
          </c:cat>
          <c:val>
            <c:numRef>
              <c:f>go!$B$40:$B$60</c:f>
              <c:numCache>
                <c:formatCode>General</c:formatCode>
                <c:ptCount val="21"/>
                <c:pt idx="0">
                  <c:v>5</c:v>
                </c:pt>
                <c:pt idx="1">
                  <c:v>7155</c:v>
                </c:pt>
                <c:pt idx="2">
                  <c:v>23</c:v>
                </c:pt>
                <c:pt idx="3">
                  <c:v>1088</c:v>
                </c:pt>
                <c:pt idx="4">
                  <c:v>7718</c:v>
                </c:pt>
                <c:pt idx="5">
                  <c:v>2966</c:v>
                </c:pt>
                <c:pt idx="6">
                  <c:v>2345</c:v>
                </c:pt>
                <c:pt idx="7">
                  <c:v>1177</c:v>
                </c:pt>
                <c:pt idx="8">
                  <c:v>4351</c:v>
                </c:pt>
                <c:pt idx="9">
                  <c:v>9</c:v>
                </c:pt>
                <c:pt idx="10">
                  <c:v>2268</c:v>
                </c:pt>
                <c:pt idx="11">
                  <c:v>67</c:v>
                </c:pt>
                <c:pt idx="12">
                  <c:v>135</c:v>
                </c:pt>
                <c:pt idx="13">
                  <c:v>2419</c:v>
                </c:pt>
                <c:pt idx="14">
                  <c:v>797</c:v>
                </c:pt>
                <c:pt idx="15">
                  <c:v>615</c:v>
                </c:pt>
                <c:pt idx="16">
                  <c:v>322</c:v>
                </c:pt>
                <c:pt idx="17">
                  <c:v>31</c:v>
                </c:pt>
                <c:pt idx="18">
                  <c:v>414</c:v>
                </c:pt>
                <c:pt idx="19">
                  <c:v>1620</c:v>
                </c:pt>
                <c:pt idx="20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887680"/>
        <c:axId val="112889216"/>
      </c:barChart>
      <c:catAx>
        <c:axId val="11288768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zh-CN"/>
          </a:p>
        </c:txPr>
        <c:crossAx val="112889216"/>
        <c:crosses val="autoZero"/>
        <c:auto val="1"/>
        <c:lblAlgn val="ctr"/>
        <c:lblOffset val="100"/>
        <c:noMultiLvlLbl val="0"/>
      </c:catAx>
      <c:valAx>
        <c:axId val="112889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zh-CN"/>
          </a:p>
        </c:txPr>
        <c:crossAx val="1128876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12</Characters>
  <Application>Microsoft Office Word</Application>
  <DocSecurity>0</DocSecurity>
  <Lines>1</Lines>
  <Paragraphs>1</Paragraphs>
  <ScaleCrop>false</ScaleCrop>
  <Company>HZAU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chenjie</dc:creator>
  <cp:lastModifiedBy>chenjie</cp:lastModifiedBy>
  <cp:revision>3</cp:revision>
  <dcterms:created xsi:type="dcterms:W3CDTF">2014-02-26T13:33:00Z</dcterms:created>
  <dcterms:modified xsi:type="dcterms:W3CDTF">2014-02-26T13:37:00Z</dcterms:modified>
</cp:coreProperties>
</file>