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8F9" w:rsidRDefault="00114571" w:rsidP="00DA26D1">
      <w:pPr>
        <w:spacing w:after="0" w:line="360" w:lineRule="auto"/>
        <w:rPr>
          <w:b/>
          <w:noProof/>
          <w:lang w:eastAsia="en-AU"/>
        </w:rPr>
      </w:pPr>
      <w:r w:rsidRPr="000A1A10">
        <w:rPr>
          <w:b/>
          <w:noProof/>
          <w:lang w:eastAsia="en-AU"/>
        </w:rPr>
        <w:t>Tables</w:t>
      </w:r>
      <w:r>
        <w:rPr>
          <w:b/>
          <w:noProof/>
          <w:lang w:eastAsia="en-AU"/>
        </w:rPr>
        <w:t xml:space="preserve"> S1 – S4.</w:t>
      </w:r>
    </w:p>
    <w:p w:rsidR="001221B6" w:rsidRPr="00DA26D1" w:rsidRDefault="001221B6" w:rsidP="00DA26D1">
      <w:pPr>
        <w:spacing w:after="0" w:line="360" w:lineRule="auto"/>
        <w:rPr>
          <w:b/>
          <w:noProof/>
          <w:lang w:eastAsia="en-AU"/>
        </w:rPr>
      </w:pPr>
    </w:p>
    <w:p w:rsidR="00D528BD" w:rsidRPr="00E23731" w:rsidRDefault="00D528BD" w:rsidP="007971EF">
      <w:pPr>
        <w:pStyle w:val="Caption"/>
        <w:spacing w:after="0"/>
        <w:rPr>
          <w:noProof/>
          <w:color w:val="auto"/>
          <w:sz w:val="22"/>
          <w:szCs w:val="22"/>
          <w:lang w:eastAsia="en-AU"/>
        </w:rPr>
      </w:pPr>
      <w:r w:rsidRPr="00EE6127">
        <w:rPr>
          <w:color w:val="auto"/>
          <w:sz w:val="22"/>
          <w:szCs w:val="22"/>
        </w:rPr>
        <w:t>Table S</w:t>
      </w:r>
      <w:r w:rsidRPr="00EE6127">
        <w:rPr>
          <w:color w:val="auto"/>
          <w:sz w:val="22"/>
          <w:szCs w:val="22"/>
        </w:rPr>
        <w:fldChar w:fldCharType="begin"/>
      </w:r>
      <w:r w:rsidRPr="00EE6127">
        <w:rPr>
          <w:color w:val="auto"/>
          <w:sz w:val="22"/>
          <w:szCs w:val="22"/>
        </w:rPr>
        <w:instrText xml:space="preserve"> SEQ Table_S \* ARABIC </w:instrText>
      </w:r>
      <w:r w:rsidRPr="00EE6127">
        <w:rPr>
          <w:color w:val="auto"/>
          <w:sz w:val="22"/>
          <w:szCs w:val="22"/>
        </w:rPr>
        <w:fldChar w:fldCharType="separate"/>
      </w:r>
      <w:r w:rsidR="00DD2ED7">
        <w:rPr>
          <w:noProof/>
          <w:color w:val="auto"/>
          <w:sz w:val="22"/>
          <w:szCs w:val="22"/>
        </w:rPr>
        <w:t>1</w:t>
      </w:r>
      <w:r w:rsidRPr="00EE6127">
        <w:rPr>
          <w:color w:val="auto"/>
          <w:sz w:val="22"/>
          <w:szCs w:val="22"/>
        </w:rPr>
        <w:fldChar w:fldCharType="end"/>
      </w:r>
      <w:r w:rsidR="001221B6">
        <w:rPr>
          <w:color w:val="auto"/>
          <w:sz w:val="22"/>
          <w:szCs w:val="22"/>
        </w:rPr>
        <w:t xml:space="preserve">. </w:t>
      </w:r>
      <w:r w:rsidR="001221B6" w:rsidRPr="00E23731">
        <w:rPr>
          <w:noProof/>
          <w:color w:val="auto"/>
          <w:sz w:val="22"/>
          <w:szCs w:val="22"/>
          <w:lang w:eastAsia="en-AU"/>
        </w:rPr>
        <w:t>Comparison of the sex assigned by recorded phenotype, PC1 and global X chromosome methylation in the final dataset (n=6,795).</w:t>
      </w:r>
    </w:p>
    <w:tbl>
      <w:tblPr>
        <w:tblW w:w="9299" w:type="dxa"/>
        <w:tblInd w:w="93" w:type="dxa"/>
        <w:tblLook w:val="04A0" w:firstRow="1" w:lastRow="0" w:firstColumn="1" w:lastColumn="0" w:noHBand="0" w:noVBand="1"/>
      </w:tblPr>
      <w:tblGrid>
        <w:gridCol w:w="4551"/>
        <w:gridCol w:w="781"/>
        <w:gridCol w:w="826"/>
        <w:gridCol w:w="856"/>
        <w:gridCol w:w="755"/>
        <w:gridCol w:w="816"/>
        <w:gridCol w:w="714"/>
      </w:tblGrid>
      <w:tr w:rsidR="00DD4B66" w:rsidRPr="00D528BD" w:rsidTr="00E00410">
        <w:trPr>
          <w:trHeight w:hRule="exact" w:val="284"/>
        </w:trPr>
        <w:tc>
          <w:tcPr>
            <w:tcW w:w="4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4B66" w:rsidRPr="00D528BD" w:rsidRDefault="00DD4B66" w:rsidP="00D52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After exclusion of  outliers (n</w:t>
            </w: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=6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,</w:t>
            </w: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795)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4B66" w:rsidRPr="00D528BD" w:rsidRDefault="00DD4B6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Female</w:t>
            </w:r>
          </w:p>
          <w:p w:rsidR="00DD4B66" w:rsidRPr="00D528BD" w:rsidRDefault="00DD4B6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4B66" w:rsidRPr="00D528BD" w:rsidRDefault="00DD4B6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Male</w:t>
            </w:r>
          </w:p>
          <w:p w:rsidR="00DD4B66" w:rsidRPr="00D528BD" w:rsidRDefault="00DD4B6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D4B66" w:rsidRPr="00D528BD" w:rsidRDefault="00DD4B6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Total</w:t>
            </w:r>
          </w:p>
          <w:p w:rsidR="00DD4B66" w:rsidRPr="00D528BD" w:rsidRDefault="00DD4B6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</w:tr>
      <w:tr w:rsidR="00D528BD" w:rsidRPr="00D528BD" w:rsidTr="00E00410">
        <w:trPr>
          <w:trHeight w:hRule="exact" w:val="284"/>
        </w:trPr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CB6BF6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CB6BF6" w:rsidP="00D52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CB6BF6" w:rsidP="00D52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n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%</w:t>
            </w:r>
          </w:p>
        </w:tc>
      </w:tr>
      <w:tr w:rsidR="00D528BD" w:rsidRPr="00D528BD" w:rsidTr="00E00410">
        <w:trPr>
          <w:trHeight w:hRule="exact" w:val="567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total samples with sex recorded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2797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55.8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2219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44.2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5016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NA</w:t>
            </w:r>
          </w:p>
        </w:tc>
      </w:tr>
      <w:tr w:rsidR="00D528BD" w:rsidRPr="00D528BD" w:rsidTr="00E00410">
        <w:trPr>
          <w:trHeight w:hRule="exact" w:val="567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sex correctly identified using PC &gt;0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2677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95.7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2070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93.3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4747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94.6</w:t>
            </w:r>
          </w:p>
        </w:tc>
      </w:tr>
      <w:tr w:rsidR="00D528BD" w:rsidRPr="00D528BD" w:rsidTr="00E00410">
        <w:trPr>
          <w:trHeight w:hRule="exact" w:val="567"/>
        </w:trPr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28BD" w:rsidRPr="00D528BD" w:rsidRDefault="00E00410" w:rsidP="00F61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sex correctly identified using </w:t>
            </w:r>
            <w:r w:rsidR="00F6159F">
              <w:rPr>
                <w:rFonts w:ascii="Calibri" w:eastAsia="Times New Roman" w:hAnsi="Calibri" w:cs="Times New Roman"/>
                <w:color w:val="000000"/>
                <w:lang w:eastAsia="en-AU"/>
              </w:rPr>
              <w:t>global</w:t>
            </w:r>
            <w:r w:rsidR="00F6159F"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 w:rsidR="00D528BD"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methylation (</w:t>
            </w:r>
            <w:r w:rsidR="00BA5CEA" w:rsidRPr="00BA5CEA">
              <w:rPr>
                <w:rFonts w:ascii="Calibri" w:eastAsia="Times New Roman" w:hAnsi="Calibri" w:cs="Times New Roman"/>
                <w:color w:val="000000"/>
                <w:lang w:eastAsia="en-AU"/>
              </w:rPr>
              <w:t>using the midpoint of the means, 391.5</w:t>
            </w:r>
            <w:r w:rsidR="00D528BD"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2510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89.7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2079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93.7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52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4589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8BD" w:rsidRPr="00D528BD" w:rsidRDefault="00D528BD" w:rsidP="00DD4B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D528BD">
              <w:rPr>
                <w:rFonts w:ascii="Calibri" w:eastAsia="Times New Roman" w:hAnsi="Calibri" w:cs="Times New Roman"/>
                <w:color w:val="000000"/>
                <w:lang w:eastAsia="en-AU"/>
              </w:rPr>
              <w:t>91.5</w:t>
            </w:r>
          </w:p>
        </w:tc>
      </w:tr>
    </w:tbl>
    <w:p w:rsidR="00D528BD" w:rsidRDefault="00D528BD" w:rsidP="007D3130">
      <w:pPr>
        <w:rPr>
          <w:noProof/>
          <w:lang w:eastAsia="en-AU"/>
        </w:rPr>
      </w:pPr>
    </w:p>
    <w:p w:rsidR="001221B6" w:rsidRPr="00D528BD" w:rsidRDefault="001221B6" w:rsidP="007D3130">
      <w:pPr>
        <w:rPr>
          <w:noProof/>
          <w:lang w:eastAsia="en-AU"/>
        </w:rPr>
      </w:pPr>
    </w:p>
    <w:p w:rsidR="00A12983" w:rsidRPr="00E23731" w:rsidRDefault="006C3D35" w:rsidP="007971EF">
      <w:pPr>
        <w:pStyle w:val="Caption"/>
        <w:spacing w:after="0"/>
        <w:rPr>
          <w:noProof/>
          <w:color w:val="auto"/>
          <w:sz w:val="22"/>
          <w:szCs w:val="22"/>
          <w:lang w:eastAsia="en-AU"/>
        </w:rPr>
      </w:pPr>
      <w:r w:rsidRPr="00EE6127">
        <w:rPr>
          <w:color w:val="auto"/>
          <w:sz w:val="22"/>
          <w:szCs w:val="22"/>
        </w:rPr>
        <w:t>Table S</w:t>
      </w:r>
      <w:r w:rsidRPr="00EE6127">
        <w:fldChar w:fldCharType="begin"/>
      </w:r>
      <w:r w:rsidRPr="00EE6127">
        <w:rPr>
          <w:color w:val="auto"/>
          <w:sz w:val="22"/>
          <w:szCs w:val="22"/>
        </w:rPr>
        <w:instrText xml:space="preserve"> SEQ Table_S \* ARABIC </w:instrText>
      </w:r>
      <w:r w:rsidRPr="00EE6127">
        <w:fldChar w:fldCharType="separate"/>
      </w:r>
      <w:r w:rsidR="00DD2ED7">
        <w:rPr>
          <w:noProof/>
          <w:color w:val="auto"/>
          <w:sz w:val="22"/>
          <w:szCs w:val="22"/>
        </w:rPr>
        <w:t>2</w:t>
      </w:r>
      <w:r w:rsidRPr="00EE6127">
        <w:fldChar w:fldCharType="end"/>
      </w:r>
      <w:r w:rsidR="001221B6">
        <w:rPr>
          <w:color w:val="auto"/>
          <w:sz w:val="22"/>
          <w:szCs w:val="22"/>
        </w:rPr>
        <w:t xml:space="preserve">. </w:t>
      </w:r>
      <w:r w:rsidR="001221B6" w:rsidRPr="00E23731">
        <w:rPr>
          <w:noProof/>
          <w:color w:val="auto"/>
          <w:sz w:val="22"/>
          <w:szCs w:val="22"/>
          <w:lang w:eastAsia="en-AU"/>
        </w:rPr>
        <w:t xml:space="preserve">Percentage of the 26,225 autosomal CpGs in each methylation category according to sex. </w:t>
      </w:r>
    </w:p>
    <w:tbl>
      <w:tblPr>
        <w:tblW w:w="9314" w:type="dxa"/>
        <w:tblInd w:w="91" w:type="dxa"/>
        <w:tblLook w:val="04A0" w:firstRow="1" w:lastRow="0" w:firstColumn="1" w:lastColumn="0" w:noHBand="0" w:noVBand="1"/>
      </w:tblPr>
      <w:tblGrid>
        <w:gridCol w:w="1433"/>
        <w:gridCol w:w="1417"/>
        <w:gridCol w:w="1703"/>
        <w:gridCol w:w="1560"/>
        <w:gridCol w:w="1840"/>
        <w:gridCol w:w="1361"/>
      </w:tblGrid>
      <w:tr w:rsidR="00B271A1" w:rsidRPr="00D919DC" w:rsidTr="00B271A1">
        <w:trPr>
          <w:trHeight w:val="600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919DC" w:rsidRPr="00D919DC" w:rsidRDefault="00D919DC" w:rsidP="00D919DC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919DC" w:rsidRPr="00D919DC" w:rsidRDefault="00CB6BF6" w:rsidP="00B271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n</w:t>
            </w:r>
            <w:r w:rsidR="00D919DC"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 xml:space="preserve"> samples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Total CpGs*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 xml:space="preserve">% CpGs                        </w:t>
            </w:r>
            <w:r w:rsidR="00CB6BF6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b</w:t>
            </w: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eta &lt; 0.3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 xml:space="preserve">% CpGs                                0.3 ≤ </w:t>
            </w:r>
            <w:r w:rsidR="00CB6BF6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b</w:t>
            </w: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eta ≤ 0.7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 xml:space="preserve">% CpGs                                 </w:t>
            </w:r>
            <w:r w:rsidR="00CB6BF6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b</w:t>
            </w: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eta &gt; 0.7</w:t>
            </w:r>
          </w:p>
        </w:tc>
      </w:tr>
      <w:tr w:rsidR="00B271A1" w:rsidRPr="00D919DC" w:rsidTr="00B271A1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D919D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All samples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6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795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178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198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68.0%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14.6%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17.4%</w:t>
            </w:r>
          </w:p>
        </w:tc>
      </w:tr>
      <w:tr w:rsidR="00B271A1" w:rsidRPr="00D919DC" w:rsidTr="00B271A1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D919D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Male samples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3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163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82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949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675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68.3%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13.8%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17.9%</w:t>
            </w:r>
          </w:p>
        </w:tc>
      </w:tr>
      <w:tr w:rsidR="00B271A1" w:rsidRPr="00D919DC" w:rsidTr="00B271A1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D919D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b/>
                <w:bCs/>
                <w:color w:val="000000"/>
                <w:lang w:eastAsia="en-AU"/>
              </w:rPr>
              <w:t>Female samples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3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632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95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249</w:t>
            </w:r>
            <w:r w:rsidR="00CB6BF6">
              <w:rPr>
                <w:rFonts w:eastAsia="Times New Roman" w:cs="Times New Roman"/>
                <w:color w:val="000000"/>
                <w:lang w:eastAsia="en-AU"/>
              </w:rPr>
              <w:t>,</w:t>
            </w:r>
            <w:r w:rsidRPr="00D919DC">
              <w:rPr>
                <w:rFonts w:eastAsia="Times New Roman" w:cs="Times New Roman"/>
                <w:color w:val="000000"/>
                <w:lang w:eastAsia="en-A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67.7%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15.2%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919DC" w:rsidRPr="00D919DC" w:rsidRDefault="00D919DC" w:rsidP="00B271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D919DC">
              <w:rPr>
                <w:rFonts w:eastAsia="Times New Roman" w:cs="Times New Roman"/>
                <w:color w:val="000000"/>
                <w:lang w:eastAsia="en-AU"/>
              </w:rPr>
              <w:t>17.1%</w:t>
            </w:r>
          </w:p>
        </w:tc>
      </w:tr>
    </w:tbl>
    <w:p w:rsidR="00E23731" w:rsidRPr="000A1A10" w:rsidRDefault="00E23731" w:rsidP="00E23731">
      <w:pPr>
        <w:pStyle w:val="Caption"/>
        <w:spacing w:after="0" w:line="360" w:lineRule="auto"/>
        <w:rPr>
          <w:noProof/>
          <w:color w:val="auto"/>
          <w:sz w:val="22"/>
          <w:szCs w:val="22"/>
          <w:lang w:eastAsia="en-AU"/>
        </w:rPr>
      </w:pPr>
      <w:r>
        <w:rPr>
          <w:b w:val="0"/>
          <w:noProof/>
          <w:color w:val="auto"/>
          <w:sz w:val="22"/>
          <w:szCs w:val="22"/>
          <w:lang w:eastAsia="en-AU"/>
        </w:rPr>
        <w:t xml:space="preserve">*(N samples x 26,225 CpGs). </w:t>
      </w:r>
      <w:r w:rsidRPr="00AE0D36">
        <w:rPr>
          <w:b w:val="0"/>
          <w:noProof/>
          <w:color w:val="auto"/>
          <w:sz w:val="22"/>
          <w:szCs w:val="22"/>
          <w:lang w:eastAsia="en-AU"/>
        </w:rPr>
        <w:t>Methylation categories defined by bet</w:t>
      </w:r>
      <w:r>
        <w:rPr>
          <w:b w:val="0"/>
          <w:noProof/>
          <w:color w:val="auto"/>
          <w:sz w:val="22"/>
          <w:szCs w:val="22"/>
          <w:lang w:eastAsia="en-AU"/>
        </w:rPr>
        <w:t>a value cut-offs of 0.3 and 0.7.</w:t>
      </w:r>
    </w:p>
    <w:p w:rsidR="00A12983" w:rsidRDefault="00A12983" w:rsidP="00712229">
      <w:pPr>
        <w:rPr>
          <w:noProof/>
          <w:lang w:eastAsia="en-AU"/>
        </w:rPr>
      </w:pPr>
    </w:p>
    <w:p w:rsidR="001221B6" w:rsidRPr="00EE6127" w:rsidRDefault="001221B6" w:rsidP="00712229">
      <w:pPr>
        <w:rPr>
          <w:noProof/>
          <w:lang w:eastAsia="en-AU"/>
        </w:rPr>
      </w:pPr>
    </w:p>
    <w:p w:rsidR="00A12983" w:rsidRPr="00624D08" w:rsidRDefault="00B6012E" w:rsidP="007971EF">
      <w:pPr>
        <w:pStyle w:val="Caption"/>
        <w:spacing w:after="0"/>
        <w:rPr>
          <w:noProof/>
          <w:color w:val="auto"/>
          <w:sz w:val="22"/>
          <w:szCs w:val="22"/>
          <w:lang w:eastAsia="en-AU"/>
        </w:rPr>
      </w:pPr>
      <w:r w:rsidRPr="00EE6127">
        <w:rPr>
          <w:color w:val="auto"/>
          <w:sz w:val="22"/>
          <w:szCs w:val="22"/>
        </w:rPr>
        <w:t>Table S</w:t>
      </w:r>
      <w:r w:rsidRPr="00EE6127">
        <w:rPr>
          <w:color w:val="auto"/>
          <w:sz w:val="22"/>
          <w:szCs w:val="22"/>
        </w:rPr>
        <w:fldChar w:fldCharType="begin"/>
      </w:r>
      <w:r w:rsidRPr="00EE6127">
        <w:rPr>
          <w:color w:val="auto"/>
          <w:sz w:val="22"/>
          <w:szCs w:val="22"/>
        </w:rPr>
        <w:instrText xml:space="preserve"> SEQ Table_S \* ARABIC </w:instrText>
      </w:r>
      <w:r w:rsidRPr="00EE6127">
        <w:rPr>
          <w:color w:val="auto"/>
          <w:sz w:val="22"/>
          <w:szCs w:val="22"/>
        </w:rPr>
        <w:fldChar w:fldCharType="separate"/>
      </w:r>
      <w:r w:rsidR="00DD2ED7">
        <w:rPr>
          <w:noProof/>
          <w:color w:val="auto"/>
          <w:sz w:val="22"/>
          <w:szCs w:val="22"/>
        </w:rPr>
        <w:t>3</w:t>
      </w:r>
      <w:r w:rsidRPr="00EE6127">
        <w:rPr>
          <w:color w:val="auto"/>
          <w:sz w:val="22"/>
          <w:szCs w:val="22"/>
        </w:rPr>
        <w:fldChar w:fldCharType="end"/>
      </w:r>
      <w:r w:rsidR="001221B6">
        <w:rPr>
          <w:color w:val="auto"/>
          <w:sz w:val="22"/>
          <w:szCs w:val="22"/>
        </w:rPr>
        <w:t xml:space="preserve">. </w:t>
      </w:r>
      <w:r w:rsidR="001221B6" w:rsidRPr="00624D08">
        <w:rPr>
          <w:noProof/>
          <w:color w:val="auto"/>
          <w:sz w:val="22"/>
          <w:szCs w:val="22"/>
          <w:lang w:eastAsia="en-AU"/>
        </w:rPr>
        <w:t>Summary of the global methylation across the 24,225 autosomal CpG sites (n=6,795 samples).</w:t>
      </w:r>
    </w:p>
    <w:tbl>
      <w:tblPr>
        <w:tblW w:w="929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329"/>
        <w:gridCol w:w="1329"/>
        <w:gridCol w:w="1328"/>
        <w:gridCol w:w="1328"/>
        <w:gridCol w:w="1328"/>
        <w:gridCol w:w="1328"/>
      </w:tblGrid>
      <w:tr w:rsidR="00B6012E" w:rsidRPr="00B6012E" w:rsidTr="001221B6">
        <w:trPr>
          <w:trHeight w:val="340"/>
        </w:trPr>
        <w:tc>
          <w:tcPr>
            <w:tcW w:w="1329" w:type="dxa"/>
            <w:shd w:val="clear" w:color="000000" w:fill="FFFFFF"/>
            <w:noWrap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 </w:t>
            </w:r>
          </w:p>
        </w:tc>
        <w:tc>
          <w:tcPr>
            <w:tcW w:w="1329" w:type="dxa"/>
            <w:shd w:val="clear" w:color="000000" w:fill="FFFFFF"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Min.</w:t>
            </w:r>
          </w:p>
        </w:tc>
        <w:tc>
          <w:tcPr>
            <w:tcW w:w="1329" w:type="dxa"/>
            <w:shd w:val="clear" w:color="000000" w:fill="FFFFFF"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1st Quartile</w:t>
            </w:r>
          </w:p>
        </w:tc>
        <w:tc>
          <w:tcPr>
            <w:tcW w:w="1328" w:type="dxa"/>
            <w:shd w:val="clear" w:color="000000" w:fill="FFFFFF"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Median</w:t>
            </w:r>
          </w:p>
        </w:tc>
        <w:tc>
          <w:tcPr>
            <w:tcW w:w="1328" w:type="dxa"/>
            <w:shd w:val="clear" w:color="000000" w:fill="FFFFFF"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Mean</w:t>
            </w:r>
          </w:p>
        </w:tc>
        <w:tc>
          <w:tcPr>
            <w:tcW w:w="1328" w:type="dxa"/>
            <w:shd w:val="clear" w:color="000000" w:fill="FFFFFF"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3rd Quartile</w:t>
            </w:r>
          </w:p>
        </w:tc>
        <w:tc>
          <w:tcPr>
            <w:tcW w:w="1328" w:type="dxa"/>
            <w:shd w:val="clear" w:color="000000" w:fill="FFFFFF"/>
            <w:vAlign w:val="bottom"/>
            <w:hideMark/>
          </w:tcPr>
          <w:p w:rsidR="00B6012E" w:rsidRPr="001221B6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1221B6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Max.</w:t>
            </w:r>
          </w:p>
        </w:tc>
      </w:tr>
      <w:tr w:rsidR="00B6012E" w:rsidRPr="00B6012E" w:rsidTr="001221B6">
        <w:trPr>
          <w:trHeight w:val="600"/>
        </w:trPr>
        <w:tc>
          <w:tcPr>
            <w:tcW w:w="1329" w:type="dxa"/>
            <w:shd w:val="clear" w:color="000000" w:fill="FFFFFF"/>
            <w:vAlign w:val="bottom"/>
            <w:hideMark/>
          </w:tcPr>
          <w:p w:rsidR="00B6012E" w:rsidRPr="00B6012E" w:rsidRDefault="00B6012E" w:rsidP="00CB6B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Females (</w:t>
            </w:r>
            <w:r w:rsidR="00CB6BF6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n</w:t>
            </w:r>
            <w:r w:rsidRPr="00B6012E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=3,632)</w:t>
            </w:r>
          </w:p>
        </w:tc>
        <w:tc>
          <w:tcPr>
            <w:tcW w:w="1329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4,029</w:t>
            </w:r>
          </w:p>
        </w:tc>
        <w:tc>
          <w:tcPr>
            <w:tcW w:w="1329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6,754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7,135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7,057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7,368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11,370</w:t>
            </w:r>
          </w:p>
        </w:tc>
      </w:tr>
      <w:tr w:rsidR="00B6012E" w:rsidRPr="00B6012E" w:rsidTr="001221B6">
        <w:trPr>
          <w:trHeight w:val="600"/>
        </w:trPr>
        <w:tc>
          <w:tcPr>
            <w:tcW w:w="1329" w:type="dxa"/>
            <w:shd w:val="clear" w:color="000000" w:fill="FFFFFF"/>
            <w:vAlign w:val="bottom"/>
            <w:hideMark/>
          </w:tcPr>
          <w:p w:rsidR="00B6012E" w:rsidRPr="00B6012E" w:rsidRDefault="00B6012E" w:rsidP="00CB6B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Males (</w:t>
            </w:r>
            <w:r w:rsidR="00CB6BF6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n</w:t>
            </w:r>
            <w:r w:rsidRPr="00B6012E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=3,163)</w:t>
            </w:r>
          </w:p>
        </w:tc>
        <w:tc>
          <w:tcPr>
            <w:tcW w:w="1329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3,967</w:t>
            </w:r>
          </w:p>
        </w:tc>
        <w:tc>
          <w:tcPr>
            <w:tcW w:w="1329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6,770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7,190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7,053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7,426</w:t>
            </w:r>
          </w:p>
        </w:tc>
        <w:tc>
          <w:tcPr>
            <w:tcW w:w="1328" w:type="dxa"/>
            <w:shd w:val="clear" w:color="000000" w:fill="FFFFFF"/>
            <w:noWrap/>
            <w:vAlign w:val="bottom"/>
            <w:hideMark/>
          </w:tcPr>
          <w:p w:rsidR="00B6012E" w:rsidRPr="00B6012E" w:rsidRDefault="00B6012E" w:rsidP="00B601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B6012E">
              <w:rPr>
                <w:rFonts w:ascii="Calibri" w:eastAsia="Times New Roman" w:hAnsi="Calibri" w:cs="Times New Roman"/>
                <w:color w:val="000000"/>
                <w:lang w:eastAsia="en-AU"/>
              </w:rPr>
              <w:t>9,464</w:t>
            </w:r>
          </w:p>
        </w:tc>
      </w:tr>
    </w:tbl>
    <w:p w:rsidR="006C3D35" w:rsidRPr="00D528BD" w:rsidRDefault="006C3D35" w:rsidP="007D3130">
      <w:pPr>
        <w:rPr>
          <w:noProof/>
          <w:lang w:eastAsia="en-AU"/>
        </w:rPr>
      </w:pPr>
    </w:p>
    <w:p w:rsidR="00BD25F6" w:rsidRPr="00EE6127" w:rsidRDefault="00BD25F6" w:rsidP="00BD25F6">
      <w:pPr>
        <w:spacing w:after="0" w:line="360" w:lineRule="auto"/>
        <w:rPr>
          <w:b/>
        </w:rPr>
      </w:pPr>
      <w:bookmarkStart w:id="0" w:name="_GoBack"/>
      <w:bookmarkEnd w:id="0"/>
    </w:p>
    <w:p w:rsidR="00EE6127" w:rsidRPr="00624D08" w:rsidRDefault="00EE6127" w:rsidP="007971EF">
      <w:pPr>
        <w:pStyle w:val="Caption"/>
        <w:spacing w:after="0"/>
        <w:rPr>
          <w:color w:val="auto"/>
          <w:sz w:val="22"/>
          <w:szCs w:val="22"/>
        </w:rPr>
      </w:pPr>
      <w:bookmarkStart w:id="1" w:name="_Toc377724276"/>
      <w:r w:rsidRPr="00EE6127">
        <w:rPr>
          <w:color w:val="auto"/>
          <w:sz w:val="22"/>
          <w:szCs w:val="22"/>
        </w:rPr>
        <w:t>Table S</w:t>
      </w:r>
      <w:r w:rsidRPr="00EE6127">
        <w:rPr>
          <w:color w:val="auto"/>
          <w:sz w:val="22"/>
          <w:szCs w:val="22"/>
        </w:rPr>
        <w:fldChar w:fldCharType="begin"/>
      </w:r>
      <w:r w:rsidRPr="00EE6127">
        <w:rPr>
          <w:color w:val="auto"/>
          <w:sz w:val="22"/>
          <w:szCs w:val="22"/>
        </w:rPr>
        <w:instrText xml:space="preserve"> SEQ Table_S \* ARABIC </w:instrText>
      </w:r>
      <w:r w:rsidRPr="00EE6127">
        <w:rPr>
          <w:color w:val="auto"/>
          <w:sz w:val="22"/>
          <w:szCs w:val="22"/>
        </w:rPr>
        <w:fldChar w:fldCharType="separate"/>
      </w:r>
      <w:r w:rsidR="00DD2ED7">
        <w:rPr>
          <w:noProof/>
          <w:color w:val="auto"/>
          <w:sz w:val="22"/>
          <w:szCs w:val="22"/>
        </w:rPr>
        <w:t>4</w:t>
      </w:r>
      <w:r w:rsidRPr="00EE6127">
        <w:rPr>
          <w:color w:val="auto"/>
          <w:sz w:val="22"/>
          <w:szCs w:val="22"/>
        </w:rPr>
        <w:fldChar w:fldCharType="end"/>
      </w:r>
      <w:bookmarkEnd w:id="1"/>
      <w:r w:rsidR="008C19A6">
        <w:rPr>
          <w:color w:val="auto"/>
          <w:sz w:val="22"/>
          <w:szCs w:val="22"/>
        </w:rPr>
        <w:t xml:space="preserve">. </w:t>
      </w:r>
      <w:r w:rsidR="001221B6" w:rsidRPr="00624D08">
        <w:rPr>
          <w:noProof/>
          <w:color w:val="auto"/>
          <w:sz w:val="22"/>
          <w:szCs w:val="22"/>
          <w:lang w:eastAsia="en-AU"/>
        </w:rPr>
        <w:t>Average absolute difference in beta value by sex in CpG methylation across all 184 non cross-reactive, non-polymorphic CpG sites which passed Bonferroni Correction</w:t>
      </w:r>
      <w:r w:rsidR="004833F8" w:rsidRPr="00624D08">
        <w:rPr>
          <w:noProof/>
          <w:color w:val="auto"/>
          <w:sz w:val="22"/>
          <w:szCs w:val="22"/>
          <w:lang w:eastAsia="en-AU"/>
        </w:rPr>
        <w:t>.</w:t>
      </w:r>
    </w:p>
    <w:tbl>
      <w:tblPr>
        <w:tblW w:w="9299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550"/>
        <w:gridCol w:w="1550"/>
        <w:gridCol w:w="1550"/>
        <w:gridCol w:w="1550"/>
        <w:gridCol w:w="1550"/>
      </w:tblGrid>
      <w:tr w:rsidR="00EE6127" w:rsidRPr="00813BE2" w:rsidTr="001221B6">
        <w:trPr>
          <w:trHeight w:val="340"/>
        </w:trPr>
        <w:tc>
          <w:tcPr>
            <w:tcW w:w="1549" w:type="dxa"/>
            <w:shd w:val="clear" w:color="000000" w:fill="FFFFFF"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Min.</w:t>
            </w:r>
          </w:p>
        </w:tc>
        <w:tc>
          <w:tcPr>
            <w:tcW w:w="1550" w:type="dxa"/>
            <w:shd w:val="clear" w:color="000000" w:fill="FFFFFF"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 xml:space="preserve">1st </w:t>
            </w:r>
            <w:proofErr w:type="spellStart"/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Quantile</w:t>
            </w:r>
            <w:proofErr w:type="spellEnd"/>
          </w:p>
        </w:tc>
        <w:tc>
          <w:tcPr>
            <w:tcW w:w="1550" w:type="dxa"/>
            <w:shd w:val="clear" w:color="000000" w:fill="FFFFFF"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Median</w:t>
            </w:r>
          </w:p>
        </w:tc>
        <w:tc>
          <w:tcPr>
            <w:tcW w:w="1550" w:type="dxa"/>
            <w:shd w:val="clear" w:color="000000" w:fill="FFFFFF"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Mean</w:t>
            </w:r>
          </w:p>
        </w:tc>
        <w:tc>
          <w:tcPr>
            <w:tcW w:w="1550" w:type="dxa"/>
            <w:shd w:val="clear" w:color="000000" w:fill="FFFFFF"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 xml:space="preserve">3rd </w:t>
            </w:r>
            <w:proofErr w:type="spellStart"/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Quantile</w:t>
            </w:r>
            <w:proofErr w:type="spellEnd"/>
          </w:p>
        </w:tc>
        <w:tc>
          <w:tcPr>
            <w:tcW w:w="1550" w:type="dxa"/>
            <w:shd w:val="clear" w:color="000000" w:fill="FFFFFF"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Max.</w:t>
            </w:r>
          </w:p>
        </w:tc>
      </w:tr>
      <w:tr w:rsidR="00EE6127" w:rsidRPr="00813BE2" w:rsidTr="001221B6">
        <w:trPr>
          <w:trHeight w:val="300"/>
        </w:trPr>
        <w:tc>
          <w:tcPr>
            <w:tcW w:w="1549" w:type="dxa"/>
            <w:shd w:val="clear" w:color="000000" w:fill="FFFFFF"/>
            <w:noWrap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color w:val="000000"/>
                <w:lang w:eastAsia="en-AU"/>
              </w:rPr>
              <w:t>0.007</w:t>
            </w:r>
          </w:p>
        </w:tc>
        <w:tc>
          <w:tcPr>
            <w:tcW w:w="1550" w:type="dxa"/>
            <w:shd w:val="clear" w:color="000000" w:fill="FFFFFF"/>
            <w:noWrap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color w:val="000000"/>
                <w:lang w:eastAsia="en-AU"/>
              </w:rPr>
              <w:t>0.027</w:t>
            </w:r>
          </w:p>
        </w:tc>
        <w:tc>
          <w:tcPr>
            <w:tcW w:w="1550" w:type="dxa"/>
            <w:shd w:val="clear" w:color="000000" w:fill="FFFFFF"/>
            <w:noWrap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color w:val="000000"/>
                <w:lang w:eastAsia="en-AU"/>
              </w:rPr>
              <w:t>0.037</w:t>
            </w:r>
          </w:p>
        </w:tc>
        <w:tc>
          <w:tcPr>
            <w:tcW w:w="1550" w:type="dxa"/>
            <w:shd w:val="clear" w:color="000000" w:fill="FFFFFF"/>
            <w:noWrap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color w:val="000000"/>
                <w:lang w:eastAsia="en-AU"/>
              </w:rPr>
              <w:t>0.037</w:t>
            </w:r>
          </w:p>
        </w:tc>
        <w:tc>
          <w:tcPr>
            <w:tcW w:w="1550" w:type="dxa"/>
            <w:shd w:val="clear" w:color="000000" w:fill="FFFFFF"/>
            <w:noWrap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color w:val="000000"/>
                <w:lang w:eastAsia="en-AU"/>
              </w:rPr>
              <w:t>0.044</w:t>
            </w:r>
          </w:p>
        </w:tc>
        <w:tc>
          <w:tcPr>
            <w:tcW w:w="1550" w:type="dxa"/>
            <w:shd w:val="clear" w:color="000000" w:fill="FFFFFF"/>
            <w:noWrap/>
            <w:vAlign w:val="bottom"/>
            <w:hideMark/>
          </w:tcPr>
          <w:p w:rsidR="00EE6127" w:rsidRPr="00813BE2" w:rsidRDefault="00EE6127" w:rsidP="00D666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813BE2">
              <w:rPr>
                <w:rFonts w:ascii="Calibri" w:eastAsia="Times New Roman" w:hAnsi="Calibri" w:cs="Times New Roman"/>
                <w:color w:val="000000"/>
                <w:lang w:eastAsia="en-AU"/>
              </w:rPr>
              <w:t>0.089</w:t>
            </w:r>
          </w:p>
        </w:tc>
      </w:tr>
    </w:tbl>
    <w:p w:rsidR="003A533E" w:rsidRPr="00DE6DC8" w:rsidRDefault="003A533E" w:rsidP="00DE6DC8"/>
    <w:sectPr w:rsidR="003A533E" w:rsidRPr="00DE6DC8" w:rsidSect="00D40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024EF"/>
    <w:multiLevelType w:val="hybridMultilevel"/>
    <w:tmpl w:val="D0F4ABAC"/>
    <w:lvl w:ilvl="0" w:tplc="A0E045CA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1199A"/>
    <w:multiLevelType w:val="hybridMultilevel"/>
    <w:tmpl w:val="32066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A080B"/>
    <w:multiLevelType w:val="hybridMultilevel"/>
    <w:tmpl w:val="44BE8202"/>
    <w:lvl w:ilvl="0" w:tplc="46D6F248">
      <w:start w:val="12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30"/>
    <w:rsid w:val="00033D02"/>
    <w:rsid w:val="00054507"/>
    <w:rsid w:val="000C1CC6"/>
    <w:rsid w:val="000D609A"/>
    <w:rsid w:val="000E318E"/>
    <w:rsid w:val="000F7594"/>
    <w:rsid w:val="00114571"/>
    <w:rsid w:val="001221B6"/>
    <w:rsid w:val="0013526B"/>
    <w:rsid w:val="00136AB1"/>
    <w:rsid w:val="00163C29"/>
    <w:rsid w:val="0016743D"/>
    <w:rsid w:val="001D4289"/>
    <w:rsid w:val="001F530C"/>
    <w:rsid w:val="00226FD2"/>
    <w:rsid w:val="002407E1"/>
    <w:rsid w:val="002565F3"/>
    <w:rsid w:val="0026640C"/>
    <w:rsid w:val="0028258C"/>
    <w:rsid w:val="00292374"/>
    <w:rsid w:val="002A4484"/>
    <w:rsid w:val="002F3E53"/>
    <w:rsid w:val="00301000"/>
    <w:rsid w:val="0032573C"/>
    <w:rsid w:val="00340DD5"/>
    <w:rsid w:val="003411F9"/>
    <w:rsid w:val="003A3880"/>
    <w:rsid w:val="003A533E"/>
    <w:rsid w:val="004007C6"/>
    <w:rsid w:val="004653C5"/>
    <w:rsid w:val="004715E7"/>
    <w:rsid w:val="004833F8"/>
    <w:rsid w:val="00495A0B"/>
    <w:rsid w:val="00497706"/>
    <w:rsid w:val="004A3EB3"/>
    <w:rsid w:val="00525F7A"/>
    <w:rsid w:val="005310B1"/>
    <w:rsid w:val="005A77AB"/>
    <w:rsid w:val="005C16DA"/>
    <w:rsid w:val="005E00ED"/>
    <w:rsid w:val="005E2BA0"/>
    <w:rsid w:val="006020B7"/>
    <w:rsid w:val="00624D08"/>
    <w:rsid w:val="00630832"/>
    <w:rsid w:val="00674CC2"/>
    <w:rsid w:val="00690B1C"/>
    <w:rsid w:val="006A3545"/>
    <w:rsid w:val="006B1A2E"/>
    <w:rsid w:val="006C3D35"/>
    <w:rsid w:val="006C4172"/>
    <w:rsid w:val="006D0D0F"/>
    <w:rsid w:val="006E56BB"/>
    <w:rsid w:val="00712229"/>
    <w:rsid w:val="00713403"/>
    <w:rsid w:val="00717825"/>
    <w:rsid w:val="00717EC7"/>
    <w:rsid w:val="00727B8E"/>
    <w:rsid w:val="00732C3B"/>
    <w:rsid w:val="00771B40"/>
    <w:rsid w:val="007971EF"/>
    <w:rsid w:val="007B0280"/>
    <w:rsid w:val="007D15E3"/>
    <w:rsid w:val="007D3130"/>
    <w:rsid w:val="007F58F9"/>
    <w:rsid w:val="00813BE2"/>
    <w:rsid w:val="00825430"/>
    <w:rsid w:val="008606AA"/>
    <w:rsid w:val="008668DE"/>
    <w:rsid w:val="008C19A6"/>
    <w:rsid w:val="008E1568"/>
    <w:rsid w:val="00907217"/>
    <w:rsid w:val="00984DAD"/>
    <w:rsid w:val="009A7570"/>
    <w:rsid w:val="009E508A"/>
    <w:rsid w:val="009F24D4"/>
    <w:rsid w:val="00A12983"/>
    <w:rsid w:val="00A72292"/>
    <w:rsid w:val="00AF0685"/>
    <w:rsid w:val="00AF4085"/>
    <w:rsid w:val="00B05A8C"/>
    <w:rsid w:val="00B271A1"/>
    <w:rsid w:val="00B34C3E"/>
    <w:rsid w:val="00B6012E"/>
    <w:rsid w:val="00B72E08"/>
    <w:rsid w:val="00B861A0"/>
    <w:rsid w:val="00BA0B12"/>
    <w:rsid w:val="00BA5CEA"/>
    <w:rsid w:val="00BD25F6"/>
    <w:rsid w:val="00BE1CEF"/>
    <w:rsid w:val="00C24B9E"/>
    <w:rsid w:val="00C27BF5"/>
    <w:rsid w:val="00C475B5"/>
    <w:rsid w:val="00C6756B"/>
    <w:rsid w:val="00CB32C5"/>
    <w:rsid w:val="00CB6BF6"/>
    <w:rsid w:val="00CC6A2A"/>
    <w:rsid w:val="00CE0F98"/>
    <w:rsid w:val="00D400D8"/>
    <w:rsid w:val="00D528BD"/>
    <w:rsid w:val="00D562CB"/>
    <w:rsid w:val="00D63D3C"/>
    <w:rsid w:val="00D919DC"/>
    <w:rsid w:val="00DA26D1"/>
    <w:rsid w:val="00DD2ED7"/>
    <w:rsid w:val="00DD4B66"/>
    <w:rsid w:val="00DD4C8D"/>
    <w:rsid w:val="00DE6DC8"/>
    <w:rsid w:val="00E00410"/>
    <w:rsid w:val="00E15933"/>
    <w:rsid w:val="00E23731"/>
    <w:rsid w:val="00E66FC5"/>
    <w:rsid w:val="00E908FF"/>
    <w:rsid w:val="00E95A59"/>
    <w:rsid w:val="00EA1849"/>
    <w:rsid w:val="00ED1D31"/>
    <w:rsid w:val="00EE6127"/>
    <w:rsid w:val="00F129D8"/>
    <w:rsid w:val="00F52053"/>
    <w:rsid w:val="00F60ED8"/>
    <w:rsid w:val="00F6159F"/>
    <w:rsid w:val="00F75E6C"/>
    <w:rsid w:val="00F93853"/>
    <w:rsid w:val="00F96557"/>
    <w:rsid w:val="00FA3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caption" w:uiPriority="35" w:qFormat="1"/>
    <w:lsdException w:name="table of figures" w:uiPriority="99"/>
    <w:lsdException w:name="Hyperlink" w:uiPriority="99"/>
    <w:lsdException w:name="TOC Heading" w:uiPriority="39" w:qFormat="1"/>
  </w:latentStyles>
  <w:style w:type="paragraph" w:default="1" w:styleId="Normal">
    <w:name w:val="Normal"/>
    <w:qFormat/>
    <w:rsid w:val="007D3130"/>
  </w:style>
  <w:style w:type="paragraph" w:styleId="Heading1">
    <w:name w:val="heading 1"/>
    <w:basedOn w:val="Normal"/>
    <w:next w:val="Normal"/>
    <w:link w:val="Heading1Char"/>
    <w:rsid w:val="00712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6557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F53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8DE"/>
    <w:pPr>
      <w:ind w:left="720"/>
      <w:contextualSpacing/>
    </w:pPr>
  </w:style>
  <w:style w:type="paragraph" w:styleId="TableofFigures">
    <w:name w:val="table of figures"/>
    <w:basedOn w:val="Normal"/>
    <w:next w:val="Normal"/>
    <w:uiPriority w:val="99"/>
    <w:rsid w:val="0071222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71222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12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12229"/>
    <w:pPr>
      <w:outlineLvl w:val="9"/>
    </w:pPr>
    <w:rPr>
      <w:lang w:val="en-US" w:eastAsia="ja-JP"/>
    </w:rPr>
  </w:style>
  <w:style w:type="character" w:styleId="CommentReference">
    <w:name w:val="annotation reference"/>
    <w:basedOn w:val="DefaultParagraphFont"/>
    <w:rsid w:val="007B02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0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0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B0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02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caption" w:uiPriority="35" w:qFormat="1"/>
    <w:lsdException w:name="table of figures" w:uiPriority="99"/>
    <w:lsdException w:name="Hyperlink" w:uiPriority="99"/>
    <w:lsdException w:name="TOC Heading" w:uiPriority="39" w:qFormat="1"/>
  </w:latentStyles>
  <w:style w:type="paragraph" w:default="1" w:styleId="Normal">
    <w:name w:val="Normal"/>
    <w:qFormat/>
    <w:rsid w:val="007D3130"/>
  </w:style>
  <w:style w:type="paragraph" w:styleId="Heading1">
    <w:name w:val="heading 1"/>
    <w:basedOn w:val="Normal"/>
    <w:next w:val="Normal"/>
    <w:link w:val="Heading1Char"/>
    <w:rsid w:val="00712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6557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F53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8DE"/>
    <w:pPr>
      <w:ind w:left="720"/>
      <w:contextualSpacing/>
    </w:pPr>
  </w:style>
  <w:style w:type="paragraph" w:styleId="TableofFigures">
    <w:name w:val="table of figures"/>
    <w:basedOn w:val="Normal"/>
    <w:next w:val="Normal"/>
    <w:uiPriority w:val="99"/>
    <w:rsid w:val="0071222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71222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12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12229"/>
    <w:pPr>
      <w:outlineLvl w:val="9"/>
    </w:pPr>
    <w:rPr>
      <w:lang w:val="en-US" w:eastAsia="ja-JP"/>
    </w:rPr>
  </w:style>
  <w:style w:type="character" w:styleId="CommentReference">
    <w:name w:val="annotation reference"/>
    <w:basedOn w:val="DefaultParagraphFont"/>
    <w:rsid w:val="007B02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0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0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B0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02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McCarthy</dc:creator>
  <cp:lastModifiedBy>Nina McCarthy</cp:lastModifiedBy>
  <cp:revision>13</cp:revision>
  <cp:lastPrinted>2014-10-13T04:48:00Z</cp:lastPrinted>
  <dcterms:created xsi:type="dcterms:W3CDTF">2014-07-10T08:03:00Z</dcterms:created>
  <dcterms:modified xsi:type="dcterms:W3CDTF">2014-10-13T05:48:00Z</dcterms:modified>
</cp:coreProperties>
</file>