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6A6" w:rsidRPr="001C3E32" w:rsidRDefault="003966A6" w:rsidP="003966A6">
      <w:pPr>
        <w:autoSpaceDE w:val="0"/>
        <w:autoSpaceDN w:val="0"/>
        <w:adjustRightInd w:val="0"/>
        <w:spacing w:line="288" w:lineRule="auto"/>
        <w:jc w:val="both"/>
        <w:rPr>
          <w:b/>
          <w:color w:val="0000CC"/>
        </w:rPr>
      </w:pPr>
      <w:r w:rsidRPr="001C3E32">
        <w:rPr>
          <w:b/>
          <w:color w:val="0000CC"/>
        </w:rPr>
        <w:t>A. Enrichment of true homologues</w:t>
      </w:r>
    </w:p>
    <w:p w:rsidR="003966A6" w:rsidRPr="001C3E32" w:rsidRDefault="003966A6" w:rsidP="003B6491">
      <w:pPr>
        <w:autoSpaceDE w:val="0"/>
        <w:autoSpaceDN w:val="0"/>
        <w:adjustRightInd w:val="0"/>
        <w:spacing w:line="288" w:lineRule="auto"/>
        <w:jc w:val="both"/>
        <w:rPr>
          <w:color w:val="0000CC"/>
        </w:rPr>
      </w:pPr>
    </w:p>
    <w:p w:rsidR="00D22821" w:rsidRPr="001C3E32" w:rsidRDefault="00D22821" w:rsidP="003B6491">
      <w:pPr>
        <w:autoSpaceDE w:val="0"/>
        <w:autoSpaceDN w:val="0"/>
        <w:adjustRightInd w:val="0"/>
        <w:spacing w:line="288" w:lineRule="auto"/>
        <w:jc w:val="both"/>
        <w:rPr>
          <w:color w:val="0000CC"/>
        </w:rPr>
      </w:pPr>
      <w:r w:rsidRPr="001C3E32">
        <w:rPr>
          <w:color w:val="0000CC"/>
        </w:rPr>
        <w:t>Enrichment of true homologues was carried out using a database of hits collected at the stringent E-value of 10</w:t>
      </w:r>
      <w:r w:rsidRPr="001C3E32">
        <w:rPr>
          <w:color w:val="0000CC"/>
          <w:vertAlign w:val="superscript"/>
        </w:rPr>
        <w:t>-10</w:t>
      </w:r>
      <w:r w:rsidRPr="001C3E32">
        <w:rPr>
          <w:color w:val="0000CC"/>
        </w:rPr>
        <w:t xml:space="preserve"> as shown in Additional file 3. POP homologues collected at the relaxed E-value of 10</w:t>
      </w:r>
      <w:r w:rsidRPr="001C3E32">
        <w:rPr>
          <w:color w:val="0000CC"/>
          <w:vertAlign w:val="superscript"/>
        </w:rPr>
        <w:t>-3</w:t>
      </w:r>
      <w:r w:rsidRPr="001C3E32">
        <w:rPr>
          <w:color w:val="0000CC"/>
        </w:rPr>
        <w:t xml:space="preserve"> were considered as a query sequence to perform </w:t>
      </w:r>
      <w:r w:rsidR="001C3E32" w:rsidRPr="001C3E32">
        <w:rPr>
          <w:color w:val="0000CC"/>
        </w:rPr>
        <w:t>BLASTP against</w:t>
      </w:r>
      <w:r w:rsidRPr="001C3E32">
        <w:rPr>
          <w:color w:val="0000CC"/>
        </w:rPr>
        <w:t xml:space="preserve"> this database which led to the identification of 1219 additional POP homologues.</w:t>
      </w:r>
    </w:p>
    <w:p w:rsidR="00233662" w:rsidRDefault="00233662" w:rsidP="003B6491">
      <w:pPr>
        <w:autoSpaceDE w:val="0"/>
        <w:autoSpaceDN w:val="0"/>
        <w:adjustRightInd w:val="0"/>
        <w:spacing w:line="288" w:lineRule="auto"/>
        <w:jc w:val="both"/>
        <w:rPr>
          <w:color w:val="3333FF"/>
        </w:rPr>
      </w:pPr>
    </w:p>
    <w:p w:rsidR="003B6491" w:rsidRDefault="003966A6" w:rsidP="003B6491">
      <w:pPr>
        <w:autoSpaceDE w:val="0"/>
        <w:autoSpaceDN w:val="0"/>
        <w:adjustRightInd w:val="0"/>
        <w:spacing w:line="288" w:lineRule="auto"/>
        <w:jc w:val="both"/>
        <w:rPr>
          <w:b/>
        </w:rPr>
      </w:pPr>
      <w:r>
        <w:rPr>
          <w:b/>
        </w:rPr>
        <w:t>B</w:t>
      </w:r>
      <w:r w:rsidR="00A13675">
        <w:rPr>
          <w:b/>
        </w:rPr>
        <w:t xml:space="preserve">. </w:t>
      </w:r>
      <w:r w:rsidR="003B6491">
        <w:rPr>
          <w:b/>
        </w:rPr>
        <w:t xml:space="preserve">Relative abundance and occurrence </w:t>
      </w:r>
    </w:p>
    <w:p w:rsidR="003B6491" w:rsidRPr="003B6491" w:rsidRDefault="003B6491" w:rsidP="003B6491">
      <w:pPr>
        <w:autoSpaceDE w:val="0"/>
        <w:autoSpaceDN w:val="0"/>
        <w:adjustRightInd w:val="0"/>
        <w:spacing w:line="288" w:lineRule="auto"/>
        <w:jc w:val="both"/>
        <w:rPr>
          <w:b/>
        </w:rPr>
      </w:pPr>
    </w:p>
    <w:p w:rsidR="003B6491" w:rsidRPr="003B6491" w:rsidRDefault="003B6491" w:rsidP="003B6491">
      <w:pPr>
        <w:autoSpaceDE w:val="0"/>
        <w:autoSpaceDN w:val="0"/>
        <w:adjustRightInd w:val="0"/>
        <w:spacing w:line="288" w:lineRule="auto"/>
        <w:jc w:val="both"/>
      </w:pPr>
      <w:r w:rsidRPr="003B6491">
        <w:t xml:space="preserve">Relative abundance or relative density was determined as a ratio of number of homologues of POP identified in a phylum by the total number of targeted bacterial proteomes. Relative density of </w:t>
      </w:r>
      <w:proofErr w:type="spellStart"/>
      <w:r w:rsidRPr="003B6491">
        <w:rPr>
          <w:i/>
          <w:iCs/>
        </w:rPr>
        <w:t>Actinobacteria</w:t>
      </w:r>
      <w:proofErr w:type="spellEnd"/>
      <w:r w:rsidRPr="003B6491">
        <w:t xml:space="preserve"> and </w:t>
      </w:r>
      <w:proofErr w:type="spellStart"/>
      <w:r w:rsidRPr="003B6491">
        <w:rPr>
          <w:i/>
          <w:iCs/>
        </w:rPr>
        <w:t>Planctomycetes</w:t>
      </w:r>
      <w:proofErr w:type="spellEnd"/>
      <w:r w:rsidRPr="003B6491">
        <w:t xml:space="preserve"> was observed to be highest, suggesting higher number of POP homologues per proteome in these classes of bacteria. This high density of POP homologues infers the importance of POPs in these bacteria. However, archaea showed lower representation of POP homologues. Similarly, relative occurrence indicated that POP homologues were highest in </w:t>
      </w:r>
      <w:proofErr w:type="spellStart"/>
      <w:r w:rsidRPr="003B6491">
        <w:rPr>
          <w:i/>
          <w:iCs/>
        </w:rPr>
        <w:t>Elusimicrobium</w:t>
      </w:r>
      <w:proofErr w:type="spellEnd"/>
      <w:r w:rsidR="000D3BF5">
        <w:t>.</w:t>
      </w:r>
    </w:p>
    <w:p w:rsidR="00DD18CA" w:rsidRDefault="00DD18CA"/>
    <w:p w:rsidR="003B6491" w:rsidRDefault="003B6491" w:rsidP="001C3E32">
      <w:pPr>
        <w:jc w:val="center"/>
      </w:pPr>
      <w:r>
        <w:rPr>
          <w:noProof/>
          <w:lang w:val="en-US"/>
        </w:rPr>
        <w:drawing>
          <wp:inline distT="0" distB="0" distL="0" distR="0">
            <wp:extent cx="5184251" cy="355423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tif"/>
                    <pic:cNvPicPr/>
                  </pic:nvPicPr>
                  <pic:blipFill rotWithShape="1">
                    <a:blip r:embed="rId6" cstate="print">
                      <a:extLst>
                        <a:ext uri="{28A0092B-C50C-407E-A947-70E740481C1C}">
                          <a14:useLocalDpi xmlns:a14="http://schemas.microsoft.com/office/drawing/2010/main" val="0"/>
                        </a:ext>
                      </a:extLst>
                    </a:blip>
                    <a:srcRect l="5882" t="10338" r="6952" b="9982"/>
                    <a:stretch/>
                  </pic:blipFill>
                  <pic:spPr bwMode="auto">
                    <a:xfrm>
                      <a:off x="0" y="0"/>
                      <a:ext cx="5180785" cy="3551858"/>
                    </a:xfrm>
                    <a:prstGeom prst="rect">
                      <a:avLst/>
                    </a:prstGeom>
                    <a:ln>
                      <a:noFill/>
                    </a:ln>
                    <a:extLst>
                      <a:ext uri="{53640926-AAD7-44D8-BBD7-CCE9431645EC}">
                        <a14:shadowObscured xmlns:a14="http://schemas.microsoft.com/office/drawing/2010/main"/>
                      </a:ext>
                    </a:extLst>
                  </pic:spPr>
                </pic:pic>
              </a:graphicData>
            </a:graphic>
          </wp:inline>
        </w:drawing>
      </w:r>
    </w:p>
    <w:p w:rsidR="003B6491" w:rsidRDefault="003B6491"/>
    <w:p w:rsidR="003B6491" w:rsidRDefault="003B6491"/>
    <w:p w:rsidR="003966A6" w:rsidRDefault="003966A6" w:rsidP="003966A6">
      <w:pPr>
        <w:spacing w:line="288" w:lineRule="auto"/>
        <w:jc w:val="both"/>
        <w:rPr>
          <w:b/>
          <w:color w:val="0000CC"/>
        </w:rPr>
      </w:pPr>
    </w:p>
    <w:p w:rsidR="003966A6" w:rsidRDefault="003966A6" w:rsidP="003966A6">
      <w:pPr>
        <w:spacing w:line="288" w:lineRule="auto"/>
        <w:jc w:val="both"/>
        <w:rPr>
          <w:b/>
          <w:color w:val="0000CC"/>
        </w:rPr>
      </w:pPr>
    </w:p>
    <w:p w:rsidR="003966A6" w:rsidRDefault="003966A6" w:rsidP="003966A6">
      <w:pPr>
        <w:spacing w:line="288" w:lineRule="auto"/>
        <w:jc w:val="both"/>
        <w:rPr>
          <w:b/>
          <w:color w:val="0000CC"/>
        </w:rPr>
      </w:pPr>
    </w:p>
    <w:p w:rsidR="003966A6" w:rsidRPr="003966A6" w:rsidRDefault="003966A6" w:rsidP="003966A6">
      <w:pPr>
        <w:spacing w:line="288" w:lineRule="auto"/>
        <w:jc w:val="both"/>
        <w:rPr>
          <w:b/>
          <w:color w:val="0000CC"/>
        </w:rPr>
      </w:pPr>
      <w:r w:rsidRPr="003966A6">
        <w:rPr>
          <w:b/>
          <w:color w:val="0000CC"/>
        </w:rPr>
        <w:lastRenderedPageBreak/>
        <w:t>C. Other domain architectures of POP homologues</w:t>
      </w:r>
    </w:p>
    <w:p w:rsidR="003966A6" w:rsidRDefault="003966A6" w:rsidP="003966A6">
      <w:pPr>
        <w:spacing w:line="288" w:lineRule="auto"/>
        <w:jc w:val="both"/>
        <w:rPr>
          <w:color w:val="0000CC"/>
        </w:rPr>
      </w:pPr>
    </w:p>
    <w:p w:rsidR="003966A6" w:rsidRDefault="003966A6" w:rsidP="003966A6">
      <w:pPr>
        <w:spacing w:line="288" w:lineRule="auto"/>
        <w:jc w:val="both"/>
        <w:rPr>
          <w:color w:val="0000CC"/>
        </w:rPr>
      </w:pPr>
      <w:r w:rsidRPr="00233662">
        <w:rPr>
          <w:color w:val="0000CC"/>
        </w:rPr>
        <w:t xml:space="preserve">POP homologues in bacterial genomes were also found to co-exist with many other domains e.g. </w:t>
      </w:r>
      <w:proofErr w:type="spellStart"/>
      <w:r w:rsidRPr="00233662">
        <w:rPr>
          <w:color w:val="0000CC"/>
        </w:rPr>
        <w:t>Osmc</w:t>
      </w:r>
      <w:proofErr w:type="spellEnd"/>
      <w:r w:rsidRPr="00233662">
        <w:rPr>
          <w:color w:val="0000CC"/>
        </w:rPr>
        <w:t xml:space="preserve">-like proteins, which are stress induced proteins involved in cellular defense mechanism against oxidative stress caused by exposure to </w:t>
      </w:r>
      <w:proofErr w:type="spellStart"/>
      <w:r w:rsidRPr="00233662">
        <w:rPr>
          <w:color w:val="0000CC"/>
        </w:rPr>
        <w:t>hyperoxides</w:t>
      </w:r>
      <w:proofErr w:type="spellEnd"/>
      <w:r w:rsidRPr="00233662">
        <w:rPr>
          <w:color w:val="0000CC"/>
        </w:rPr>
        <w:t xml:space="preserve"> or elevated </w:t>
      </w:r>
      <w:proofErr w:type="spellStart"/>
      <w:r w:rsidRPr="00233662">
        <w:rPr>
          <w:color w:val="0000CC"/>
        </w:rPr>
        <w:t>osmolarity</w:t>
      </w:r>
      <w:proofErr w:type="spellEnd"/>
      <w:r w:rsidR="009A03C5">
        <w:rPr>
          <w:color w:val="0000CC"/>
        </w:rPr>
        <w:t xml:space="preserve"> </w:t>
      </w:r>
      <w:r w:rsidR="00BF6877">
        <w:rPr>
          <w:color w:val="0000CC"/>
        </w:rPr>
        <w:fldChar w:fldCharType="begin"/>
      </w:r>
      <w:r w:rsidR="00BF6877">
        <w:rPr>
          <w:color w:val="0000CC"/>
        </w:rPr>
        <w:instrText xml:space="preserve"> ADDIN ZOTERO_ITEM CSL_CITATION {"citationID":"1l24k3bmv3","properties":{"formattedCitation":"[1, 2]","plainCitation":"[1, 2]"},"citationItems":[{"id":322,"uris":["http://zotero.org/users/local/SISQyk9S/items/I5QMSA7H"],"uri":["http://zotero.org/users/local/SISQyk9S/items/I5QMSA7H"],"itemData":{"id":322,"type":"article-journal","title":"Structural and functional characterization of osmotically inducible protein C (OsmC) from Thermococcus kodakaraensis KOD1","container-title":"Biochimica et biophysica acta","page":"783-788","volume":"1784","issue":"5","source":"NCBI PubMed","abstract":"Osmotically inducible protein C (OsmC) is involved in the cellular defense mechanism against oxidative stress caused by exposure to hyperoxides or elevated osmolarity. OsmC was identified by two-dimensional electrophoresis (2DE) analysis as a protein that is overexpressed in response to osmotic stress, but not under heat and oxidative stress. Here, an OsmC gene from T. kodakaraensis KOD1 was cloned and expressed in Escherichia coli. TkOsmC showed a homotetrameric structure based on gel filtration and electron microscopic analyses. TkOsmC has a significant peroxidase activity toward both organic and inorganic peroxides in high, but not in low temperature.","DOI":"10.1016/j.bbapap.2008.02.002","ISSN":"0006-3002","note":"PMID: 18319068","journalAbbreviation":"Biochim. Biophys. Acta","author":[{"family":"Park","given":"Seong-Cheol"},{"family":"Pham","given":"Bang Phuong"},{"family":"Van Duyet","given":"Le"},{"family":"Jia","given":"Baolei"},{"family":"Lee","given":"Sangmin"},{"family":"Yu","given":"Rui"},{"family":"Han","given":"Sang Woo"},{"family":"Yang","given":"Jae-Kyung"},{"family":"Hahm","given":"Kyung-Soo"},{"family":"Cheong","given":"Gang-Won"}],"issued":{"date-parts":[["2008",5]]},"PMID":"18319068"},"label":"page"},{"id":324,"uris":["http://zotero.org/users/local/SISQyk9S/items/KTXHRGKZ"],"uri":["http://zotero.org/users/local/SISQyk9S/items/KTXHRGKZ"],"itemData":{"id":324,"type":"article-journal","title":"Stress genes and proteins in the archaea","container-title":"Microbiology and molecular biology reviews: MMBR","page":"923-967, table of contents","volume":"63","issue":"4","source":"NCBI PubMed","abstract":"The field covered in this review is new; the first sequence of a gene encoding the molecular chaperone Hsp70 and the first description of a chaperonin in the archaea were reported in 1991. These findings boosted research in other areas beyond the archaea that were directly relevant to bacteria and eukaryotes, for example, stress gene regulation, the structure-function relationship of the chaperonin complex, protein-based molecular phylogeny of organisms and eukaryotic-cell organelles, molecular biology and biochemistry of life in extreme environments, and stress tolerance at the cellular and molecular levels. In the last 8 years, archaeal stress genes and proteins belonging to the families Hsp70, Hsp60 (chaperonins), Hsp40(DnaJ), and small heat-shock proteins (sHsp) have been studied. The hsp70(dnaK), hsp40(dnaJ), and grpE genes (the chaperone machine) have been sequenced in seven, four, and two species, respectively, but their expression has been examined in detail only in the mesophilic methanogen Methanosarcina mazei S-6. The proteins possess markers typical of bacterial homologs but none of the signatures distinctive of eukaryotes. In contrast, gene expression and transcription initiation signals and factors are of the eucaryal type, which suggests a hybrid archaeal-bacterial complexion for the Hsp70 system. Another remarkable feature is that several archaeal species in different phylogenetic branches do not have the gene hsp70(dnaK), an evolutionary puzzle that raises the important question of what replaces the product of this gene, Hsp70(DnaK), in protein biogenesis and refolding and for stress resistance. Although archaea are prokaryotes like bacteria, their Hsp60 (chaperonin) family is of type (group) II, similar to that of the eukaryotic cytosol; however, unlike the latter, which has several different members, the archaeal chaperonin system usually includes only two (in some species one and in others possibly three) related subunits of approximately 60 kDa. These form, in various combinations depending on the species, a large structure or chaperonin complex sometimes called the thermosome. This multimolecular assembly is similar to the bacterial chaperonin complex GroEL/S, but it is made of only the large, double-ring oligomers each with eight (or nine) subunits instead of seven as in the bacterial complex. Like Hsp70(DnaK), the archaeal chaperonin subunits are remarkable for their evolution, but for a different reason. Ubiquitous among archaea, the chaperonins show a pattern of recurrent gene duplication-hetero-oligomeric chaperonin complexes appear to have evolved several times independently. The stress response and stress tolerance in the archaea involve chaperones, chaperonins, other heat shock (stress) proteins including sHsp, thermoprotectants, the proteasome, as yet incompletely understood thermoresistant features of many molecules, and formation of multicellular structures. The latter structures include single- and mixed-species (bacterial-archaeal) types. Many questions remain unanswered, and the field offers extraordinary opportunities owing to the diversity, genetic makeup, and phylogenetic position of archaea and the variety of ecosystems they inhabit. Specific aspects that deserve investigation are elucidation of the mechanism of action of the chaperonin complex at different temperatures, identification of the partners and substitutes for the Hsp70 chaperone machine, analysis of protein folding and refolding in hyperthermophiles, and determination of the molecular mechanisms involved in stress gene regulation in archaeal species that thrive under widely different conditions (temperature, pH, osmolarity, and barometric pressure). These studies are now possible with uni- and multicellular archaeal models and are relevant to various areas of basic and applied research, including exploration and conquest of ecosystems inhospitable to humans and many mammals and plants.","ISSN":"1092-2172","note":"PMID: 10585970","journalAbbreviation":"Microbiol. Mol. Biol. Rev.","author":[{"family":"Macario","given":"A J"},{"family":"Lange","given":"M"},{"family":"Ahring","given":"B K"},{"family":"Conway de Macario","given":"E"}],"issued":{"date-parts":[["1999",12]]},"PMID":"10585970"},"label":"page"}],"schema":"https://github.com/citation-style-language/schema/raw/master/csl-citation.json"} </w:instrText>
      </w:r>
      <w:r w:rsidR="00BF6877">
        <w:rPr>
          <w:color w:val="0000CC"/>
        </w:rPr>
        <w:fldChar w:fldCharType="separate"/>
      </w:r>
      <w:r w:rsidR="00BF6877" w:rsidRPr="00BF6877">
        <w:t>[1, 2]</w:t>
      </w:r>
      <w:r w:rsidR="00BF6877">
        <w:rPr>
          <w:color w:val="0000CC"/>
        </w:rPr>
        <w:fldChar w:fldCharType="end"/>
      </w:r>
      <w:r w:rsidRPr="00233662">
        <w:rPr>
          <w:color w:val="0000CC"/>
        </w:rPr>
        <w:t xml:space="preserve">. Most of these were found in phylum </w:t>
      </w:r>
      <w:proofErr w:type="spellStart"/>
      <w:r w:rsidRPr="00233662">
        <w:rPr>
          <w:i/>
          <w:iCs/>
          <w:color w:val="0000CC"/>
        </w:rPr>
        <w:t>Proteobacteria</w:t>
      </w:r>
      <w:proofErr w:type="spellEnd"/>
      <w:r w:rsidRPr="00233662">
        <w:rPr>
          <w:color w:val="0000CC"/>
        </w:rPr>
        <w:t>. POP domains were also associated with cyclic nucleotide binding domain (proteins that bind cyclic nucleotide), β-lactamase domains (enzymes produced by some bacteria that are responsible for their resistance to β-lactam antibiotics), cellulose-binding domains (associated with enzymes in plant cell wall hydrolysis), FGE-</w:t>
      </w:r>
      <w:proofErr w:type="spellStart"/>
      <w:r w:rsidRPr="00233662">
        <w:rPr>
          <w:color w:val="0000CC"/>
        </w:rPr>
        <w:t>sulfatase</w:t>
      </w:r>
      <w:proofErr w:type="spellEnd"/>
      <w:r w:rsidRPr="00233662">
        <w:rPr>
          <w:color w:val="0000CC"/>
        </w:rPr>
        <w:t xml:space="preserve"> (</w:t>
      </w:r>
      <w:proofErr w:type="spellStart"/>
      <w:r w:rsidRPr="00233662">
        <w:rPr>
          <w:color w:val="0000CC"/>
        </w:rPr>
        <w:t>Formylglycine</w:t>
      </w:r>
      <w:proofErr w:type="spellEnd"/>
      <w:r w:rsidRPr="00233662">
        <w:rPr>
          <w:color w:val="0000CC"/>
        </w:rPr>
        <w:t xml:space="preserve">-generating </w:t>
      </w:r>
      <w:proofErr w:type="spellStart"/>
      <w:r w:rsidRPr="00233662">
        <w:rPr>
          <w:color w:val="0000CC"/>
        </w:rPr>
        <w:t>sulfatase</w:t>
      </w:r>
      <w:proofErr w:type="spellEnd"/>
      <w:r w:rsidRPr="00233662">
        <w:rPr>
          <w:color w:val="0000CC"/>
        </w:rPr>
        <w:t xml:space="preserve"> that converts newly synthesized inactive </w:t>
      </w:r>
      <w:proofErr w:type="spellStart"/>
      <w:r w:rsidRPr="00233662">
        <w:rPr>
          <w:color w:val="0000CC"/>
        </w:rPr>
        <w:t>sulfatase</w:t>
      </w:r>
      <w:proofErr w:type="spellEnd"/>
      <w:r w:rsidRPr="00233662">
        <w:rPr>
          <w:color w:val="0000CC"/>
        </w:rPr>
        <w:t xml:space="preserve"> to their active forms), biotin attachment domain (binds biotin or </w:t>
      </w:r>
      <w:proofErr w:type="spellStart"/>
      <w:r w:rsidRPr="00233662">
        <w:rPr>
          <w:color w:val="0000CC"/>
        </w:rPr>
        <w:t>lipoic</w:t>
      </w:r>
      <w:proofErr w:type="spellEnd"/>
      <w:r w:rsidRPr="00233662">
        <w:rPr>
          <w:color w:val="0000CC"/>
        </w:rPr>
        <w:t xml:space="preserve"> acid) and S-layer homology domain (</w:t>
      </w:r>
      <w:proofErr w:type="spellStart"/>
      <w:r w:rsidRPr="00233662">
        <w:rPr>
          <w:color w:val="0000CC"/>
        </w:rPr>
        <w:t>monolayered</w:t>
      </w:r>
      <w:proofErr w:type="spellEnd"/>
      <w:r w:rsidRPr="00233662">
        <w:rPr>
          <w:color w:val="0000CC"/>
        </w:rPr>
        <w:t xml:space="preserve"> assemblies of glycol protein which coats the surface of bacteria) </w:t>
      </w:r>
      <w:r w:rsidR="00BF6877">
        <w:rPr>
          <w:color w:val="0000CC"/>
        </w:rPr>
        <w:fldChar w:fldCharType="begin"/>
      </w:r>
      <w:r w:rsidR="00BF6877">
        <w:rPr>
          <w:color w:val="0000CC"/>
        </w:rPr>
        <w:instrText xml:space="preserve"> ADDIN ZOTERO_ITEM CSL_CITATION {"citationID":"2aldrjl2sf","properties":{"formattedCitation":"{\\rtf [1\\uc0\\u8211{}8]}","plainCitation":"[1–8]"},"citationItems":[{"id":322,"uris":["http://zotero.org/users/local/SISQyk9S/items/I5QMSA7H"],"uri":["http://zotero.org/users/local/SISQyk9S/items/I5QMSA7H"],"itemData":{"id":322,"type":"article-journal","title":"Structural and functional characterization of osmotically inducible protein C (OsmC) from Thermococcus kodakaraensis KOD1","container-title":"Biochimica et biophysica acta","page":"783-788","volume":"1784","issue":"5","source":"NCBI PubMed","abstract":"Osmotically inducible protein C (OsmC) is involved in the cellular defense mechanism against oxidative stress caused by exposure to hyperoxides or elevated osmolarity. OsmC was identified by two-dimensional electrophoresis (2DE) analysis as a protein that is overexpressed in response to osmotic stress, but not under heat and oxidative stress. Here, an OsmC gene from T. kodakaraensis KOD1 was cloned and expressed in Escherichia coli. TkOsmC showed a homotetrameric structure based on gel filtration and electron microscopic analyses. TkOsmC has a significant peroxidase activity toward both organic and inorganic peroxides in high, but not in low temperature.","DOI":"10.1016/j.bbapap.2008.02.002","ISSN":"0006-3002","note":"PMID: 18319068","journalAbbreviation":"Biochim. Biophys. Acta","author":[{"family":"Park","given":"Seong-Cheol"},{"family":"Pham","given":"Bang Phuong"},{"family":"Van Duyet","given":"Le"},{"family":"Jia","given":"Baolei"},{"family":"Lee","given":"Sangmin"},{"family":"Yu","given":"Rui"},{"family":"Han","given":"Sang Woo"},{"family":"Yang","given":"Jae-Kyung"},{"family":"Hahm","given":"Kyung-Soo"},{"family":"Cheong","given":"Gang-Won"}],"issued":{"date-parts":[["2008",5]]},"PMID":"18319068"},"label":"page"},{"id":324,"uris":["http://zotero.org/users/local/SISQyk9S/items/KTXHRGKZ"],"uri":["http://zotero.org/users/local/SISQyk9S/items/KTXHRGKZ"],"itemData":{"id":324,"type":"article-journal","title":"Stress genes and proteins in the archaea","container-title":"Microbiology and molecular biology reviews: MMBR","page":"923-967, table of contents","volume":"63","issue":"4","source":"NCBI PubMed","abstract":"The field covered in this review is new; the first sequence of a gene encoding the molecular chaperone Hsp70 and the first description of a chaperonin in the archaea were reported in 1991. These findings boosted research in other areas beyond the archaea that were directly relevant to bacteria and eukaryotes, for example, stress gene regulation, the structure-function relationship of the chaperonin complex, protein-based molecular phylogeny of organisms and eukaryotic-cell organelles, molecular biology and biochemistry of life in extreme environments, and stress tolerance at the cellular and molecular levels. In the last 8 years, archaeal stress genes and proteins belonging to the families Hsp70, Hsp60 (chaperonins), Hsp40(DnaJ), and small heat-shock proteins (sHsp) have been studied. The hsp70(dnaK), hsp40(dnaJ), and grpE genes (the chaperone machine) have been sequenced in seven, four, and two species, respectively, but their expression has been examined in detail only in the mesophilic methanogen Methanosarcina mazei S-6. The proteins possess markers typical of bacterial homologs but none of the signatures distinctive of eukaryotes. In contrast, gene expression and transcription initiation signals and factors are of the eucaryal type, which suggests a hybrid archaeal-bacterial complexion for the Hsp70 system. Another remarkable feature is that several archaeal species in different phylogenetic branches do not have the gene hsp70(dnaK), an evolutionary puzzle that raises the important question of what replaces the product of this gene, Hsp70(DnaK), in protein biogenesis and refolding and for stress resistance. Although archaea are prokaryotes like bacteria, their Hsp60 (chaperonin) family is of type (group) II, similar to that of the eukaryotic cytosol; however, unlike the latter, which has several different members, the archaeal chaperonin system usually includes only two (in some species one and in others possibly three) related subunits of approximately 60 kDa. These form, in various combinations depending on the species, a large structure or chaperonin complex sometimes called the thermosome. This multimolecular assembly is similar to the bacterial chaperonin complex GroEL/S, but it is made of only the large, double-ring oligomers each with eight (or nine) subunits instead of seven as in the bacterial complex. Like Hsp70(DnaK), the archaeal chaperonin subunits are remarkable for their evolution, but for a different reason. Ubiquitous among archaea, the chaperonins show a pattern of recurrent gene duplication-hetero-oligomeric chaperonin complexes appear to have evolved several times independently. The stress response and stress tolerance in the archaea involve chaperones, chaperonins, other heat shock (stress) proteins including sHsp, thermoprotectants, the proteasome, as yet incompletely understood thermoresistant features of many molecules, and formation of multicellular structures. The latter structures include single- and mixed-species (bacterial-archaeal) types. Many questions remain unanswered, and the field offers extraordinary opportunities owing to the diversity, genetic makeup, and phylogenetic position of archaea and the variety of ecosystems they inhabit. Specific aspects that deserve investigation are elucidation of the mechanism of action of the chaperonin complex at different temperatures, identification of the partners and substitutes for the Hsp70 chaperone machine, analysis of protein folding and refolding in hyperthermophiles, and determination of the molecular mechanisms involved in stress gene regulation in archaeal species that thrive under widely different conditions (temperature, pH, osmolarity, and barometric pressure). These studies are now possible with uni- and multicellular archaeal models and are relevant to various areas of basic and applied research, including exploration and conquest of ecosystems inhospitable to humans and many mammals and plants.","ISSN":"1092-2172","note":"PMID: 10585970","journalAbbreviation":"Microbiol. Mol. Biol. Rev.","author":[{"family":"Macario","given":"A J"},{"family":"Lange","given":"M"},{"family":"Ahring","given":"B K"},{"family":"Conway de Macario","given":"E"}],"issued":{"date-parts":[["1999",12]]},"PMID":"10585970"},"label":"page"},{"id":326,"uris":["http://zotero.org/users/local/SISQyk9S/items/4872X3F2"],"uri":["http://zotero.org/users/local/SISQyk9S/items/4872X3F2"],"itemData":{"id":326,"type":"article-journal","title":"The 3-D structure of a zinc metallo-beta-lactamase from Bacillus cereus reveals a new type of protein fold.","container-title":"The EMBO Journal","page":"4914-4921","volume":"14","issue":"20","source":"PubMed Central","abstract":"The 3-D structure of Bacillus cereus (569/H/9) beta-lactamase (EC 3.5.2.6), which catalyses the hydrolysis of nearly all beta-lactams, has been solved at 2.5 A resolution by the multiple isomorphous replacement method, with density modification and phase combination, from crystals of the native protein and of a specially designed mutant (T97C). The current model includes 212 of the 227 amino acid residues, the zinc ion and 10 water molecules. The protein is folded into a beta beta sandwich with helices on each external face. To our knowledge, this fold has never been observed. An approximate internal molecular symmetry is found, with a 2-fold axis passing roughly through the zinc ion and suggesting a possible gene duplication. The active site is located at one edge of the beta beta sandwich and near the N-terminal end of a helix. The zinc ion is coordinated by three histidine residues (86, 88 and 149) and a water molecule. A sequence comparison of the relevant metallo-beta-lactamases, based on this protein structure, highlights a few well-conserved amino acid residues. The structure shows that most of these residues are in the active site. Among these, aspartic acid 90 and histidine 210 participate in a proposed catalytic mechanism for beta-lactam hydrolysis.","ISSN":"0261-4189","note":"PMID: 7588620\nPMCID: PMC394593","journalAbbreviation":"EMBO J","author":[{"family":"Carfi","given":"A"},{"family":"Pares","given":"S"},{"family":"Duée","given":"E"},{"family":"Galleni","given":"M"},{"family":"Duez","given":"C"},{"family":"Frère","given":"J M"},{"family":"Dideberg","given":"O"}],"issued":{"date-parts":[["1995",10,16]]},"accessed":{"date-parts":[["2012",12,15]]},"PMID":"7588620","PMCID":"PMC394593"},"label":"page"},{"id":333,"uris":["http://zotero.org/users/local/SISQyk9S/items/6PPSJH5X"],"uri":["http://zotero.org/users/local/SISQyk9S/items/6PPSJH5X"],"itemData":{"id":333,"type":"article-journal","title":"Function and structure of a prokaryotic formylglycine-generating enzyme","container-title":"The Journal of biological chemistry","page":"20117-20125","volume":"283","issue":"29","source":"NCBI PubMed","abstract":"Type I sulfatases require an unusual co- or post-translational modification for their activity in hydrolyzing sulfate esters. In eukaryotic sulfatases, an active site cysteine residue is oxidized to the aldehyde-containing C(alpha)-formylglycine residue by the formylglycine-generating enzyme (FGE). The machinery responsible for sulfatase activation is poorly understood in prokaryotes. Here we describe the identification of a prokaryotic FGE from Mycobacterium tuberculosis. In addition, we solved the crystal structure of the Streptomyces coelicolor FGE homolog to 2.1 A resolution. The prokaryotic homolog exhibits remarkable structural similarity to human FGE, including the position of catalytic cysteine residues. Both biochemical and structural data indicate the presence of an oxidized cysteine modification in the active site that may be relevant to catalysis. In addition, we generated a mutant M. tuberculosis strain lacking FGE. Although global sulfatase activity was reduced in the mutant, a significant amount of residual sulfatase activity suggests the presence of FGE-independent sulfatases in this organism.","DOI":"10.1074/jbc.M800217200","ISSN":"0021-9258","note":"PMID: 18390551","journalAbbreviation":"J. Biol. Chem.","author":[{"family":"Carlson","given":"Brian L"},{"family":"Ballister","given":"Edward R"},{"family":"Skordalakes","given":"Emmanuel"},{"family":"King","given":"David S"},{"family":"Breidenbach","given":"Mark A"},{"family":"Gilmore","given":"Sarah A"},{"family":"Berger","given":"James M"},{"family":"Bertozzi","given":"Carolyn R"}],"issued":{"date-parts":[["2008",7,18]]},"PMID":"18390551"},"label":"page"},{"id":331,"uris":["http://zotero.org/users/local/SISQyk9S/items/F9AZGN36"],"uri":["http://zotero.org/users/local/SISQyk9S/items/F9AZGN36"],"itemData":{"id":331,"type":"article-journal","title":"Cellulose-binding domains promote hydrolysis of different sites on crystalline cellulose","container-title":"Proceedings of the National Academy of Sciences of the United States of America","page":"10342-10347","volume":"97","issue":"19","source":"NCBI PubMed","abstract":"The cohesin-dockerin interaction in Clostridium thermocellum cellulosome mediates the tight binding of cellulolytic enzymes to the cellulosome-integrating protein CipA. Here, this interaction was used to study the effect of different cellulose-binding domains (CBDs) on the enzymatic activity of C. thermocellum endoglucanase CelD (1,4-beta-d endoglucanase, EC) toward various cellulosic substrates. The seventh cohesin domain of CipA was fused to CBDs originating from the Trichoderma reesei cellobiohydrolases I and II (CBD(CBH1) and CBD(CBH2)) (1,4-beta-d glucan-cellobiohydrolase, EC), from the Cellulomonas fimi xylanase/exoglucanase Cex (CBD(Cex)) (beta-1,4-d glucanase, EC), and from C. thermocellum CipA (CBD(CipA)). The CBD-cohesin hybrids interacted with the dockerin domain of CelD, leading to the formation of CelD-CBD complexes. Each of the CBDs increased the fraction of cellulose accessible to hydrolysis by CelD in the order CBD(CBH1) &lt; CBD(CBH2) approximately CBD(Cex) &lt; CBD(CipA). In all cases, the extent of hydrolysis was limited by the disappearance of sites accessible to CelD. Addition of a batch of fresh cellulose after completion of the reaction resulted in a new burst of activity, proving the reversible binding of the intact complexes despite the apparent binding irreversibility of some CBDs. Furthermore, burst of activity also was observed upon adding new batches of CelD-CBD complexes that contained a CBD differing from the first one. This complementation between different CBDs suggests that the sites made available for hydrolysis by each of the CBDs are at least partially nonoverlapping. The only exception was CBD(CipA), whose sites appeared to overlap all of the other sites.","DOI":"10.1073/pnas.160216697","ISSN":"0027-8424","note":"PMID: 10962023","journalAbbreviation":"Proc. Natl. Acad. Sci. U.S.A.","author":[{"family":"Carrard","given":"G"},{"family":"Koivula","given":"A"},{"family":"Söderlund","given":"H"},{"family":"Béguin","given":"P"}],"issued":{"date-parts":[["2000",9,12]]},"PMID":"10962023"},"label":"page"},{"id":335,"uris":["http://zotero.org/users/local/SISQyk9S/items/UCVWKT9X"],"uri":["http://zotero.org/users/local/SISQyk9S/items/UCVWKT9X"],"itemData":{"id":335,"type":"article-journal","title":"Molecular Biology of Biotin Attachment to Proteins","container-title":"The Journal of Nutrition","page":"477S-484S","volume":"129","issue":"2","source":"jn.nutrition.org","abstract":"Enzymatic attachment of biotin to proteins requires the interaction of a distinct domain of the acceptor protein (the “biotin domain”) with the enzyme, biotin protein ligase, that catalyzes this essential and rare post-translational modification. Both biotin domains and biotin protein ligases are very strongly conserved throughout biology. This review concerns the protein structures and mechanisms involved in the covalent attachment of biotin to proteins.","ISSN":"0022-3166, 1541-6100","journalAbbreviation":"J. Nutr.","language":"en","author":[{"family":"Chapman-Smith","given":"Anne"},{"family":"Jr","given":"John E. Cronan"}],"issued":{"date-parts":[["1999",2,1]]},"accessed":{"date-parts":[["2012",12,15]]}},"label":"page"},{"id":329,"uris":["http://zotero.org/users/local/SISQyk9S/items/GT5ZT989"],"uri":["http://zotero.org/users/local/SISQyk9S/items/GT5ZT989"],"itemData":{"id":329,"type":"article-journal","title":"Do cellulose binding domains increase substrate accessibility?","container-title":"Applied biochemistry and biotechnology","page":"575-592","volume":"91-93","source":"NCBI PubMed","abstract":"This article provides an overview of various theories proposed during the past five decades to describe the enzymatic hydrolysis of cellulose highlighting the major shifts that these theories have undergone. It also describes the effect of the cellulose-binding domain (CBD) of an exoglucanase/xylanase from bacterium Cellulomonas fimi on the enzymatic hydrolysis of Avicel. Pretreatment of Avicel with CBDCex at 4 and 37 degrees C as well as simultaneous addition of CBDCex to the hydrolytic enzyme (Celluclast, Novo, Nordisk) reduced the initial rate of hydrolysis owing to irreversible binding of CBD proteins to the substrate's binding sites. Nonetheless, near complete hydrolysis was achieved even in the presence of CBDCex. Protease treatment of both pure and CBDCex-treated Avicel reduced the substrates' hydrolyzability, perhaps owing to proteolysis of the hydrolyzing enzyme (Celluclast) by the residual Proteinase K remaining in the substrate. Better protocols for complete removal of CBD proteins from the substrate need to be developed to investigate the effect of CBD adsorption on cellulose digestibility.","ISSN":"0273-2289","note":"PMID: 11963886","journalAbbreviation":"Appl. Biochem. Biotechnol.","author":[{"family":"Esteghlalian","given":"A R"},{"family":"Srivastava","given":"V"},{"family":"Gilkes","given":"N R"},{"family":"Kilburn","given":"D G"},{"family":"Warren","given":"R A"},{"family":"Saddle","given":"J N"}],"issued":{"date-parts":[["2001"]]},"PMID":"11963886"},"label":"page"},{"id":338,"uris":["http://zotero.org/users/local/SISQyk9S/items/7DFMT3QN"],"uri":["http://zotero.org/users/local/SISQyk9S/items/7DFMT3QN"],"itemData":{"id":338,"type":"article-journal","title":"The S-layer homology domain as a means for anchoring heterologous proteins on the cell surface of Bacillus anthracis","container-title":"Journal of Applied Microbiology","page":"256–260","volume":"87","issue":"2","source":"Wiley Online Library","abstract":"Bacillus anthracis synthesizes two S-layer proteins, each containing three S-layer homology (SLH) motifs towards their amino-terminus. In vitro experiments suggested that the three motifs of each protein were organized as a structural domain sufficient to bind purified cell walls. Chimeric genes encoding the SLH domains fused to the levansucrase of Bacillus subtilis were constructed and integrated on the chromosome. Cell fractionation and electron microscopy studies showed that both heterologous polypeptides were targeted to the cell surface. In addition, surface-exposed levansucrase retained its enzymatic and antigenic properties. Preliminary results concerning applications of this work are presented.","DOI":"10.1046/j.1365-2672.1999.00880.x","ISSN":"1365-2672","language":"en","author":[{"family":"Mesnage","given":"S."},{"family":"Tosi-Couture","given":"E."},{"family":"Mock","given":"M."},{"family":"Fouet","given":"A."}],"issued":{"date-parts":[["1999"]]},"accessed":{"date-parts":[["2012",12,15]]}},"label":"page"}],"schema":"https://github.com/citation-style-language/schema/raw/master/csl-citation.json"} </w:instrText>
      </w:r>
      <w:r w:rsidR="00BF6877">
        <w:rPr>
          <w:color w:val="0000CC"/>
        </w:rPr>
        <w:fldChar w:fldCharType="separate"/>
      </w:r>
      <w:r w:rsidR="00BF6877" w:rsidRPr="00BF6877">
        <w:t>[1–8]</w:t>
      </w:r>
      <w:r w:rsidR="00BF6877">
        <w:rPr>
          <w:color w:val="0000CC"/>
        </w:rPr>
        <w:fldChar w:fldCharType="end"/>
      </w:r>
      <w:r w:rsidRPr="00233662">
        <w:rPr>
          <w:color w:val="0000CC"/>
        </w:rPr>
        <w:t xml:space="preserve">. The apparent absence of these modules in POP homologues of archaea indicates that they were recruited during evolution for imposing diverse functioning within </w:t>
      </w:r>
      <w:proofErr w:type="spellStart"/>
      <w:r w:rsidRPr="00233662">
        <w:rPr>
          <w:color w:val="0000CC"/>
        </w:rPr>
        <w:t>bPOPs</w:t>
      </w:r>
      <w:proofErr w:type="spellEnd"/>
      <w:r w:rsidRPr="00233662">
        <w:rPr>
          <w:color w:val="0000CC"/>
        </w:rPr>
        <w:t>.</w:t>
      </w:r>
    </w:p>
    <w:p w:rsidR="00837CBE" w:rsidRDefault="00837CBE" w:rsidP="003966A6">
      <w:pPr>
        <w:spacing w:line="288" w:lineRule="auto"/>
        <w:jc w:val="both"/>
        <w:rPr>
          <w:color w:val="0000CC"/>
        </w:rPr>
      </w:pPr>
    </w:p>
    <w:p w:rsidR="00837CBE" w:rsidRPr="00D05D1F" w:rsidRDefault="00837CBE" w:rsidP="00837CBE">
      <w:pPr>
        <w:rPr>
          <w:b/>
        </w:rPr>
      </w:pPr>
      <w:r>
        <w:rPr>
          <w:b/>
        </w:rPr>
        <w:t xml:space="preserve">D. </w:t>
      </w:r>
      <w:r w:rsidRPr="00D05D1F">
        <w:rPr>
          <w:b/>
        </w:rPr>
        <w:t>Different cellular localization</w:t>
      </w:r>
    </w:p>
    <w:p w:rsidR="00837CBE" w:rsidRPr="00D05D1F" w:rsidRDefault="00837CBE" w:rsidP="00837CBE">
      <w:pPr>
        <w:autoSpaceDE w:val="0"/>
        <w:autoSpaceDN w:val="0"/>
        <w:adjustRightInd w:val="0"/>
        <w:spacing w:line="288" w:lineRule="auto"/>
        <w:jc w:val="both"/>
        <w:rPr>
          <w:lang w:val="en-US"/>
        </w:rPr>
      </w:pPr>
    </w:p>
    <w:p w:rsidR="00837CBE" w:rsidRPr="00D05D1F" w:rsidRDefault="00837CBE" w:rsidP="00837CBE">
      <w:pPr>
        <w:tabs>
          <w:tab w:val="left" w:pos="1680"/>
        </w:tabs>
        <w:autoSpaceDE w:val="0"/>
        <w:autoSpaceDN w:val="0"/>
        <w:adjustRightInd w:val="0"/>
        <w:spacing w:line="288" w:lineRule="auto"/>
        <w:jc w:val="both"/>
        <w:rPr>
          <w:lang w:val="en-US"/>
        </w:rPr>
      </w:pPr>
      <w:r w:rsidRPr="00D05D1F">
        <w:rPr>
          <w:lang w:val="en-US"/>
        </w:rPr>
        <w:t xml:space="preserve">Detailed analysis of cytoplasmic and </w:t>
      </w:r>
      <w:proofErr w:type="spellStart"/>
      <w:r w:rsidRPr="00D05D1F">
        <w:rPr>
          <w:lang w:val="en-US"/>
        </w:rPr>
        <w:t>periplasmic</w:t>
      </w:r>
      <w:proofErr w:type="spellEnd"/>
      <w:r w:rsidRPr="00D05D1F">
        <w:rPr>
          <w:lang w:val="en-US"/>
        </w:rPr>
        <w:t xml:space="preserve"> POPs was performed in order to understand the differences in sequences which lead to formation of two separate clusters. Interestingly, in cytoplasmic POPs, N-terminal </w:t>
      </w:r>
      <w:r w:rsidRPr="00D05D1F">
        <w:t xml:space="preserve">α/β hydrolase domain was very short with a small helix of ~5 residues, whereas </w:t>
      </w:r>
      <w:proofErr w:type="spellStart"/>
      <w:r w:rsidRPr="00D05D1F">
        <w:t>periplasmic</w:t>
      </w:r>
      <w:proofErr w:type="spellEnd"/>
      <w:r w:rsidRPr="00D05D1F">
        <w:t xml:space="preserve"> POPs had large and complete </w:t>
      </w:r>
      <w:r w:rsidRPr="00D05D1F">
        <w:rPr>
          <w:lang w:val="en-US"/>
        </w:rPr>
        <w:t xml:space="preserve">N-terminal </w:t>
      </w:r>
      <w:r w:rsidRPr="00D05D1F">
        <w:t xml:space="preserve">α/β hydrolase domain. Most of </w:t>
      </w:r>
      <w:proofErr w:type="spellStart"/>
      <w:r w:rsidRPr="00D05D1F">
        <w:t>periplasmic</w:t>
      </w:r>
      <w:proofErr w:type="spellEnd"/>
      <w:r w:rsidRPr="00D05D1F">
        <w:t xml:space="preserve"> POPs also had a short signal peptide region towards N-terminal. Secondary structure prediction of cytosolic POPs</w:t>
      </w:r>
      <w:r w:rsidRPr="00D05D1F" w:rsidDel="004B295E">
        <w:t xml:space="preserve"> </w:t>
      </w:r>
      <w:r w:rsidRPr="00D05D1F">
        <w:t xml:space="preserve">revealed the presence of extra helices at C-terminal α/β hydrolase domain. Some loop and strand insertions were also noticed in </w:t>
      </w:r>
      <w:proofErr w:type="spellStart"/>
      <w:r w:rsidRPr="00D05D1F">
        <w:t>periplasmic</w:t>
      </w:r>
      <w:proofErr w:type="spellEnd"/>
      <w:r w:rsidRPr="00D05D1F">
        <w:t xml:space="preserve"> POPs.</w:t>
      </w:r>
    </w:p>
    <w:p w:rsidR="00837CBE" w:rsidRPr="00233662" w:rsidRDefault="00837CBE" w:rsidP="003966A6">
      <w:pPr>
        <w:spacing w:line="288" w:lineRule="auto"/>
        <w:jc w:val="both"/>
        <w:rPr>
          <w:color w:val="0000CC"/>
        </w:rPr>
      </w:pPr>
    </w:p>
    <w:p w:rsidR="003966A6" w:rsidRDefault="003966A6">
      <w:pPr>
        <w:rPr>
          <w:b/>
        </w:rPr>
      </w:pPr>
    </w:p>
    <w:p w:rsidR="004750B7" w:rsidRPr="004750B7" w:rsidRDefault="00837CBE">
      <w:pPr>
        <w:rPr>
          <w:b/>
        </w:rPr>
      </w:pPr>
      <w:r>
        <w:rPr>
          <w:b/>
        </w:rPr>
        <w:t>E</w:t>
      </w:r>
      <w:r w:rsidR="00A13675">
        <w:rPr>
          <w:b/>
        </w:rPr>
        <w:t xml:space="preserve">. </w:t>
      </w:r>
      <w:r w:rsidR="004750B7" w:rsidRPr="004750B7">
        <w:rPr>
          <w:b/>
        </w:rPr>
        <w:t>Cluster-wise sequence identity</w:t>
      </w:r>
    </w:p>
    <w:p w:rsidR="004750B7" w:rsidRDefault="004750B7"/>
    <w:p w:rsidR="004750B7" w:rsidRPr="004750B7" w:rsidRDefault="004750B7" w:rsidP="004750B7">
      <w:pPr>
        <w:spacing w:line="288" w:lineRule="auto"/>
        <w:jc w:val="both"/>
        <w:rPr>
          <w:color w:val="000000" w:themeColor="text1"/>
        </w:rPr>
      </w:pPr>
      <w:r w:rsidRPr="004750B7">
        <w:rPr>
          <w:color w:val="000000" w:themeColor="text1"/>
        </w:rPr>
        <w:t>To understand how distinct clusters of POPs were formed, average sequence identity of all the clusters was obtained using an in-house MOTIF program. From nine clusters, four clusters had an average sequence identity less than 30%, representing remote relationships between members of the same clusters. Four other clusters indicated direct homology with high sequence identity within the range of 38-80%.</w:t>
      </w:r>
    </w:p>
    <w:p w:rsidR="004750B7" w:rsidRDefault="004750B7" w:rsidP="001C3E32">
      <w:pPr>
        <w:jc w:val="center"/>
      </w:pPr>
      <w:bookmarkStart w:id="0" w:name="_GoBack"/>
      <w:r>
        <w:rPr>
          <w:noProof/>
          <w:lang w:val="en-US"/>
        </w:rPr>
        <w:lastRenderedPageBreak/>
        <w:drawing>
          <wp:inline distT="0" distB="0" distL="0" distR="0">
            <wp:extent cx="4675367" cy="382457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7.tif"/>
                    <pic:cNvPicPr/>
                  </pic:nvPicPr>
                  <pic:blipFill rotWithShape="1">
                    <a:blip r:embed="rId7" cstate="print">
                      <a:extLst>
                        <a:ext uri="{28A0092B-C50C-407E-A947-70E740481C1C}">
                          <a14:useLocalDpi xmlns:a14="http://schemas.microsoft.com/office/drawing/2010/main" val="0"/>
                        </a:ext>
                      </a:extLst>
                    </a:blip>
                    <a:srcRect l="10042" t="9705" r="11231" b="6932"/>
                    <a:stretch/>
                  </pic:blipFill>
                  <pic:spPr bwMode="auto">
                    <a:xfrm>
                      <a:off x="0" y="0"/>
                      <a:ext cx="4679221" cy="382773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C400E8" w:rsidRDefault="00C400E8"/>
    <w:p w:rsidR="00C400E8" w:rsidRPr="00C400E8" w:rsidRDefault="00837CBE">
      <w:pPr>
        <w:rPr>
          <w:b/>
        </w:rPr>
      </w:pPr>
      <w:r>
        <w:rPr>
          <w:b/>
        </w:rPr>
        <w:t>F</w:t>
      </w:r>
      <w:r w:rsidR="00A13675">
        <w:rPr>
          <w:b/>
        </w:rPr>
        <w:t xml:space="preserve">. </w:t>
      </w:r>
      <w:r w:rsidR="00C400E8" w:rsidRPr="00C400E8">
        <w:rPr>
          <w:b/>
        </w:rPr>
        <w:t>Structural mapping of sequence motifs of each cluster</w:t>
      </w:r>
    </w:p>
    <w:p w:rsidR="00C400E8" w:rsidRDefault="00C400E8"/>
    <w:p w:rsidR="00C400E8" w:rsidRDefault="00C400E8" w:rsidP="00C400E8">
      <w:pPr>
        <w:autoSpaceDE w:val="0"/>
        <w:autoSpaceDN w:val="0"/>
        <w:adjustRightInd w:val="0"/>
        <w:spacing w:line="288" w:lineRule="auto"/>
        <w:jc w:val="both"/>
      </w:pPr>
      <w:r w:rsidRPr="00C400E8">
        <w:t>In second cluster, two class-specific motifs could be identified. First blade of propeller had surface exposed DQRLYR motif with an average ASA (accessible surface area) of 127Å</w:t>
      </w:r>
      <w:r w:rsidRPr="00C400E8">
        <w:rPr>
          <w:vertAlign w:val="superscript"/>
        </w:rPr>
        <w:t>2</w:t>
      </w:r>
      <w:r w:rsidRPr="00C400E8">
        <w:t>, while another class-specific motif, PVLLFQG (10.5Å</w:t>
      </w:r>
      <w:r w:rsidRPr="00C400E8">
        <w:rPr>
          <w:vertAlign w:val="superscript"/>
        </w:rPr>
        <w:t>2</w:t>
      </w:r>
      <w:r w:rsidRPr="00C400E8">
        <w:t xml:space="preserve">), was located on the hydrolase domain. </w:t>
      </w:r>
    </w:p>
    <w:p w:rsidR="00C400E8" w:rsidRDefault="00C400E8" w:rsidP="00C400E8">
      <w:pPr>
        <w:autoSpaceDE w:val="0"/>
        <w:autoSpaceDN w:val="0"/>
        <w:adjustRightInd w:val="0"/>
        <w:spacing w:line="288" w:lineRule="auto"/>
        <w:jc w:val="both"/>
      </w:pPr>
    </w:p>
    <w:p w:rsidR="00C400E8" w:rsidRDefault="00C400E8" w:rsidP="00C400E8">
      <w:pPr>
        <w:autoSpaceDE w:val="0"/>
        <w:autoSpaceDN w:val="0"/>
        <w:adjustRightInd w:val="0"/>
        <w:spacing w:line="288" w:lineRule="auto"/>
        <w:jc w:val="both"/>
      </w:pPr>
      <w:r w:rsidRPr="00C400E8">
        <w:t>Third cluster was associated with high number of class-specific motifs; first and second blade of propeller had NEWOD, GLWRRT, WETLLD and DALAAA, EGENWVW, LSRGGADA motifs, respectively. Loops of third blade possess WIDRDT motif with ASA of 58.66Å</w:t>
      </w:r>
      <w:r w:rsidRPr="00C400E8">
        <w:rPr>
          <w:vertAlign w:val="superscript"/>
        </w:rPr>
        <w:t>2</w:t>
      </w:r>
      <w:r w:rsidRPr="00C400E8">
        <w:t xml:space="preserve">, while N-terminal of hydrolase domain was associated with a WVRAQN motif. Three class-specific motifs were located on the blades of propeller (GLQNQSVL, GTVAL, </w:t>
      </w:r>
      <w:proofErr w:type="gramStart"/>
      <w:r w:rsidRPr="00C400E8">
        <w:t>GSDW</w:t>
      </w:r>
      <w:proofErr w:type="gramEnd"/>
      <w:r w:rsidRPr="00C400E8">
        <w:t xml:space="preserve">) and six of them were observed within the hydrolase domain (SKDGTRVPM, WLEMGG, EEWHQAG, VGVLDMLR, DDRVVP, and HSEKI). </w:t>
      </w:r>
    </w:p>
    <w:p w:rsidR="00C400E8" w:rsidRDefault="00C400E8" w:rsidP="00C400E8">
      <w:pPr>
        <w:autoSpaceDE w:val="0"/>
        <w:autoSpaceDN w:val="0"/>
        <w:adjustRightInd w:val="0"/>
        <w:spacing w:line="288" w:lineRule="auto"/>
        <w:jc w:val="both"/>
      </w:pPr>
    </w:p>
    <w:p w:rsidR="00C400E8" w:rsidRDefault="00C400E8" w:rsidP="00C400E8">
      <w:pPr>
        <w:autoSpaceDE w:val="0"/>
        <w:autoSpaceDN w:val="0"/>
        <w:adjustRightInd w:val="0"/>
        <w:spacing w:line="288" w:lineRule="auto"/>
        <w:jc w:val="both"/>
      </w:pPr>
      <w:r w:rsidRPr="00C400E8">
        <w:t>Fifth cluster was associated with maximum number of motifs, but only 16 class-specific motifs could be identified. Four of them were solvent exposed with more than 50Å</w:t>
      </w:r>
      <w:r w:rsidRPr="00C400E8">
        <w:rPr>
          <w:vertAlign w:val="superscript"/>
        </w:rPr>
        <w:t>2</w:t>
      </w:r>
      <w:r w:rsidRPr="00C400E8">
        <w:t xml:space="preserve"> surface area from which two motifs DERYLK, RFREF were located on N-terminal hydrolase domain and rest were located on fourth and sixth blades of propeller domain. Only one class-specific motif (VGIYGGSYGG) was associated with the catalytic residue Ser563. Motif searches revealed </w:t>
      </w:r>
      <w:r w:rsidRPr="00C400E8">
        <w:lastRenderedPageBreak/>
        <w:t xml:space="preserve">three class-specific motifs in eighth cluster, majorly located on the hydrolase domain of POP. Sequence motif GHSWGGY was associated with catalytic serine. </w:t>
      </w:r>
    </w:p>
    <w:p w:rsidR="00C400E8" w:rsidRDefault="00C400E8" w:rsidP="00C400E8">
      <w:pPr>
        <w:autoSpaceDE w:val="0"/>
        <w:autoSpaceDN w:val="0"/>
        <w:adjustRightInd w:val="0"/>
        <w:spacing w:line="288" w:lineRule="auto"/>
        <w:jc w:val="both"/>
      </w:pPr>
    </w:p>
    <w:p w:rsidR="00C400E8" w:rsidRDefault="00C400E8" w:rsidP="00C400E8">
      <w:pPr>
        <w:autoSpaceDE w:val="0"/>
        <w:autoSpaceDN w:val="0"/>
        <w:adjustRightInd w:val="0"/>
        <w:spacing w:line="288" w:lineRule="auto"/>
        <w:jc w:val="both"/>
      </w:pPr>
      <w:r w:rsidRPr="00C400E8">
        <w:t xml:space="preserve">In ninth cluster, two motifs (NPRGS and GYGQEF) were class-specific in nature, located on a short helix, which was reported to be crucial for interaction with propeller domain through fifth and sixth blades of propeller. NPRGS motif was buried with only 8% ASA, while GYGQEF motif was relatively exposed with 48% ASA. </w:t>
      </w:r>
    </w:p>
    <w:p w:rsidR="00F2300F" w:rsidRDefault="00F2300F" w:rsidP="00C400E8">
      <w:pPr>
        <w:autoSpaceDE w:val="0"/>
        <w:autoSpaceDN w:val="0"/>
        <w:adjustRightInd w:val="0"/>
        <w:spacing w:line="288" w:lineRule="auto"/>
        <w:jc w:val="both"/>
      </w:pPr>
    </w:p>
    <w:p w:rsidR="00F2300F" w:rsidRPr="001F70DF" w:rsidRDefault="00C62A06" w:rsidP="00F2300F">
      <w:pPr>
        <w:autoSpaceDE w:val="0"/>
        <w:autoSpaceDN w:val="0"/>
        <w:adjustRightInd w:val="0"/>
        <w:spacing w:line="288" w:lineRule="auto"/>
        <w:jc w:val="both"/>
        <w:rPr>
          <w:b/>
        </w:rPr>
      </w:pPr>
      <w:r>
        <w:rPr>
          <w:b/>
        </w:rPr>
        <w:t xml:space="preserve">G. </w:t>
      </w:r>
      <w:r w:rsidR="00F2300F" w:rsidRPr="001F70DF">
        <w:rPr>
          <w:b/>
        </w:rPr>
        <w:t xml:space="preserve">Functional domains </w:t>
      </w:r>
      <w:r w:rsidR="00F2300F">
        <w:rPr>
          <w:b/>
        </w:rPr>
        <w:t xml:space="preserve">of annotated bacterial POPs </w:t>
      </w:r>
      <w:r w:rsidR="00F2300F" w:rsidRPr="001F70DF">
        <w:rPr>
          <w:b/>
        </w:rPr>
        <w:t xml:space="preserve">are conserved and glycine rich </w:t>
      </w:r>
    </w:p>
    <w:p w:rsidR="00F2300F" w:rsidRPr="001F70DF" w:rsidRDefault="00F2300F" w:rsidP="00F2300F">
      <w:pPr>
        <w:autoSpaceDE w:val="0"/>
        <w:autoSpaceDN w:val="0"/>
        <w:adjustRightInd w:val="0"/>
        <w:spacing w:line="288" w:lineRule="auto"/>
        <w:jc w:val="both"/>
        <w:rPr>
          <w:b/>
        </w:rPr>
      </w:pPr>
    </w:p>
    <w:p w:rsidR="00837CBE" w:rsidRDefault="00F2300F" w:rsidP="00F2300F">
      <w:pPr>
        <w:autoSpaceDE w:val="0"/>
        <w:autoSpaceDN w:val="0"/>
        <w:adjustRightInd w:val="0"/>
        <w:spacing w:line="288" w:lineRule="auto"/>
        <w:jc w:val="both"/>
      </w:pPr>
      <w:r w:rsidRPr="001F70DF">
        <w:t xml:space="preserve">Sequence analysis </w:t>
      </w:r>
      <w:r w:rsidRPr="001A11A0">
        <w:rPr>
          <w:color w:val="2500C0"/>
        </w:rPr>
        <w:t>of annotated POPs</w:t>
      </w:r>
      <w:r w:rsidRPr="001F70DF">
        <w:t xml:space="preserve"> obtained through exhaustive sequence searches revealed high conservation of catalytic domain (on an average ~44%) as compared to N-terminal α/β hydrolase and β-propeller </w:t>
      </w:r>
      <w:r w:rsidRPr="00A10D7B">
        <w:rPr>
          <w:color w:val="0000CC"/>
        </w:rPr>
        <w:t>domains, sharing</w:t>
      </w:r>
      <w:r w:rsidRPr="001F70DF">
        <w:t xml:space="preserve"> average sequence identity of 29.63% and 27.22%, respectively. Each cluster showed variations in sequence conservation, for instance, average sequence identity of catalytic domain varied from 24-74%. Highly conserved catalytic domain was present in cluster5, which was mainly rich in POPs of </w:t>
      </w:r>
      <w:proofErr w:type="spellStart"/>
      <w:r w:rsidRPr="001F70DF">
        <w:t>archaebacteria</w:t>
      </w:r>
      <w:proofErr w:type="spellEnd"/>
      <w:r w:rsidRPr="001F70DF">
        <w:t>. Residue conservation was calculated to understand the important residues for maintaining the structure and function of the catalytic domain</w:t>
      </w:r>
      <w:r w:rsidRPr="00A10D7B">
        <w:rPr>
          <w:color w:val="0000CC"/>
        </w:rPr>
        <w:t xml:space="preserve">. Structural mapping of functionally important residues obtained through </w:t>
      </w:r>
      <w:proofErr w:type="spellStart"/>
      <w:r w:rsidRPr="00A10D7B">
        <w:rPr>
          <w:color w:val="0000CC"/>
        </w:rPr>
        <w:t>Scorecons</w:t>
      </w:r>
      <w:proofErr w:type="spellEnd"/>
      <w:r w:rsidRPr="00A10D7B">
        <w:rPr>
          <w:color w:val="0000CC"/>
        </w:rPr>
        <w:t xml:space="preserve"> revealed their presence</w:t>
      </w:r>
      <w:r w:rsidRPr="001F70DF">
        <w:t xml:space="preserve"> near the catalytic site. </w:t>
      </w:r>
    </w:p>
    <w:p w:rsidR="00837CBE" w:rsidRDefault="00837CBE" w:rsidP="00F2300F">
      <w:pPr>
        <w:autoSpaceDE w:val="0"/>
        <w:autoSpaceDN w:val="0"/>
        <w:adjustRightInd w:val="0"/>
        <w:spacing w:line="288" w:lineRule="auto"/>
        <w:jc w:val="both"/>
      </w:pPr>
    </w:p>
    <w:p w:rsidR="00837CBE" w:rsidRDefault="00837CBE" w:rsidP="00C62A06">
      <w:pPr>
        <w:autoSpaceDE w:val="0"/>
        <w:autoSpaceDN w:val="0"/>
        <w:adjustRightInd w:val="0"/>
        <w:spacing w:line="288" w:lineRule="auto"/>
        <w:jc w:val="center"/>
      </w:pPr>
      <w:r>
        <w:rPr>
          <w:noProof/>
          <w:lang w:val="en-US"/>
        </w:rPr>
        <w:drawing>
          <wp:inline distT="0" distB="0" distL="0" distR="0">
            <wp:extent cx="3870024" cy="3824544"/>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12.tif"/>
                    <pic:cNvPicPr/>
                  </pic:nvPicPr>
                  <pic:blipFill>
                    <a:blip r:embed="rId8">
                      <a:extLst>
                        <a:ext uri="{28A0092B-C50C-407E-A947-70E740481C1C}">
                          <a14:useLocalDpi xmlns:a14="http://schemas.microsoft.com/office/drawing/2010/main" val="0"/>
                        </a:ext>
                      </a:extLst>
                    </a:blip>
                    <a:stretch>
                      <a:fillRect/>
                    </a:stretch>
                  </pic:blipFill>
                  <pic:spPr>
                    <a:xfrm>
                      <a:off x="0" y="0"/>
                      <a:ext cx="3868533" cy="3823070"/>
                    </a:xfrm>
                    <a:prstGeom prst="rect">
                      <a:avLst/>
                    </a:prstGeom>
                  </pic:spPr>
                </pic:pic>
              </a:graphicData>
            </a:graphic>
          </wp:inline>
        </w:drawing>
      </w:r>
    </w:p>
    <w:p w:rsidR="001D2693" w:rsidRPr="00F61415" w:rsidRDefault="001D2693" w:rsidP="001D2693">
      <w:pPr>
        <w:spacing w:line="288" w:lineRule="auto"/>
        <w:jc w:val="both"/>
        <w:rPr>
          <w:b/>
        </w:rPr>
      </w:pPr>
      <w:r>
        <w:rPr>
          <w:b/>
        </w:rPr>
        <w:lastRenderedPageBreak/>
        <w:t xml:space="preserve">Figure: </w:t>
      </w:r>
      <w:r w:rsidRPr="00F61415">
        <w:rPr>
          <w:b/>
        </w:rPr>
        <w:t>Conserved residues mapped on bacterial POP structure (PDB id</w:t>
      </w:r>
      <w:r>
        <w:rPr>
          <w:b/>
        </w:rPr>
        <w:t>: 2BKL)</w:t>
      </w:r>
    </w:p>
    <w:p w:rsidR="001D2693" w:rsidRPr="00F61415" w:rsidRDefault="001D2693" w:rsidP="001D2693">
      <w:pPr>
        <w:spacing w:line="288" w:lineRule="auto"/>
        <w:jc w:val="both"/>
      </w:pPr>
      <w:r w:rsidRPr="00F61415">
        <w:t xml:space="preserve">Conserved residues are </w:t>
      </w:r>
      <w:proofErr w:type="spellStart"/>
      <w:r w:rsidRPr="00F61415">
        <w:t>colored</w:t>
      </w:r>
      <w:proofErr w:type="spellEnd"/>
      <w:r w:rsidRPr="00F61415">
        <w:t xml:space="preserve"> red.</w:t>
      </w:r>
    </w:p>
    <w:p w:rsidR="001D2693" w:rsidRDefault="001D2693" w:rsidP="00F2300F">
      <w:pPr>
        <w:autoSpaceDE w:val="0"/>
        <w:autoSpaceDN w:val="0"/>
        <w:adjustRightInd w:val="0"/>
        <w:spacing w:line="288" w:lineRule="auto"/>
        <w:jc w:val="both"/>
      </w:pPr>
    </w:p>
    <w:p w:rsidR="00F2300F" w:rsidRDefault="00F2300F" w:rsidP="00F2300F">
      <w:pPr>
        <w:autoSpaceDE w:val="0"/>
        <w:autoSpaceDN w:val="0"/>
        <w:adjustRightInd w:val="0"/>
        <w:spacing w:line="288" w:lineRule="auto"/>
        <w:jc w:val="both"/>
      </w:pPr>
      <w:r w:rsidRPr="001F70DF">
        <w:t>Interestingly, sequence alignment of annotated POPs from all the domains of life revealed glycine-rich nature of the catalytic domain. Six glycine were found to be highly conserved in POPs (Gly-485, Gly-490, Gly-497, Gly-531, Gly-535 and Gly-536</w:t>
      </w:r>
      <w:r w:rsidRPr="00A10D7B">
        <w:rPr>
          <w:color w:val="0000CC"/>
        </w:rPr>
        <w:t>), of which, three</w:t>
      </w:r>
      <w:r w:rsidRPr="001F70DF">
        <w:t xml:space="preserve"> of them were present near the catalytic site (Gly-531, Gly-535 and Gly-536), while </w:t>
      </w:r>
      <w:r>
        <w:t xml:space="preserve">the </w:t>
      </w:r>
      <w:r w:rsidRPr="001F70DF">
        <w:t xml:space="preserve">other three were located at the interface of catalytic and propeller domains. </w:t>
      </w:r>
    </w:p>
    <w:p w:rsidR="001D2693" w:rsidRDefault="001D2693" w:rsidP="00F2300F">
      <w:pPr>
        <w:autoSpaceDE w:val="0"/>
        <w:autoSpaceDN w:val="0"/>
        <w:adjustRightInd w:val="0"/>
        <w:spacing w:line="288" w:lineRule="auto"/>
        <w:jc w:val="both"/>
      </w:pPr>
    </w:p>
    <w:p w:rsidR="001D2693" w:rsidRPr="001F70DF" w:rsidRDefault="001D2693" w:rsidP="00F2300F">
      <w:pPr>
        <w:autoSpaceDE w:val="0"/>
        <w:autoSpaceDN w:val="0"/>
        <w:adjustRightInd w:val="0"/>
        <w:spacing w:line="288" w:lineRule="auto"/>
        <w:jc w:val="both"/>
      </w:pPr>
      <w:r>
        <w:rPr>
          <w:noProof/>
          <w:lang w:val="en-US"/>
        </w:rPr>
        <w:drawing>
          <wp:inline distT="0" distB="0" distL="0" distR="0">
            <wp:extent cx="5943600" cy="445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1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F2300F" w:rsidRPr="00C400E8" w:rsidRDefault="00F2300F" w:rsidP="00C400E8">
      <w:pPr>
        <w:autoSpaceDE w:val="0"/>
        <w:autoSpaceDN w:val="0"/>
        <w:adjustRightInd w:val="0"/>
        <w:spacing w:line="288" w:lineRule="auto"/>
        <w:jc w:val="both"/>
      </w:pPr>
    </w:p>
    <w:p w:rsidR="001D2693" w:rsidRPr="00F61415" w:rsidRDefault="001D2693" w:rsidP="001D2693">
      <w:pPr>
        <w:spacing w:line="288" w:lineRule="auto"/>
        <w:jc w:val="both"/>
      </w:pPr>
      <w:r>
        <w:rPr>
          <w:b/>
        </w:rPr>
        <w:t xml:space="preserve">Figure: </w:t>
      </w:r>
      <w:r w:rsidRPr="00F61415">
        <w:rPr>
          <w:b/>
        </w:rPr>
        <w:t xml:space="preserve"> Conserved glycine motif in bacterial POPs.</w:t>
      </w:r>
      <w:r w:rsidRPr="00F61415">
        <w:t xml:space="preserve"> </w:t>
      </w:r>
    </w:p>
    <w:p w:rsidR="001D2693" w:rsidRPr="00F61415" w:rsidRDefault="001D2693" w:rsidP="001D2693">
      <w:pPr>
        <w:spacing w:line="288" w:lineRule="auto"/>
        <w:jc w:val="both"/>
      </w:pPr>
      <w:r w:rsidRPr="00F61415">
        <w:t xml:space="preserve">A) Conserved glycine present in POPs. </w:t>
      </w:r>
    </w:p>
    <w:p w:rsidR="001D2693" w:rsidRPr="00F61415" w:rsidRDefault="001D2693" w:rsidP="001D2693">
      <w:pPr>
        <w:spacing w:line="288" w:lineRule="auto"/>
        <w:jc w:val="both"/>
      </w:pPr>
      <w:r w:rsidRPr="00F61415">
        <w:t xml:space="preserve">B) Structural mapping of conserved glycine on bacterial POP (PDB: 2BKL) from </w:t>
      </w:r>
      <w:proofErr w:type="spellStart"/>
      <w:r w:rsidRPr="00F61415">
        <w:rPr>
          <w:i/>
        </w:rPr>
        <w:t>Myxococcus</w:t>
      </w:r>
      <w:proofErr w:type="spellEnd"/>
      <w:r w:rsidRPr="00F61415">
        <w:rPr>
          <w:i/>
        </w:rPr>
        <w:t xml:space="preserve"> </w:t>
      </w:r>
      <w:proofErr w:type="spellStart"/>
      <w:proofErr w:type="gramStart"/>
      <w:r w:rsidRPr="00F61415">
        <w:rPr>
          <w:i/>
        </w:rPr>
        <w:t>xanthus</w:t>
      </w:r>
      <w:proofErr w:type="spellEnd"/>
      <w:proofErr w:type="gramEnd"/>
      <w:r w:rsidRPr="00F61415">
        <w:t>.</w:t>
      </w:r>
    </w:p>
    <w:p w:rsidR="001D2693" w:rsidRPr="00F61415" w:rsidRDefault="001D2693" w:rsidP="001D2693">
      <w:pPr>
        <w:spacing w:line="288" w:lineRule="auto"/>
        <w:jc w:val="both"/>
      </w:pPr>
      <w:proofErr w:type="spellStart"/>
      <w:r w:rsidRPr="00F61415">
        <w:rPr>
          <w:b/>
        </w:rPr>
        <w:t>Color</w:t>
      </w:r>
      <w:proofErr w:type="spellEnd"/>
      <w:r w:rsidRPr="00F61415">
        <w:rPr>
          <w:b/>
        </w:rPr>
        <w:t xml:space="preserve"> code: </w:t>
      </w:r>
      <w:r w:rsidRPr="00F61415">
        <w:t xml:space="preserve">Black star represents conserved glycine; catalytic serine is represented by arrow. Black dashed lines represent discontinuity in alignment (only some parts of alignment are shown). Catalytic triad is represented in red sticks; conserved glycine is represented in blue and </w:t>
      </w:r>
      <w:r w:rsidRPr="00F61415">
        <w:lastRenderedPageBreak/>
        <w:t xml:space="preserve">magenta </w:t>
      </w:r>
      <w:proofErr w:type="spellStart"/>
      <w:r w:rsidRPr="00F61415">
        <w:t>color</w:t>
      </w:r>
      <w:proofErr w:type="spellEnd"/>
      <w:r w:rsidRPr="00F61415">
        <w:t xml:space="preserve"> (where blue </w:t>
      </w:r>
      <w:proofErr w:type="spellStart"/>
      <w:r w:rsidRPr="00F61415">
        <w:t>color</w:t>
      </w:r>
      <w:proofErr w:type="spellEnd"/>
      <w:r w:rsidRPr="00F61415">
        <w:t xml:space="preserve"> is for glycine present near active site and magenta for glycine at the interface of two domains of POP (α/β hydrolase and β-propeller)).</w:t>
      </w:r>
    </w:p>
    <w:p w:rsidR="00C400E8" w:rsidRDefault="00C400E8"/>
    <w:p w:rsidR="00153152" w:rsidRPr="00153152" w:rsidRDefault="00C62A06">
      <w:pPr>
        <w:rPr>
          <w:b/>
        </w:rPr>
      </w:pPr>
      <w:r>
        <w:rPr>
          <w:b/>
        </w:rPr>
        <w:t>H</w:t>
      </w:r>
      <w:r w:rsidR="00A13675">
        <w:rPr>
          <w:b/>
        </w:rPr>
        <w:t xml:space="preserve">. </w:t>
      </w:r>
      <w:r w:rsidR="00153152" w:rsidRPr="00153152">
        <w:rPr>
          <w:b/>
        </w:rPr>
        <w:t>Divergence of POP family members</w:t>
      </w:r>
    </w:p>
    <w:p w:rsidR="00153152" w:rsidRDefault="00153152"/>
    <w:p w:rsidR="00153152" w:rsidRPr="00153152" w:rsidRDefault="00153152" w:rsidP="00153152">
      <w:pPr>
        <w:autoSpaceDE w:val="0"/>
        <w:autoSpaceDN w:val="0"/>
        <w:adjustRightInd w:val="0"/>
        <w:spacing w:line="288" w:lineRule="auto"/>
        <w:jc w:val="both"/>
      </w:pPr>
      <w:r w:rsidRPr="00153152">
        <w:t xml:space="preserve">To test the significance of this co-clustered tree of POP family members, another phylogenetic tree was generated to understand their clustering pattern. In this tree, </w:t>
      </w:r>
      <w:proofErr w:type="spellStart"/>
      <w:r w:rsidRPr="00153152">
        <w:t>bPOP</w:t>
      </w:r>
      <w:proofErr w:type="spellEnd"/>
      <w:r w:rsidRPr="00153152">
        <w:t xml:space="preserve"> sequences were excluded and only DPP, OPB and ACC were considered to obtain better insights about evolution of these members. It was found that in the absence of POPs, other members of this family formed distinct clusters suggesting presence of co-clustering due to POP sequences (data not shown). This indicated similarity of POPs with other members of this family and possibility of their divergence at similar time.</w:t>
      </w:r>
    </w:p>
    <w:p w:rsidR="00153152" w:rsidRDefault="00153152"/>
    <w:p w:rsidR="00D05D1F" w:rsidRDefault="00D05D1F"/>
    <w:p w:rsidR="0002009D" w:rsidRPr="000D3BF5" w:rsidRDefault="00C62A06">
      <w:pPr>
        <w:rPr>
          <w:b/>
          <w:i/>
        </w:rPr>
      </w:pPr>
      <w:r>
        <w:rPr>
          <w:b/>
        </w:rPr>
        <w:t>I</w:t>
      </w:r>
      <w:r w:rsidR="00A13675">
        <w:rPr>
          <w:b/>
        </w:rPr>
        <w:t xml:space="preserve">. </w:t>
      </w:r>
      <w:r w:rsidR="00DA4BCD">
        <w:rPr>
          <w:b/>
        </w:rPr>
        <w:t>Detailed analysis of</w:t>
      </w:r>
      <w:r w:rsidR="0002009D" w:rsidRPr="0002009D">
        <w:rPr>
          <w:b/>
        </w:rPr>
        <w:t xml:space="preserve"> POP</w:t>
      </w:r>
      <w:r w:rsidR="00DA4BCD">
        <w:rPr>
          <w:b/>
        </w:rPr>
        <w:t>s</w:t>
      </w:r>
      <w:r w:rsidR="0002009D" w:rsidRPr="0002009D">
        <w:rPr>
          <w:b/>
        </w:rPr>
        <w:t xml:space="preserve"> </w:t>
      </w:r>
      <w:r w:rsidR="00DA4BCD">
        <w:rPr>
          <w:b/>
        </w:rPr>
        <w:t>of</w:t>
      </w:r>
      <w:r w:rsidR="0002009D" w:rsidRPr="0002009D">
        <w:rPr>
          <w:b/>
        </w:rPr>
        <w:t xml:space="preserve"> </w:t>
      </w:r>
      <w:proofErr w:type="spellStart"/>
      <w:r w:rsidR="0002009D" w:rsidRPr="000D3BF5">
        <w:rPr>
          <w:b/>
          <w:i/>
        </w:rPr>
        <w:t>Shewanella</w:t>
      </w:r>
      <w:proofErr w:type="spellEnd"/>
    </w:p>
    <w:p w:rsidR="0002009D" w:rsidRDefault="0002009D"/>
    <w:p w:rsidR="0002009D" w:rsidRDefault="0002009D" w:rsidP="0002009D">
      <w:pPr>
        <w:autoSpaceDE w:val="0"/>
        <w:autoSpaceDN w:val="0"/>
        <w:adjustRightInd w:val="0"/>
        <w:spacing w:line="288" w:lineRule="auto"/>
        <w:jc w:val="both"/>
      </w:pPr>
      <w:r w:rsidRPr="0002009D">
        <w:t xml:space="preserve">Presence of fewer or higher number of POPs in particular phyla or genome can be a consequence of specialization of the organism for a particular </w:t>
      </w:r>
      <w:proofErr w:type="spellStart"/>
      <w:r w:rsidRPr="0002009D">
        <w:t>proteolytic</w:t>
      </w:r>
      <w:proofErr w:type="spellEnd"/>
      <w:r w:rsidRPr="0002009D">
        <w:t xml:space="preserve"> niche or it is due to acquisition of  particular function such as carbon recycling or metal reduction (as in </w:t>
      </w:r>
      <w:proofErr w:type="spellStart"/>
      <w:r w:rsidRPr="0002009D">
        <w:rPr>
          <w:i/>
          <w:iCs/>
        </w:rPr>
        <w:t>Shewanella</w:t>
      </w:r>
      <w:proofErr w:type="spellEnd"/>
      <w:r w:rsidRPr="0002009D">
        <w:t xml:space="preserve">). In overrepresented POP genomes, catalytic domain was more conserved as compared to the propeller domain. Detailed secondary structure analysis of POPs of </w:t>
      </w:r>
      <w:proofErr w:type="spellStart"/>
      <w:r w:rsidRPr="0002009D">
        <w:rPr>
          <w:i/>
        </w:rPr>
        <w:t>Shewanella</w:t>
      </w:r>
      <w:proofErr w:type="spellEnd"/>
      <w:r w:rsidRPr="0002009D">
        <w:rPr>
          <w:i/>
        </w:rPr>
        <w:t xml:space="preserve"> </w:t>
      </w:r>
      <w:proofErr w:type="spellStart"/>
      <w:r w:rsidRPr="0002009D">
        <w:rPr>
          <w:i/>
        </w:rPr>
        <w:t>woodyi</w:t>
      </w:r>
      <w:proofErr w:type="spellEnd"/>
      <w:r w:rsidRPr="0002009D">
        <w:t xml:space="preserve"> depicted presence of extra short helices either towards the N-terminal region of α/β hydrolase domain or at the C-terminal domain. Numbers of blades of β-propeller were found to be equal and intact. Sequence alignment of these 16 </w:t>
      </w:r>
      <w:proofErr w:type="spellStart"/>
      <w:r w:rsidRPr="0002009D">
        <w:rPr>
          <w:i/>
          <w:iCs/>
        </w:rPr>
        <w:t>Shewanella</w:t>
      </w:r>
      <w:proofErr w:type="spellEnd"/>
      <w:r w:rsidRPr="0002009D">
        <w:t xml:space="preserve"> POP sequences represented the conservation of catalytic serine and histidine. But, the catalytic triad residue aspartate was less conserved and replaced by small non-polar amino acid glycine or alanine in some of the POP sequences. We suspected that differences in these POPs could possibly due to different cellular localizations. Results of PSORT-b which is a bacterial cellular localization tool indicated that two of these POPs were </w:t>
      </w:r>
      <w:proofErr w:type="spellStart"/>
      <w:r w:rsidRPr="0002009D">
        <w:t>periplasmic</w:t>
      </w:r>
      <w:proofErr w:type="spellEnd"/>
      <w:r w:rsidRPr="0002009D">
        <w:t xml:space="preserve"> (YP_001761107 and YP_001762910), while one was predicted to be cytoplasmic (YP_001762612) in nature. Difference in cellular localization infers possibility of involvement of POP in different pathways and their sub-functionalization.</w:t>
      </w:r>
    </w:p>
    <w:p w:rsidR="00A432F7" w:rsidRDefault="00A432F7" w:rsidP="0002009D">
      <w:pPr>
        <w:autoSpaceDE w:val="0"/>
        <w:autoSpaceDN w:val="0"/>
        <w:adjustRightInd w:val="0"/>
        <w:spacing w:line="288" w:lineRule="auto"/>
        <w:jc w:val="both"/>
      </w:pPr>
    </w:p>
    <w:p w:rsidR="00A432F7" w:rsidRPr="00A432F7" w:rsidRDefault="00C62A06" w:rsidP="0002009D">
      <w:pPr>
        <w:autoSpaceDE w:val="0"/>
        <w:autoSpaceDN w:val="0"/>
        <w:adjustRightInd w:val="0"/>
        <w:spacing w:line="288" w:lineRule="auto"/>
        <w:jc w:val="both"/>
        <w:rPr>
          <w:b/>
        </w:rPr>
      </w:pPr>
      <w:r>
        <w:rPr>
          <w:b/>
        </w:rPr>
        <w:t>J</w:t>
      </w:r>
      <w:r w:rsidR="00A13675">
        <w:rPr>
          <w:b/>
        </w:rPr>
        <w:t xml:space="preserve">. </w:t>
      </w:r>
      <w:r w:rsidR="00A432F7" w:rsidRPr="00A432F7">
        <w:rPr>
          <w:b/>
        </w:rPr>
        <w:t>Sequence similarity searches to understand HGT events</w:t>
      </w:r>
    </w:p>
    <w:p w:rsidR="00A432F7" w:rsidRPr="001A17D2" w:rsidRDefault="00A432F7" w:rsidP="00A432F7">
      <w:pPr>
        <w:autoSpaceDE w:val="0"/>
        <w:autoSpaceDN w:val="0"/>
        <w:adjustRightInd w:val="0"/>
        <w:spacing w:line="288" w:lineRule="auto"/>
        <w:jc w:val="both"/>
        <w:rPr>
          <w:rFonts w:eastAsia="Calibri"/>
          <w:lang w:val="en-US"/>
        </w:rPr>
      </w:pPr>
    </w:p>
    <w:p w:rsidR="0002009D" w:rsidRDefault="00A432F7" w:rsidP="00C62A06">
      <w:pPr>
        <w:autoSpaceDE w:val="0"/>
        <w:autoSpaceDN w:val="0"/>
        <w:adjustRightInd w:val="0"/>
        <w:spacing w:line="288" w:lineRule="auto"/>
        <w:jc w:val="both"/>
      </w:pPr>
      <w:r w:rsidRPr="001A17D2">
        <w:t xml:space="preserve">Sequence similarity searches were initiated </w:t>
      </w:r>
      <w:r>
        <w:t>using</w:t>
      </w:r>
      <w:r w:rsidRPr="001A17D2">
        <w:t xml:space="preserve"> POPs of these genomes to know how extra copies of POP genes were acquired during evolution. BLAST searches of these POPs (of genus </w:t>
      </w:r>
      <w:proofErr w:type="spellStart"/>
      <w:r w:rsidRPr="001A17D2">
        <w:rPr>
          <w:i/>
        </w:rPr>
        <w:t>Shewanella</w:t>
      </w:r>
      <w:proofErr w:type="spellEnd"/>
      <w:r w:rsidRPr="001A17D2">
        <w:t>) against all compiled genomes of bacteria reveal</w:t>
      </w:r>
      <w:r>
        <w:t>ed</w:t>
      </w:r>
      <w:r w:rsidRPr="001A17D2">
        <w:t xml:space="preserve"> that most of the extra POP genes </w:t>
      </w:r>
      <w:r>
        <w:t>we</w:t>
      </w:r>
      <w:r w:rsidRPr="001A17D2">
        <w:t xml:space="preserve">re gained from other </w:t>
      </w:r>
      <w:proofErr w:type="spellStart"/>
      <w:r w:rsidRPr="001A17D2">
        <w:rPr>
          <w:i/>
        </w:rPr>
        <w:t>Shewanella</w:t>
      </w:r>
      <w:proofErr w:type="spellEnd"/>
      <w:r w:rsidRPr="001A17D2">
        <w:t xml:space="preserve"> species. For example, 16 POP genes of </w:t>
      </w:r>
      <w:r w:rsidRPr="001A17D2">
        <w:rPr>
          <w:i/>
        </w:rPr>
        <w:t xml:space="preserve">S. </w:t>
      </w:r>
      <w:proofErr w:type="spellStart"/>
      <w:r w:rsidRPr="001A17D2">
        <w:rPr>
          <w:i/>
        </w:rPr>
        <w:t>woodyi</w:t>
      </w:r>
      <w:proofErr w:type="spellEnd"/>
      <w:r w:rsidRPr="001A17D2">
        <w:t xml:space="preserve"> have possibly been acquired from </w:t>
      </w:r>
      <w:r w:rsidRPr="001A17D2">
        <w:rPr>
          <w:i/>
        </w:rPr>
        <w:t xml:space="preserve">S. </w:t>
      </w:r>
      <w:proofErr w:type="spellStart"/>
      <w:r w:rsidRPr="001A17D2">
        <w:rPr>
          <w:i/>
        </w:rPr>
        <w:t>pealeana</w:t>
      </w:r>
      <w:proofErr w:type="spellEnd"/>
      <w:r w:rsidRPr="001A17D2">
        <w:rPr>
          <w:i/>
        </w:rPr>
        <w:t xml:space="preserve">, S. </w:t>
      </w:r>
      <w:proofErr w:type="spellStart"/>
      <w:r w:rsidRPr="001A17D2">
        <w:rPr>
          <w:i/>
        </w:rPr>
        <w:t>baltica</w:t>
      </w:r>
      <w:proofErr w:type="spellEnd"/>
      <w:r w:rsidRPr="001A17D2">
        <w:rPr>
          <w:i/>
        </w:rPr>
        <w:t xml:space="preserve">, S. </w:t>
      </w:r>
      <w:proofErr w:type="spellStart"/>
      <w:r w:rsidRPr="001A17D2">
        <w:rPr>
          <w:i/>
        </w:rPr>
        <w:t>frigidimarina</w:t>
      </w:r>
      <w:proofErr w:type="spellEnd"/>
      <w:r w:rsidRPr="001A17D2">
        <w:rPr>
          <w:i/>
        </w:rPr>
        <w:t xml:space="preserve">, S. </w:t>
      </w:r>
      <w:proofErr w:type="spellStart"/>
      <w:r w:rsidRPr="001A17D2">
        <w:rPr>
          <w:i/>
        </w:rPr>
        <w:t>halifaxensis</w:t>
      </w:r>
      <w:proofErr w:type="spellEnd"/>
      <w:r w:rsidRPr="001A17D2">
        <w:rPr>
          <w:i/>
        </w:rPr>
        <w:t xml:space="preserve">, S. </w:t>
      </w:r>
      <w:proofErr w:type="spellStart"/>
      <w:r w:rsidRPr="001A17D2">
        <w:rPr>
          <w:i/>
        </w:rPr>
        <w:t>sediminis</w:t>
      </w:r>
      <w:proofErr w:type="spellEnd"/>
      <w:r w:rsidRPr="001A17D2">
        <w:t xml:space="preserve"> and </w:t>
      </w:r>
      <w:r w:rsidRPr="001A17D2">
        <w:rPr>
          <w:i/>
        </w:rPr>
        <w:t xml:space="preserve">S. </w:t>
      </w:r>
      <w:proofErr w:type="spellStart"/>
      <w:r w:rsidRPr="001A17D2">
        <w:rPr>
          <w:i/>
        </w:rPr>
        <w:t>violacea</w:t>
      </w:r>
      <w:proofErr w:type="spellEnd"/>
      <w:r w:rsidRPr="001A17D2">
        <w:t xml:space="preserve"> (</w:t>
      </w:r>
      <w:r w:rsidR="000D3BF5">
        <w:t>Additional file 1</w:t>
      </w:r>
      <w:proofErr w:type="gramStart"/>
      <w:r w:rsidR="000D3BF5">
        <w:t>,</w:t>
      </w:r>
      <w:r w:rsidRPr="001A17D2">
        <w:rPr>
          <w:rFonts w:eastAsia="Calibri"/>
          <w:lang w:val="en-US"/>
        </w:rPr>
        <w:t>Table</w:t>
      </w:r>
      <w:proofErr w:type="gramEnd"/>
      <w:r w:rsidRPr="001A17D2">
        <w:rPr>
          <w:rFonts w:eastAsia="Calibri"/>
          <w:lang w:val="en-US"/>
        </w:rPr>
        <w:t xml:space="preserve"> </w:t>
      </w:r>
      <w:r>
        <w:rPr>
          <w:rFonts w:eastAsia="Calibri"/>
          <w:lang w:val="en-US"/>
        </w:rPr>
        <w:t>S1c</w:t>
      </w:r>
      <w:r w:rsidRPr="001A17D2">
        <w:t>).</w:t>
      </w:r>
    </w:p>
    <w:p w:rsidR="00BF6877" w:rsidRPr="00BF6877" w:rsidRDefault="00BF6877" w:rsidP="00C62A06">
      <w:pPr>
        <w:autoSpaceDE w:val="0"/>
        <w:autoSpaceDN w:val="0"/>
        <w:adjustRightInd w:val="0"/>
        <w:spacing w:line="288" w:lineRule="auto"/>
        <w:jc w:val="both"/>
        <w:rPr>
          <w:b/>
          <w:sz w:val="28"/>
          <w:szCs w:val="28"/>
        </w:rPr>
      </w:pPr>
      <w:r w:rsidRPr="00BF6877">
        <w:rPr>
          <w:b/>
          <w:sz w:val="28"/>
          <w:szCs w:val="28"/>
        </w:rPr>
        <w:lastRenderedPageBreak/>
        <w:t>References</w:t>
      </w:r>
    </w:p>
    <w:p w:rsidR="00BF6877" w:rsidRDefault="00BF6877" w:rsidP="00C62A06">
      <w:pPr>
        <w:autoSpaceDE w:val="0"/>
        <w:autoSpaceDN w:val="0"/>
        <w:adjustRightInd w:val="0"/>
        <w:spacing w:line="288" w:lineRule="auto"/>
        <w:jc w:val="both"/>
      </w:pPr>
    </w:p>
    <w:p w:rsidR="00BF6877" w:rsidRPr="00BF6877" w:rsidRDefault="00BF6877" w:rsidP="00BF6877">
      <w:pPr>
        <w:pStyle w:val="Bibliography"/>
      </w:pPr>
      <w:r>
        <w:fldChar w:fldCharType="begin"/>
      </w:r>
      <w:r>
        <w:instrText xml:space="preserve"> ADDIN ZOTERO_BIBL {"custom":[]} CSL_BIBLIOGRAPHY </w:instrText>
      </w:r>
      <w:r>
        <w:fldChar w:fldCharType="separate"/>
      </w:r>
      <w:r w:rsidRPr="00BF6877">
        <w:t xml:space="preserve">1. Park S-C, Pham BP, Van Duyet L, Jia B, Lee S, Yu R, Han SW, Yang J-K, Hahm K-S, Cheong G-W: </w:t>
      </w:r>
      <w:r w:rsidRPr="00BF6877">
        <w:rPr>
          <w:b/>
          <w:bCs/>
        </w:rPr>
        <w:t>Structural and functional characterization of osmotically inducible protein C (OsmC) from Thermococcus kodakaraensis KOD1</w:t>
      </w:r>
      <w:r w:rsidRPr="00BF6877">
        <w:t xml:space="preserve">. </w:t>
      </w:r>
      <w:r w:rsidRPr="00BF6877">
        <w:rPr>
          <w:i/>
          <w:iCs/>
        </w:rPr>
        <w:t>Biochim Biophys Acta</w:t>
      </w:r>
      <w:r w:rsidRPr="00BF6877">
        <w:t xml:space="preserve"> 2008, </w:t>
      </w:r>
      <w:r w:rsidRPr="00BF6877">
        <w:rPr>
          <w:b/>
          <w:bCs/>
        </w:rPr>
        <w:t>1784</w:t>
      </w:r>
      <w:r w:rsidRPr="00BF6877">
        <w:t>:783–788.</w:t>
      </w:r>
    </w:p>
    <w:p w:rsidR="00BF6877" w:rsidRPr="00BF6877" w:rsidRDefault="00BF6877" w:rsidP="00BF6877">
      <w:pPr>
        <w:pStyle w:val="Bibliography"/>
      </w:pPr>
      <w:r w:rsidRPr="00BF6877">
        <w:t xml:space="preserve">2. Macario AJ, Lange M, Ahring BK, Conway de Macario E: </w:t>
      </w:r>
      <w:r w:rsidRPr="00BF6877">
        <w:rPr>
          <w:b/>
          <w:bCs/>
        </w:rPr>
        <w:t>Stress genes and proteins in the archaea</w:t>
      </w:r>
      <w:r w:rsidRPr="00BF6877">
        <w:t xml:space="preserve">. </w:t>
      </w:r>
      <w:r w:rsidRPr="00BF6877">
        <w:rPr>
          <w:i/>
          <w:iCs/>
        </w:rPr>
        <w:t>Microbiol Mol Biol Rev MMBR</w:t>
      </w:r>
      <w:r w:rsidRPr="00BF6877">
        <w:t xml:space="preserve"> 1999, </w:t>
      </w:r>
      <w:r w:rsidRPr="00BF6877">
        <w:rPr>
          <w:b/>
          <w:bCs/>
        </w:rPr>
        <w:t>63</w:t>
      </w:r>
      <w:r w:rsidRPr="00BF6877">
        <w:t>:923–967, table of contents.</w:t>
      </w:r>
    </w:p>
    <w:p w:rsidR="00BF6877" w:rsidRPr="00BF6877" w:rsidRDefault="00BF6877" w:rsidP="00BF6877">
      <w:pPr>
        <w:pStyle w:val="Bibliography"/>
      </w:pPr>
      <w:r w:rsidRPr="00BF6877">
        <w:t xml:space="preserve">3. Carfi A, Pares S, Duée E, Galleni M, Duez C, Frère JM, Dideberg O: </w:t>
      </w:r>
      <w:r w:rsidRPr="00BF6877">
        <w:rPr>
          <w:b/>
          <w:bCs/>
        </w:rPr>
        <w:t>The 3-D structure of a zinc metallo-beta-lactamase from Bacillus cereus reveals a new type of protein fold.</w:t>
      </w:r>
      <w:r w:rsidRPr="00BF6877">
        <w:t xml:space="preserve"> </w:t>
      </w:r>
      <w:r w:rsidRPr="00BF6877">
        <w:rPr>
          <w:i/>
          <w:iCs/>
        </w:rPr>
        <w:t>EMBO J</w:t>
      </w:r>
      <w:r w:rsidRPr="00BF6877">
        <w:t xml:space="preserve"> 1995, </w:t>
      </w:r>
      <w:r w:rsidRPr="00BF6877">
        <w:rPr>
          <w:b/>
          <w:bCs/>
        </w:rPr>
        <w:t>14</w:t>
      </w:r>
      <w:r w:rsidRPr="00BF6877">
        <w:t>:4914–4921.</w:t>
      </w:r>
    </w:p>
    <w:p w:rsidR="00BF6877" w:rsidRPr="00BF6877" w:rsidRDefault="00BF6877" w:rsidP="00BF6877">
      <w:pPr>
        <w:pStyle w:val="Bibliography"/>
      </w:pPr>
      <w:r w:rsidRPr="00BF6877">
        <w:t xml:space="preserve">4. Carlson BL, Ballister ER, Skordalakes E, King DS, Breidenbach MA, Gilmore SA, Berger JM, Bertozzi CR: </w:t>
      </w:r>
      <w:r w:rsidRPr="00BF6877">
        <w:rPr>
          <w:b/>
          <w:bCs/>
        </w:rPr>
        <w:t>Function and structure of a prokaryotic formylglycine-generating enzyme</w:t>
      </w:r>
      <w:r w:rsidRPr="00BF6877">
        <w:t xml:space="preserve">. </w:t>
      </w:r>
      <w:r w:rsidRPr="00BF6877">
        <w:rPr>
          <w:i/>
          <w:iCs/>
        </w:rPr>
        <w:t>J Biol Chem</w:t>
      </w:r>
      <w:r w:rsidRPr="00BF6877">
        <w:t xml:space="preserve"> 2008, </w:t>
      </w:r>
      <w:r w:rsidRPr="00BF6877">
        <w:rPr>
          <w:b/>
          <w:bCs/>
        </w:rPr>
        <w:t>283</w:t>
      </w:r>
      <w:r w:rsidRPr="00BF6877">
        <w:t>:20117–20125.</w:t>
      </w:r>
    </w:p>
    <w:p w:rsidR="00BF6877" w:rsidRPr="00BF6877" w:rsidRDefault="00BF6877" w:rsidP="00BF6877">
      <w:pPr>
        <w:pStyle w:val="Bibliography"/>
      </w:pPr>
      <w:r w:rsidRPr="00BF6877">
        <w:t xml:space="preserve">5. Carrard G, Koivula A, Söderlund H, Béguin P: </w:t>
      </w:r>
      <w:r w:rsidRPr="00BF6877">
        <w:rPr>
          <w:b/>
          <w:bCs/>
        </w:rPr>
        <w:t>Cellulose-binding domains promote hydrolysis of different sites on crystalline cellulose</w:t>
      </w:r>
      <w:r w:rsidRPr="00BF6877">
        <w:t xml:space="preserve">. </w:t>
      </w:r>
      <w:r w:rsidRPr="00BF6877">
        <w:rPr>
          <w:i/>
          <w:iCs/>
        </w:rPr>
        <w:t>Proc Natl Acad Sci U S A</w:t>
      </w:r>
      <w:r w:rsidRPr="00BF6877">
        <w:t xml:space="preserve"> 2000, </w:t>
      </w:r>
      <w:r w:rsidRPr="00BF6877">
        <w:rPr>
          <w:b/>
          <w:bCs/>
        </w:rPr>
        <w:t>97</w:t>
      </w:r>
      <w:r w:rsidRPr="00BF6877">
        <w:t>:10342–10347.</w:t>
      </w:r>
    </w:p>
    <w:p w:rsidR="00BF6877" w:rsidRPr="00BF6877" w:rsidRDefault="00BF6877" w:rsidP="00BF6877">
      <w:pPr>
        <w:pStyle w:val="Bibliography"/>
      </w:pPr>
      <w:r w:rsidRPr="00BF6877">
        <w:t xml:space="preserve">6. Chapman-Smith A, Jr JEC: </w:t>
      </w:r>
      <w:r w:rsidRPr="00BF6877">
        <w:rPr>
          <w:b/>
          <w:bCs/>
        </w:rPr>
        <w:t>Molecular Biology of Biotin Attachment to Proteins</w:t>
      </w:r>
      <w:r w:rsidRPr="00BF6877">
        <w:t xml:space="preserve">. </w:t>
      </w:r>
      <w:r w:rsidRPr="00BF6877">
        <w:rPr>
          <w:i/>
          <w:iCs/>
        </w:rPr>
        <w:t>J Nutr</w:t>
      </w:r>
      <w:r w:rsidRPr="00BF6877">
        <w:t xml:space="preserve"> 1999, </w:t>
      </w:r>
      <w:r w:rsidRPr="00BF6877">
        <w:rPr>
          <w:b/>
          <w:bCs/>
        </w:rPr>
        <w:t>129</w:t>
      </w:r>
      <w:r w:rsidRPr="00BF6877">
        <w:t>:477S–484S.</w:t>
      </w:r>
    </w:p>
    <w:p w:rsidR="00BF6877" w:rsidRPr="00BF6877" w:rsidRDefault="00BF6877" w:rsidP="00BF6877">
      <w:pPr>
        <w:pStyle w:val="Bibliography"/>
      </w:pPr>
      <w:r w:rsidRPr="00BF6877">
        <w:t xml:space="preserve">7. Esteghlalian AR, Srivastava V, Gilkes NR, Kilburn DG, Warren RA, Saddle JN: </w:t>
      </w:r>
      <w:r w:rsidRPr="00BF6877">
        <w:rPr>
          <w:b/>
          <w:bCs/>
        </w:rPr>
        <w:t>Do cellulose binding domains increase substrate accessibility?</w:t>
      </w:r>
      <w:r w:rsidRPr="00BF6877">
        <w:t xml:space="preserve"> </w:t>
      </w:r>
      <w:r w:rsidRPr="00BF6877">
        <w:rPr>
          <w:i/>
          <w:iCs/>
        </w:rPr>
        <w:t>Appl Biochem Biotechnol</w:t>
      </w:r>
      <w:r w:rsidRPr="00BF6877">
        <w:t xml:space="preserve"> 2001, </w:t>
      </w:r>
      <w:r w:rsidRPr="00BF6877">
        <w:rPr>
          <w:b/>
          <w:bCs/>
        </w:rPr>
        <w:t>91-93</w:t>
      </w:r>
      <w:r w:rsidRPr="00BF6877">
        <w:t>:575–592.</w:t>
      </w:r>
    </w:p>
    <w:p w:rsidR="00BF6877" w:rsidRPr="00BF6877" w:rsidRDefault="00BF6877" w:rsidP="00BF6877">
      <w:pPr>
        <w:pStyle w:val="Bibliography"/>
      </w:pPr>
      <w:r w:rsidRPr="00BF6877">
        <w:t xml:space="preserve">8. Mesnage S, Tosi-Couture E, Mock M, Fouet A: </w:t>
      </w:r>
      <w:r w:rsidRPr="00BF6877">
        <w:rPr>
          <w:b/>
          <w:bCs/>
        </w:rPr>
        <w:t>The S-layer homology domain as a means for anchoring heterologous proteins on the cell surface of Bacillus anthracis</w:t>
      </w:r>
      <w:r w:rsidRPr="00BF6877">
        <w:t xml:space="preserve">. </w:t>
      </w:r>
      <w:r w:rsidRPr="00BF6877">
        <w:rPr>
          <w:i/>
          <w:iCs/>
        </w:rPr>
        <w:t>J Appl Microbiol</w:t>
      </w:r>
      <w:r w:rsidRPr="00BF6877">
        <w:t xml:space="preserve"> 1999, </w:t>
      </w:r>
      <w:r w:rsidRPr="00BF6877">
        <w:rPr>
          <w:b/>
          <w:bCs/>
        </w:rPr>
        <w:t>87</w:t>
      </w:r>
      <w:r w:rsidRPr="00BF6877">
        <w:t>:256–260.</w:t>
      </w:r>
    </w:p>
    <w:p w:rsidR="00BF6877" w:rsidRPr="0002009D" w:rsidRDefault="00BF6877" w:rsidP="00C62A06">
      <w:pPr>
        <w:autoSpaceDE w:val="0"/>
        <w:autoSpaceDN w:val="0"/>
        <w:adjustRightInd w:val="0"/>
        <w:spacing w:line="288" w:lineRule="auto"/>
        <w:jc w:val="both"/>
      </w:pPr>
      <w:r>
        <w:fldChar w:fldCharType="end"/>
      </w:r>
    </w:p>
    <w:sectPr w:rsidR="00BF6877" w:rsidRPr="00020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51BC"/>
    <w:multiLevelType w:val="hybridMultilevel"/>
    <w:tmpl w:val="11F66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E55D76"/>
    <w:multiLevelType w:val="hybridMultilevel"/>
    <w:tmpl w:val="78749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491"/>
    <w:rsid w:val="0002009D"/>
    <w:rsid w:val="000C2E80"/>
    <w:rsid w:val="000D3BF5"/>
    <w:rsid w:val="00153152"/>
    <w:rsid w:val="001C3E32"/>
    <w:rsid w:val="001D2693"/>
    <w:rsid w:val="00233662"/>
    <w:rsid w:val="003966A6"/>
    <w:rsid w:val="003B6491"/>
    <w:rsid w:val="004750B7"/>
    <w:rsid w:val="00533814"/>
    <w:rsid w:val="00784286"/>
    <w:rsid w:val="007C6BCB"/>
    <w:rsid w:val="00837CBE"/>
    <w:rsid w:val="009A03C5"/>
    <w:rsid w:val="00A13675"/>
    <w:rsid w:val="00A432F7"/>
    <w:rsid w:val="00AA23BD"/>
    <w:rsid w:val="00B11870"/>
    <w:rsid w:val="00BF6877"/>
    <w:rsid w:val="00C400E8"/>
    <w:rsid w:val="00C62A06"/>
    <w:rsid w:val="00D05D1F"/>
    <w:rsid w:val="00D22821"/>
    <w:rsid w:val="00D22C42"/>
    <w:rsid w:val="00DA4BCD"/>
    <w:rsid w:val="00DD18CA"/>
    <w:rsid w:val="00F032E4"/>
    <w:rsid w:val="00F1726B"/>
    <w:rsid w:val="00F2300F"/>
    <w:rsid w:val="00F3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9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491"/>
    <w:rPr>
      <w:rFonts w:ascii="Tahoma" w:hAnsi="Tahoma" w:cs="Tahoma"/>
      <w:sz w:val="16"/>
      <w:szCs w:val="16"/>
    </w:rPr>
  </w:style>
  <w:style w:type="character" w:customStyle="1" w:styleId="BalloonTextChar">
    <w:name w:val="Balloon Text Char"/>
    <w:basedOn w:val="DefaultParagraphFont"/>
    <w:link w:val="BalloonText"/>
    <w:uiPriority w:val="99"/>
    <w:semiHidden/>
    <w:rsid w:val="003B6491"/>
    <w:rPr>
      <w:rFonts w:ascii="Tahoma" w:eastAsia="Times New Roman" w:hAnsi="Tahoma" w:cs="Tahoma"/>
      <w:sz w:val="16"/>
      <w:szCs w:val="16"/>
      <w:lang w:val="en-GB"/>
    </w:rPr>
  </w:style>
  <w:style w:type="paragraph" w:styleId="ListParagraph">
    <w:name w:val="List Paragraph"/>
    <w:basedOn w:val="Normal"/>
    <w:uiPriority w:val="34"/>
    <w:qFormat/>
    <w:rsid w:val="00A13675"/>
    <w:pPr>
      <w:ind w:left="720"/>
      <w:contextualSpacing/>
    </w:pPr>
  </w:style>
  <w:style w:type="paragraph" w:styleId="Bibliography">
    <w:name w:val="Bibliography"/>
    <w:basedOn w:val="Normal"/>
    <w:next w:val="Normal"/>
    <w:uiPriority w:val="37"/>
    <w:unhideWhenUsed/>
    <w:rsid w:val="00BF6877"/>
    <w:pPr>
      <w:spacing w:after="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49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6491"/>
    <w:rPr>
      <w:rFonts w:ascii="Tahoma" w:hAnsi="Tahoma" w:cs="Tahoma"/>
      <w:sz w:val="16"/>
      <w:szCs w:val="16"/>
    </w:rPr>
  </w:style>
  <w:style w:type="character" w:customStyle="1" w:styleId="BalloonTextChar">
    <w:name w:val="Balloon Text Char"/>
    <w:basedOn w:val="DefaultParagraphFont"/>
    <w:link w:val="BalloonText"/>
    <w:uiPriority w:val="99"/>
    <w:semiHidden/>
    <w:rsid w:val="003B6491"/>
    <w:rPr>
      <w:rFonts w:ascii="Tahoma" w:eastAsia="Times New Roman" w:hAnsi="Tahoma" w:cs="Tahoma"/>
      <w:sz w:val="16"/>
      <w:szCs w:val="16"/>
      <w:lang w:val="en-GB"/>
    </w:rPr>
  </w:style>
  <w:style w:type="paragraph" w:styleId="ListParagraph">
    <w:name w:val="List Paragraph"/>
    <w:basedOn w:val="Normal"/>
    <w:uiPriority w:val="34"/>
    <w:qFormat/>
    <w:rsid w:val="00A13675"/>
    <w:pPr>
      <w:ind w:left="720"/>
      <w:contextualSpacing/>
    </w:pPr>
  </w:style>
  <w:style w:type="paragraph" w:styleId="Bibliography">
    <w:name w:val="Bibliography"/>
    <w:basedOn w:val="Normal"/>
    <w:next w:val="Normal"/>
    <w:uiPriority w:val="37"/>
    <w:unhideWhenUsed/>
    <w:rsid w:val="00BF6877"/>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microsoft.com/office/2007/relationships/stylesWithEffects" Target="stylesWithEffect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490</TotalTime>
  <Pages>7</Pages>
  <Words>5350</Words>
  <Characters>30498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Swati</dc:creator>
  <cp:lastModifiedBy>Swati</cp:lastModifiedBy>
  <cp:revision>27</cp:revision>
  <dcterms:created xsi:type="dcterms:W3CDTF">2013-12-15T06:51:00Z</dcterms:created>
  <dcterms:modified xsi:type="dcterms:W3CDTF">2014-06-13T21:38:00Z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zotero-version="4.0.20.2"&gt;&lt;session id="7ZmqPV62"/&gt;&lt;style id="http://www.zotero.org/styles/bmc-genomics" hasBibliography="1" bibliographyStyleHasBeenSet="1"/&gt;&lt;prefs&gt;&lt;pref name="fieldType" value="Field"/&gt;&lt;pref name="storeReferences" v</vt:lpwstr>
  </property>
  <property fmtid="{D5CDD505-2E9C-101B-9397-08002B2CF9AE}" pid="3" name="ZOTERO_PREF_2">
    <vt:lpwstr>alue="true"/&gt;&lt;pref name="automaticJournalAbbreviations" value="true"/&gt;&lt;pref name="noteType" value="0"/&gt;&lt;/prefs&gt;&lt;/data&gt;</vt:lpwstr>
  </property>
</Properties>
</file>