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2B" w:rsidRDefault="00EB3F2B" w:rsidP="00EB3F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3020A">
        <w:rPr>
          <w:rFonts w:ascii="Times New Roman" w:hAnsi="Times New Roman" w:cs="Times New Roman"/>
          <w:b/>
          <w:sz w:val="24"/>
          <w:szCs w:val="24"/>
        </w:rPr>
        <w:t>Additional file 1:</w:t>
      </w:r>
    </w:p>
    <w:p w:rsidR="0034792B" w:rsidRPr="0034792B" w:rsidRDefault="0034792B" w:rsidP="00EB3F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4792B">
        <w:rPr>
          <w:rFonts w:ascii="Times New Roman" w:hAnsi="Times New Roman" w:cs="Times New Roman"/>
          <w:sz w:val="24"/>
          <w:szCs w:val="24"/>
        </w:rPr>
        <w:t xml:space="preserve">Format: PDF Size </w:t>
      </w:r>
      <w:r w:rsidR="00F641DC">
        <w:rPr>
          <w:rFonts w:ascii="Times New Roman" w:hAnsi="Times New Roman" w:cs="Times New Roman"/>
          <w:sz w:val="24"/>
          <w:szCs w:val="24"/>
        </w:rPr>
        <w:t>137</w:t>
      </w:r>
      <w:r w:rsidR="003E6AE0">
        <w:rPr>
          <w:rFonts w:ascii="Times New Roman" w:hAnsi="Times New Roman" w:cs="Times New Roman"/>
          <w:sz w:val="24"/>
          <w:szCs w:val="24"/>
        </w:rPr>
        <w:t>KB</w:t>
      </w:r>
    </w:p>
    <w:p w:rsidR="00EB3F2B" w:rsidRDefault="00EB3F2B" w:rsidP="00EB3F2B">
      <w:pPr>
        <w:keepNext/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</w:pPr>
      <w:proofErr w:type="gramStart"/>
      <w:r w:rsidRPr="00E06124"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t xml:space="preserve">Table </w:t>
      </w:r>
      <w:r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t>S1</w:t>
      </w:r>
      <w:r w:rsidRPr="00E06124"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t xml:space="preserve"> Comparison of wild barley 454 transcript</w:t>
      </w:r>
      <w:r w:rsidR="00086396"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t>s</w:t>
      </w:r>
      <w:r w:rsidRPr="00E06124"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t xml:space="preserve"> and </w:t>
      </w:r>
      <w:proofErr w:type="spellStart"/>
      <w:r w:rsidRPr="00E06124"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t>Hv</w:t>
      </w:r>
      <w:proofErr w:type="spellEnd"/>
      <w:r w:rsidRPr="00E06124"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t xml:space="preserve"> </w:t>
      </w:r>
      <w:proofErr w:type="spellStart"/>
      <w:r w:rsidRPr="00E06124"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t>fl</w:t>
      </w:r>
      <w:proofErr w:type="spellEnd"/>
      <w:r w:rsidRPr="00E06124"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t>-cDNA sequences a</w:t>
      </w:r>
      <w:r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t>gainst different plant genomes.</w:t>
      </w:r>
      <w:proofErr w:type="gramEnd"/>
    </w:p>
    <w:tbl>
      <w:tblPr>
        <w:tblStyle w:val="LightShading-Accent14"/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422"/>
        <w:gridCol w:w="1260"/>
        <w:gridCol w:w="1620"/>
        <w:gridCol w:w="1260"/>
      </w:tblGrid>
      <w:tr w:rsidR="00EB3F2B" w:rsidRPr="00354DEC" w:rsidTr="00160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Barley </w:t>
            </w:r>
            <w:r w:rsidR="001605E5">
              <w:rPr>
                <w:rFonts w:ascii="Times New Roman" w:eastAsia="Times New Roman" w:hAnsi="Times New Roman" w:cs="Times New Roman"/>
                <w:b w:val="0"/>
                <w:color w:val="auto"/>
              </w:rPr>
              <w:t>data</w:t>
            </w:r>
          </w:p>
          <w:p w:rsidR="00EB3F2B" w:rsidRPr="00354DEC" w:rsidRDefault="00EB3F2B" w:rsidP="001605E5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(No</w:t>
            </w:r>
            <w:r w:rsidR="003F3677">
              <w:rPr>
                <w:rFonts w:ascii="Times New Roman" w:eastAsia="Times New Roman" w:hAnsi="Times New Roman" w:cs="Times New Roman"/>
                <w:b w:val="0"/>
                <w:color w:val="auto"/>
              </w:rPr>
              <w:t>.</w:t>
            </w:r>
            <w:r w:rsidR="001605E5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of sequences</w:t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</w:tcPr>
          <w:p w:rsidR="00EB3F2B" w:rsidRPr="00354DEC" w:rsidRDefault="00EB3F2B" w:rsidP="003F367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  <w:vertAlign w:val="superscript"/>
              </w:rPr>
              <w:t>1</w:t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Genome Annotation</w:t>
            </w:r>
          </w:p>
        </w:tc>
        <w:tc>
          <w:tcPr>
            <w:tcW w:w="268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pBdr>
                <w:bottom w:val="single" w:sz="8" w:space="0" w:color="auto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One-to-many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pBdr>
                <w:bottom w:val="single" w:sz="8" w:space="0" w:color="auto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RBH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B3F2B" w:rsidRPr="00354DEC" w:rsidRDefault="00EB3F2B" w:rsidP="003F367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No</w:t>
            </w:r>
            <w:r w:rsidR="003F3677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354DEC">
              <w:rPr>
                <w:rFonts w:ascii="Times New Roman" w:eastAsia="Times New Roman" w:hAnsi="Times New Roman" w:cs="Times New Roman"/>
                <w:color w:val="auto"/>
              </w:rPr>
              <w:t xml:space="preserve"> of </w:t>
            </w:r>
            <w:r w:rsidR="003F3677">
              <w:rPr>
                <w:rFonts w:ascii="Times New Roman" w:eastAsia="Times New Roman" w:hAnsi="Times New Roman" w:cs="Times New Roman"/>
                <w:color w:val="auto"/>
              </w:rPr>
              <w:t>PUTs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%</w:t>
            </w:r>
            <w:r w:rsidR="003F3677">
              <w:rPr>
                <w:rFonts w:ascii="Times New Roman" w:eastAsia="Times New Roman" w:hAnsi="Times New Roman" w:cs="Times New Roman"/>
                <w:color w:val="auto"/>
              </w:rPr>
              <w:t xml:space="preserve"> of PUTs 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B3F2B" w:rsidRPr="00354DEC" w:rsidRDefault="00EB3F2B" w:rsidP="003F367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No</w:t>
            </w:r>
            <w:r w:rsidR="003F3677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354DEC">
              <w:rPr>
                <w:rFonts w:ascii="Times New Roman" w:eastAsia="Times New Roman" w:hAnsi="Times New Roman" w:cs="Times New Roman"/>
                <w:color w:val="auto"/>
              </w:rPr>
              <w:t xml:space="preserve"> of </w:t>
            </w:r>
            <w:r w:rsidR="003F3677">
              <w:rPr>
                <w:rFonts w:ascii="Times New Roman" w:eastAsia="Times New Roman" w:hAnsi="Times New Roman" w:cs="Times New Roman"/>
                <w:color w:val="auto"/>
              </w:rPr>
              <w:t>PUTs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%</w:t>
            </w:r>
            <w:r w:rsidR="003F3677">
              <w:rPr>
                <w:rFonts w:ascii="Times New Roman" w:eastAsia="Times New Roman" w:hAnsi="Times New Roman" w:cs="Times New Roman"/>
                <w:color w:val="auto"/>
              </w:rPr>
              <w:t>of PUTs</w:t>
            </w:r>
          </w:p>
        </w:tc>
      </w:tr>
      <w:tr w:rsidR="00EB3F2B" w:rsidRPr="00354DEC" w:rsidTr="001605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B1K2 </w:t>
            </w:r>
          </w:p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(20,439)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Barley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13402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65.6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10151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49.7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il"/>
            </w:tcBorders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Brachypodium</w:t>
            </w:r>
          </w:p>
        </w:tc>
        <w:tc>
          <w:tcPr>
            <w:tcW w:w="1422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10788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52.8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7203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35.2</w:t>
            </w:r>
          </w:p>
        </w:tc>
      </w:tr>
      <w:tr w:rsidR="00EB3F2B" w:rsidRPr="00354DEC" w:rsidTr="001605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Rice</w:t>
            </w:r>
          </w:p>
        </w:tc>
        <w:tc>
          <w:tcPr>
            <w:tcW w:w="1422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9423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46.1</w:t>
            </w: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6217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30.4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Sorghum</w:t>
            </w:r>
          </w:p>
        </w:tc>
        <w:tc>
          <w:tcPr>
            <w:tcW w:w="1422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8799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43.1</w:t>
            </w: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5768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28.2</w:t>
            </w:r>
          </w:p>
        </w:tc>
      </w:tr>
      <w:tr w:rsidR="00EB3F2B" w:rsidRPr="00354DEC" w:rsidTr="001605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Maize</w:t>
            </w:r>
          </w:p>
        </w:tc>
        <w:tc>
          <w:tcPr>
            <w:tcW w:w="1422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8297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40.6</w:t>
            </w: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4953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24.2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Arabidopsis</w:t>
            </w:r>
          </w:p>
        </w:tc>
        <w:tc>
          <w:tcPr>
            <w:tcW w:w="1422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3386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16.6</w:t>
            </w: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1703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8.3</w:t>
            </w:r>
          </w:p>
        </w:tc>
      </w:tr>
      <w:tr w:rsidR="00EB3F2B" w:rsidRPr="00354DEC" w:rsidTr="001605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B1K30 </w:t>
            </w:r>
          </w:p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(21,494)</w:t>
            </w:r>
          </w:p>
        </w:tc>
        <w:tc>
          <w:tcPr>
            <w:tcW w:w="162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Barley</w:t>
            </w:r>
          </w:p>
        </w:tc>
        <w:tc>
          <w:tcPr>
            <w:tcW w:w="142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13632</w:t>
            </w:r>
          </w:p>
        </w:tc>
        <w:tc>
          <w:tcPr>
            <w:tcW w:w="126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63.4</w:t>
            </w:r>
          </w:p>
        </w:tc>
        <w:tc>
          <w:tcPr>
            <w:tcW w:w="162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9996</w:t>
            </w:r>
          </w:p>
        </w:tc>
        <w:tc>
          <w:tcPr>
            <w:tcW w:w="126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46.5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il"/>
            </w:tcBorders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Brachypodium</w:t>
            </w:r>
          </w:p>
        </w:tc>
        <w:tc>
          <w:tcPr>
            <w:tcW w:w="1422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10545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49.1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6976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32.5</w:t>
            </w:r>
          </w:p>
        </w:tc>
      </w:tr>
      <w:tr w:rsidR="00EB3F2B" w:rsidRPr="00354DEC" w:rsidTr="001605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Rice</w:t>
            </w:r>
          </w:p>
        </w:tc>
        <w:tc>
          <w:tcPr>
            <w:tcW w:w="1422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9181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42.7</w:t>
            </w: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6048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28.1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Sorghum</w:t>
            </w:r>
          </w:p>
        </w:tc>
        <w:tc>
          <w:tcPr>
            <w:tcW w:w="1422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8584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39.9</w:t>
            </w: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5613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26.1</w:t>
            </w:r>
          </w:p>
        </w:tc>
      </w:tr>
      <w:tr w:rsidR="00EB3F2B" w:rsidRPr="00354DEC" w:rsidTr="001605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Maize</w:t>
            </w:r>
          </w:p>
        </w:tc>
        <w:tc>
          <w:tcPr>
            <w:tcW w:w="1422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8108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37.7</w:t>
            </w: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4765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22.2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Arabidopsis</w:t>
            </w:r>
          </w:p>
        </w:tc>
        <w:tc>
          <w:tcPr>
            <w:tcW w:w="1422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3323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15.5</w:t>
            </w: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1646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7.7</w:t>
            </w:r>
          </w:p>
        </w:tc>
      </w:tr>
      <w:tr w:rsidR="00EB3F2B" w:rsidRPr="00354DEC" w:rsidTr="001605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B1K </w:t>
            </w:r>
          </w:p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(28,719)</w:t>
            </w:r>
          </w:p>
        </w:tc>
        <w:tc>
          <w:tcPr>
            <w:tcW w:w="162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Barley</w:t>
            </w:r>
          </w:p>
        </w:tc>
        <w:tc>
          <w:tcPr>
            <w:tcW w:w="142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17033</w:t>
            </w:r>
          </w:p>
        </w:tc>
        <w:tc>
          <w:tcPr>
            <w:tcW w:w="126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59.3</w:t>
            </w:r>
          </w:p>
        </w:tc>
        <w:tc>
          <w:tcPr>
            <w:tcW w:w="162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11859</w:t>
            </w:r>
          </w:p>
        </w:tc>
        <w:tc>
          <w:tcPr>
            <w:tcW w:w="126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41.3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il"/>
            </w:tcBorders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Brachypodium</w:t>
            </w:r>
          </w:p>
        </w:tc>
        <w:tc>
          <w:tcPr>
            <w:tcW w:w="1422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13404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46.7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8246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28.7</w:t>
            </w:r>
          </w:p>
        </w:tc>
      </w:tr>
      <w:tr w:rsidR="00EB3F2B" w:rsidRPr="00354DEC" w:rsidTr="001605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rice</w:t>
            </w:r>
          </w:p>
        </w:tc>
        <w:tc>
          <w:tcPr>
            <w:tcW w:w="1422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11649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40.6</w:t>
            </w: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7158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24.9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sorghum</w:t>
            </w:r>
          </w:p>
        </w:tc>
        <w:tc>
          <w:tcPr>
            <w:tcW w:w="1422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10835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37.7</w:t>
            </w:r>
          </w:p>
        </w:tc>
        <w:tc>
          <w:tcPr>
            <w:tcW w:w="162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6613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23.0</w:t>
            </w:r>
          </w:p>
        </w:tc>
      </w:tr>
      <w:tr w:rsidR="00EB3F2B" w:rsidRPr="00354DEC" w:rsidTr="001605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EB3F2B" w:rsidRPr="00354DEC" w:rsidRDefault="00EB3F2B" w:rsidP="00EB3F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proofErr w:type="spellStart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Hv</w:t>
            </w:r>
            <w:proofErr w:type="spellEnd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fl</w:t>
            </w:r>
            <w:proofErr w:type="spellEnd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-cDNA (23,356)</w:t>
            </w:r>
          </w:p>
        </w:tc>
        <w:tc>
          <w:tcPr>
            <w:tcW w:w="162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Brachypodium</w:t>
            </w:r>
          </w:p>
        </w:tc>
        <w:tc>
          <w:tcPr>
            <w:tcW w:w="1422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15237</w:t>
            </w:r>
          </w:p>
        </w:tc>
        <w:tc>
          <w:tcPr>
            <w:tcW w:w="126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65.2</w:t>
            </w:r>
          </w:p>
        </w:tc>
        <w:tc>
          <w:tcPr>
            <w:tcW w:w="162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9578</w:t>
            </w:r>
          </w:p>
        </w:tc>
        <w:tc>
          <w:tcPr>
            <w:tcW w:w="1260" w:type="dxa"/>
            <w:tcBorders>
              <w:top w:val="dotted" w:sz="4" w:space="0" w:color="auto"/>
              <w:bottom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41.0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top w:val="nil"/>
            </w:tcBorders>
            <w:shd w:val="clear" w:color="auto" w:fill="auto"/>
          </w:tcPr>
          <w:p w:rsidR="00EB3F2B" w:rsidRPr="00354DEC" w:rsidRDefault="00EB3F2B" w:rsidP="00EB3F2B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rice</w:t>
            </w:r>
          </w:p>
        </w:tc>
        <w:tc>
          <w:tcPr>
            <w:tcW w:w="1422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13073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56.0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3770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16.1</w:t>
            </w:r>
          </w:p>
        </w:tc>
      </w:tr>
      <w:tr w:rsidR="00EB3F2B" w:rsidRPr="00354DEC" w:rsidTr="001605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:rsidR="00EB3F2B" w:rsidRPr="00354DEC" w:rsidRDefault="00EB3F2B" w:rsidP="00EB3F2B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sorghum</w:t>
            </w:r>
          </w:p>
        </w:tc>
        <w:tc>
          <w:tcPr>
            <w:tcW w:w="1422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12125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51.9</w:t>
            </w: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7013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30.0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:rsidR="00EB3F2B" w:rsidRPr="00354DEC" w:rsidRDefault="00EB3F2B" w:rsidP="00EB3F2B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maize</w:t>
            </w:r>
          </w:p>
        </w:tc>
        <w:tc>
          <w:tcPr>
            <w:tcW w:w="1422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10193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43.6</w:t>
            </w:r>
          </w:p>
        </w:tc>
        <w:tc>
          <w:tcPr>
            <w:tcW w:w="162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7438</w:t>
            </w:r>
          </w:p>
        </w:tc>
        <w:tc>
          <w:tcPr>
            <w:tcW w:w="1260" w:type="dxa"/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31.8</w:t>
            </w:r>
          </w:p>
        </w:tc>
      </w:tr>
      <w:tr w:rsidR="00EB3F2B" w:rsidRPr="00354DEC" w:rsidTr="001605E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3F2B" w:rsidRPr="00354DEC" w:rsidRDefault="00EB3F2B" w:rsidP="00EB3F2B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Arabidopsis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2907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12.4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1659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EB3F2B" w:rsidRPr="00354DEC" w:rsidRDefault="00EB3F2B" w:rsidP="00EB3F2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color w:val="auto"/>
              </w:rPr>
              <w:t>7.1</w:t>
            </w:r>
          </w:p>
        </w:tc>
      </w:tr>
      <w:tr w:rsidR="00EB3F2B" w:rsidRPr="00354DEC" w:rsidTr="00160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2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3F2B" w:rsidRPr="00354DEC" w:rsidRDefault="00EB3F2B" w:rsidP="00EB3F2B">
            <w:pPr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  <w:vertAlign w:val="superscript"/>
              </w:rPr>
              <w:t>1</w:t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Genome </w:t>
            </w:r>
            <w:proofErr w:type="gramStart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Annotation  and</w:t>
            </w:r>
            <w:proofErr w:type="gramEnd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database version (# of protein sequences): Barley </w:t>
            </w:r>
            <w:proofErr w:type="spellStart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HighConf</w:t>
            </w:r>
            <w:proofErr w:type="spellEnd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genes MIPS 23Mar12 CDS (26,159), </w:t>
            </w:r>
            <w:r w:rsidRPr="00354DEC">
              <w:rPr>
                <w:rFonts w:ascii="Times New Roman" w:eastAsia="Times New Roman" w:hAnsi="Times New Roman" w:cs="Times New Roman"/>
                <w:b w:val="0"/>
                <w:i/>
                <w:color w:val="auto"/>
              </w:rPr>
              <w:t xml:space="preserve">Brachypodium </w:t>
            </w:r>
            <w:proofErr w:type="spellStart"/>
            <w:r w:rsidRPr="00354DEC">
              <w:rPr>
                <w:rFonts w:ascii="Times New Roman" w:eastAsia="Times New Roman" w:hAnsi="Times New Roman" w:cs="Times New Roman"/>
                <w:b w:val="0"/>
                <w:i/>
                <w:color w:val="auto"/>
              </w:rPr>
              <w:t>distachyon</w:t>
            </w:r>
            <w:proofErr w:type="spellEnd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 v1.2 (31,029), Rice MUS6 (68,619), Sorghum-filtered v1.4 (35,899), Maize-filtered ZmB73-4a.53 (53,764), and </w:t>
            </w:r>
            <w:r w:rsidRPr="00354DEC">
              <w:rPr>
                <w:rFonts w:ascii="Times New Roman" w:eastAsia="Times New Roman" w:hAnsi="Times New Roman" w:cs="Times New Roman"/>
                <w:b w:val="0"/>
                <w:i/>
                <w:color w:val="auto"/>
              </w:rPr>
              <w:t>Arabidopsis thaliana</w:t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TAIR10.3 (35,386). </w:t>
            </w:r>
            <w:proofErr w:type="spellStart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MegaBLAST</w:t>
            </w:r>
            <w:proofErr w:type="spellEnd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cutoff: ≤1e-10, </w:t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sym w:font="Symbol" w:char="F0B3"/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75 %ID &amp; </w:t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sym w:font="Symbol" w:char="F0B3"/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50 </w:t>
            </w:r>
            <w:proofErr w:type="spellStart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>nt</w:t>
            </w:r>
            <w:proofErr w:type="spellEnd"/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, and BLASTX cutoff: ≤1e-6 </w:t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sym w:font="Symbol" w:char="F0B3"/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75 %ID &amp; </w:t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sym w:font="Symbol" w:char="F0B3"/>
            </w:r>
            <w:r w:rsidRPr="00354DEC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 33 aa</w:t>
            </w:r>
          </w:p>
        </w:tc>
      </w:tr>
    </w:tbl>
    <w:p w:rsidR="00EB3F2B" w:rsidRDefault="00EB3F2B" w:rsidP="00EB3F2B"/>
    <w:p w:rsidR="0085090B" w:rsidRDefault="0085090B">
      <w:pPr>
        <w:rPr>
          <w:rFonts w:ascii="Times New Roman" w:eastAsiaTheme="minorEastAsia" w:hAnsi="Times New Roman"/>
          <w:b/>
          <w:sz w:val="24"/>
          <w:lang w:eastAsia="zh-CN"/>
        </w:rPr>
      </w:pPr>
      <w:r>
        <w:rPr>
          <w:rFonts w:ascii="Times New Roman" w:eastAsiaTheme="minorEastAsia" w:hAnsi="Times New Roman"/>
          <w:b/>
          <w:sz w:val="24"/>
          <w:lang w:eastAsia="zh-CN"/>
        </w:rPr>
        <w:br w:type="page"/>
      </w:r>
    </w:p>
    <w:p w:rsidR="0085090B" w:rsidRDefault="0085090B" w:rsidP="0085090B">
      <w:pPr>
        <w:keepNext/>
        <w:spacing w:after="0"/>
        <w:jc w:val="both"/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lastRenderedPageBreak/>
        <w:t>Table S4</w:t>
      </w:r>
      <w:r w:rsidRPr="00FB2EE4">
        <w:rPr>
          <w:rFonts w:ascii="Times New Roman" w:eastAsiaTheme="minorEastAsia" w:hAnsi="Times New Roman" w:cs="Times New Roman"/>
          <w:b/>
          <w:bCs/>
          <w:sz w:val="24"/>
          <w:szCs w:val="18"/>
          <w:lang w:eastAsia="zh-CN"/>
        </w:rPr>
        <w:t xml:space="preserve"> Summary of stress-related candidate genes identified from functional annotation of B1K2 and B1K30 transcriptome sequences.</w:t>
      </w:r>
    </w:p>
    <w:tbl>
      <w:tblPr>
        <w:tblStyle w:val="LightShading-Accent11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393"/>
        <w:gridCol w:w="2540"/>
        <w:gridCol w:w="2643"/>
      </w:tblGrid>
      <w:tr w:rsidR="0085090B" w:rsidRPr="00A83BA2" w:rsidTr="001519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Candidate genes</w:t>
            </w:r>
          </w:p>
        </w:tc>
        <w:tc>
          <w:tcPr>
            <w:tcW w:w="132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0B" w:rsidRPr="00A83BA2" w:rsidRDefault="0085090B" w:rsidP="0015194A">
            <w:pPr>
              <w:spacing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B1K2</w:t>
            </w: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PUTs</w:t>
            </w:r>
          </w:p>
        </w:tc>
        <w:tc>
          <w:tcPr>
            <w:tcW w:w="138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0B" w:rsidRPr="00A83BA2" w:rsidRDefault="0085090B" w:rsidP="0015194A">
            <w:pPr>
              <w:spacing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B1K30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PUts</w:t>
            </w:r>
            <w:proofErr w:type="spellEnd"/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tcBorders>
              <w:top w:val="single" w:sz="4" w:space="0" w:color="auto"/>
            </w:tcBorders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ABC transporter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380" w:type="pct"/>
            <w:tcBorders>
              <w:top w:val="single" w:sz="4" w:space="0" w:color="auto"/>
            </w:tcBorders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ABRE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Aldehyde dehydrogenase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Amino acid transport protein (AAP2)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AP2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Aquaporin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Betaine</w:t>
            </w:r>
            <w:proofErr w:type="spellEnd"/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 xml:space="preserve"> aldehyde dehydrogenase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bHLH</w:t>
            </w:r>
            <w:proofErr w:type="spellEnd"/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bZIP</w:t>
            </w:r>
            <w:proofErr w:type="spellEnd"/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Calmodulin</w:t>
            </w:r>
            <w:proofErr w:type="spellEnd"/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CBF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CDPK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Dehydrin</w:t>
            </w:r>
            <w:proofErr w:type="spellEnd"/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DREB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ERD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ERF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 xml:space="preserve">Histone </w:t>
            </w:r>
            <w:proofErr w:type="spellStart"/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deacetylase</w:t>
            </w:r>
            <w:proofErr w:type="spellEnd"/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Homeodomain</w:t>
            </w:r>
            <w:proofErr w:type="spellEnd"/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HSF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HSP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MAPK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MYB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MYC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NAC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NADP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PEPC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Phospholipase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Polyamines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Proline</w:t>
            </w:r>
            <w:proofErr w:type="spellEnd"/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Pyruvate dehydrogenase</w:t>
            </w:r>
          </w:p>
        </w:tc>
        <w:tc>
          <w:tcPr>
            <w:tcW w:w="1326" w:type="pct"/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80" w:type="pct"/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85090B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tcBorders>
              <w:bottom w:val="nil"/>
            </w:tcBorders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Stress responsive</w:t>
            </w:r>
          </w:p>
        </w:tc>
        <w:tc>
          <w:tcPr>
            <w:tcW w:w="1326" w:type="pct"/>
            <w:tcBorders>
              <w:bottom w:val="nil"/>
            </w:tcBorders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0" w:type="pct"/>
            <w:tcBorders>
              <w:bottom w:val="nil"/>
            </w:tcBorders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85090B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tcBorders>
              <w:top w:val="nil"/>
              <w:bottom w:val="nil"/>
            </w:tcBorders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b w:val="0"/>
                <w:sz w:val="20"/>
                <w:szCs w:val="20"/>
              </w:rPr>
              <w:t>SUMO</w:t>
            </w:r>
          </w:p>
        </w:tc>
        <w:tc>
          <w:tcPr>
            <w:tcW w:w="1326" w:type="pct"/>
            <w:tcBorders>
              <w:top w:val="nil"/>
              <w:bottom w:val="nil"/>
            </w:tcBorders>
            <w:shd w:val="clear" w:color="auto" w:fill="auto"/>
            <w:noWrap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0" w:type="pct"/>
            <w:tcBorders>
              <w:top w:val="nil"/>
              <w:bottom w:val="nil"/>
            </w:tcBorders>
            <w:shd w:val="clear" w:color="auto" w:fill="auto"/>
          </w:tcPr>
          <w:p w:rsidR="0085090B" w:rsidRPr="00A83BA2" w:rsidRDefault="0085090B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A83BA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B555AA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tcBorders>
              <w:top w:val="nil"/>
              <w:bottom w:val="nil"/>
            </w:tcBorders>
            <w:shd w:val="clear" w:color="auto" w:fill="auto"/>
            <w:noWrap/>
          </w:tcPr>
          <w:p w:rsidR="00B555AA" w:rsidRPr="00A83BA2" w:rsidRDefault="00B555AA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Superoxide dismutase</w:t>
            </w:r>
          </w:p>
        </w:tc>
        <w:tc>
          <w:tcPr>
            <w:tcW w:w="1326" w:type="pct"/>
            <w:tcBorders>
              <w:top w:val="nil"/>
              <w:bottom w:val="nil"/>
            </w:tcBorders>
            <w:shd w:val="clear" w:color="auto" w:fill="auto"/>
            <w:noWrap/>
          </w:tcPr>
          <w:p w:rsidR="00B555AA" w:rsidRPr="00A83BA2" w:rsidRDefault="00B555AA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80" w:type="pct"/>
            <w:tcBorders>
              <w:top w:val="nil"/>
              <w:bottom w:val="nil"/>
            </w:tcBorders>
            <w:shd w:val="clear" w:color="auto" w:fill="auto"/>
          </w:tcPr>
          <w:p w:rsidR="00B555AA" w:rsidRPr="00A83BA2" w:rsidRDefault="0087205F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555AA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tcBorders>
              <w:top w:val="nil"/>
              <w:bottom w:val="nil"/>
            </w:tcBorders>
            <w:shd w:val="clear" w:color="auto" w:fill="auto"/>
            <w:noWrap/>
          </w:tcPr>
          <w:p w:rsidR="00B555AA" w:rsidRPr="00A83BA2" w:rsidRDefault="00B555AA" w:rsidP="0087205F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 w:val="0"/>
                <w:sz w:val="20"/>
                <w:szCs w:val="20"/>
              </w:rPr>
              <w:t>Trehal</w:t>
            </w:r>
            <w:r w:rsidR="0087205F">
              <w:rPr>
                <w:rFonts w:ascii="Times New Roman" w:hAnsi="Times New Roman"/>
                <w:b w:val="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 w:val="0"/>
                <w:sz w:val="20"/>
                <w:szCs w:val="20"/>
              </w:rPr>
              <w:t>se</w:t>
            </w:r>
            <w:proofErr w:type="spellEnd"/>
          </w:p>
        </w:tc>
        <w:tc>
          <w:tcPr>
            <w:tcW w:w="1326" w:type="pct"/>
            <w:tcBorders>
              <w:top w:val="nil"/>
              <w:bottom w:val="nil"/>
            </w:tcBorders>
            <w:shd w:val="clear" w:color="auto" w:fill="auto"/>
            <w:noWrap/>
          </w:tcPr>
          <w:p w:rsidR="00B555AA" w:rsidRPr="00A83BA2" w:rsidRDefault="00B555AA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0" w:type="pct"/>
            <w:tcBorders>
              <w:top w:val="nil"/>
              <w:bottom w:val="nil"/>
            </w:tcBorders>
            <w:shd w:val="clear" w:color="auto" w:fill="auto"/>
          </w:tcPr>
          <w:p w:rsidR="00B555AA" w:rsidRPr="00A83BA2" w:rsidRDefault="0087205F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555AA" w:rsidRPr="00A83BA2" w:rsidTr="004F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tcBorders>
              <w:top w:val="nil"/>
              <w:bottom w:val="nil"/>
            </w:tcBorders>
            <w:shd w:val="clear" w:color="auto" w:fill="auto"/>
            <w:noWrap/>
          </w:tcPr>
          <w:p w:rsidR="00B555AA" w:rsidRPr="00A83BA2" w:rsidRDefault="00B555AA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WRKY</w:t>
            </w:r>
          </w:p>
        </w:tc>
        <w:tc>
          <w:tcPr>
            <w:tcW w:w="1326" w:type="pct"/>
            <w:tcBorders>
              <w:top w:val="nil"/>
              <w:bottom w:val="nil"/>
            </w:tcBorders>
            <w:shd w:val="clear" w:color="auto" w:fill="auto"/>
            <w:noWrap/>
          </w:tcPr>
          <w:p w:rsidR="00B555AA" w:rsidRPr="00A83BA2" w:rsidRDefault="00B555AA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80" w:type="pct"/>
            <w:tcBorders>
              <w:top w:val="nil"/>
              <w:bottom w:val="nil"/>
            </w:tcBorders>
            <w:shd w:val="clear" w:color="auto" w:fill="auto"/>
          </w:tcPr>
          <w:p w:rsidR="00B555AA" w:rsidRPr="00A83BA2" w:rsidRDefault="0087205F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B555AA" w:rsidRPr="00A83BA2" w:rsidTr="004F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555AA" w:rsidRDefault="00B555AA" w:rsidP="0015194A">
            <w:pPr>
              <w:spacing w:line="20" w:lineRule="atLeas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Zinc finger</w:t>
            </w:r>
          </w:p>
        </w:tc>
        <w:tc>
          <w:tcPr>
            <w:tcW w:w="132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555AA" w:rsidRPr="00A83BA2" w:rsidRDefault="00B555AA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138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55AA" w:rsidRPr="00A83BA2" w:rsidRDefault="0087205F" w:rsidP="0015194A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</w:tr>
      <w:tr w:rsidR="0085090B" w:rsidRPr="00A83BA2" w:rsidTr="00151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5090B" w:rsidRPr="00A83BA2" w:rsidRDefault="0085090B" w:rsidP="0015194A">
            <w:pPr>
              <w:spacing w:line="20" w:lineRule="atLeast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83BA2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Total </w:t>
            </w:r>
            <w:r w:rsidRPr="00A83BA2">
              <w:rPr>
                <w:rFonts w:ascii="Times New Roman" w:hAnsi="Times New Roman" w:cs="Times New Roman"/>
                <w:b w:val="0"/>
                <w:sz w:val="20"/>
                <w:szCs w:val="20"/>
              </w:rPr>
              <w:t>abiotic stress-related 454 transcripts</w:t>
            </w:r>
          </w:p>
        </w:tc>
        <w:tc>
          <w:tcPr>
            <w:tcW w:w="13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5090B" w:rsidRPr="00A83BA2" w:rsidRDefault="0087205F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839</w:t>
            </w:r>
          </w:p>
        </w:tc>
        <w:tc>
          <w:tcPr>
            <w:tcW w:w="1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90B" w:rsidRPr="00A83BA2" w:rsidRDefault="0087205F" w:rsidP="0015194A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881</w:t>
            </w:r>
          </w:p>
        </w:tc>
      </w:tr>
      <w:tr w:rsidR="0085090B" w:rsidRPr="004F105D" w:rsidTr="0015194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</w:tcPr>
          <w:p w:rsidR="0085090B" w:rsidRPr="004F105D" w:rsidRDefault="0085090B" w:rsidP="0015194A">
            <w:pPr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18"/>
                <w:szCs w:val="20"/>
              </w:rPr>
            </w:pPr>
            <w:proofErr w:type="gram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ABRE, ABA-responsive element; AP2, activator protein-2 ; 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bHLH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, basic helix-loop-helix; 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bZIP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, basic leucine zipper domain; CBF, C-repeat biding factor; CDPK, calcium-dependent protein kinase; DRE, dehydration-responsive element; HSF, heat shock factor; HSP, heat shock protein; MAPK, mitogen activated protein kinase; NAC, nascent polypeptide-associated complex; PEPC, 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phosphoenolpyruvate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carboxylase; Polyamine (polyamine oxidase, S-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adenosylmethionine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, S-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adenosylmethionine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decarboxylase, S-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adenosylmethionine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synthase, 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spermidine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, 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spermidine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synthase, 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spermine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and 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spermine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synthase); SUMO, small ubiquitin-related modifier; 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Trehalase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 (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trehalase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, 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trehalose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 xml:space="preserve">-phosphatase and </w:t>
            </w:r>
            <w:proofErr w:type="spellStart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trehalase</w:t>
            </w:r>
            <w:proofErr w:type="spellEnd"/>
            <w:r w:rsidRPr="004F105D">
              <w:rPr>
                <w:rFonts w:ascii="Times New Roman" w:hAnsi="Times New Roman" w:cs="Times New Roman"/>
                <w:b w:val="0"/>
                <w:sz w:val="18"/>
                <w:szCs w:val="20"/>
              </w:rPr>
              <w:t>-phosphate synthase).</w:t>
            </w:r>
            <w:proofErr w:type="gramEnd"/>
          </w:p>
        </w:tc>
      </w:tr>
    </w:tbl>
    <w:p w:rsidR="0085090B" w:rsidRDefault="0085090B" w:rsidP="0085090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  <w:bookmarkStart w:id="0" w:name="_GoBack"/>
      <w:bookmarkEnd w:id="0"/>
    </w:p>
    <w:p w:rsidR="00EB3F2B" w:rsidRDefault="00EB3F2B" w:rsidP="00EB3F2B">
      <w:pPr>
        <w:spacing w:after="0"/>
        <w:rPr>
          <w:rFonts w:ascii="Times New Roman" w:eastAsiaTheme="minorEastAsia" w:hAnsi="Times New Roman"/>
          <w:b/>
          <w:sz w:val="24"/>
          <w:lang w:eastAsia="zh-CN"/>
        </w:rPr>
      </w:pPr>
      <w:r>
        <w:rPr>
          <w:rFonts w:ascii="Times New Roman" w:eastAsiaTheme="minorEastAsia" w:hAnsi="Times New Roman"/>
          <w:b/>
          <w:sz w:val="24"/>
          <w:lang w:eastAsia="zh-CN"/>
        </w:rPr>
        <w:lastRenderedPageBreak/>
        <w:t>Table S</w:t>
      </w:r>
      <w:r w:rsidR="0085090B">
        <w:rPr>
          <w:rFonts w:ascii="Times New Roman" w:eastAsiaTheme="minorEastAsia" w:hAnsi="Times New Roman"/>
          <w:b/>
          <w:sz w:val="24"/>
          <w:lang w:eastAsia="zh-CN"/>
        </w:rPr>
        <w:t>5</w:t>
      </w:r>
      <w:r>
        <w:rPr>
          <w:rFonts w:ascii="Times New Roman" w:eastAsiaTheme="minorEastAsia" w:hAnsi="Times New Roman"/>
          <w:b/>
          <w:sz w:val="24"/>
          <w:lang w:eastAsia="zh-CN"/>
        </w:rPr>
        <w:t xml:space="preserve"> CDS predicted from assembled unique transcripts based on </w:t>
      </w:r>
      <w:r w:rsidR="00086396">
        <w:rPr>
          <w:rFonts w:ascii="Times New Roman" w:eastAsiaTheme="minorEastAsia" w:hAnsi="Times New Roman"/>
          <w:b/>
          <w:sz w:val="24"/>
          <w:lang w:eastAsia="zh-CN"/>
        </w:rPr>
        <w:t xml:space="preserve">comparison against </w:t>
      </w:r>
      <w:proofErr w:type="spellStart"/>
      <w:r>
        <w:rPr>
          <w:rFonts w:ascii="Times New Roman" w:eastAsiaTheme="minorEastAsia" w:hAnsi="Times New Roman"/>
          <w:b/>
          <w:sz w:val="24"/>
          <w:lang w:eastAsia="zh-CN"/>
        </w:rPr>
        <w:t>Hv</w:t>
      </w:r>
      <w:proofErr w:type="spellEnd"/>
      <w:r>
        <w:rPr>
          <w:rFonts w:ascii="Times New Roman" w:eastAsiaTheme="minorEastAsia" w:hAnsi="Times New Roman"/>
          <w:b/>
          <w:sz w:val="24"/>
          <w:lang w:eastAsia="zh-CN"/>
        </w:rPr>
        <w:t>. HC CDS</w:t>
      </w:r>
      <w:r w:rsidR="00086396">
        <w:rPr>
          <w:rFonts w:ascii="Times New Roman" w:eastAsiaTheme="minorEastAsia" w:hAnsi="Times New Roman"/>
          <w:b/>
          <w:sz w:val="24"/>
          <w:lang w:eastAsia="zh-CN"/>
        </w:rPr>
        <w:t xml:space="preserve"> and </w:t>
      </w:r>
      <w:proofErr w:type="spellStart"/>
      <w:r w:rsidR="00086396">
        <w:rPr>
          <w:rFonts w:ascii="Times New Roman" w:eastAsiaTheme="minorEastAsia" w:hAnsi="Times New Roman"/>
          <w:b/>
          <w:sz w:val="24"/>
          <w:lang w:eastAsia="zh-CN"/>
        </w:rPr>
        <w:t>usinf</w:t>
      </w:r>
      <w:proofErr w:type="spellEnd"/>
      <w:r w:rsidR="00086396">
        <w:rPr>
          <w:rFonts w:ascii="Times New Roman" w:eastAsiaTheme="minorEastAsia" w:hAnsi="Times New Roman"/>
          <w:b/>
          <w:sz w:val="24"/>
          <w:lang w:eastAsia="zh-CN"/>
        </w:rPr>
        <w:t xml:space="preserve"> </w:t>
      </w:r>
      <w:proofErr w:type="spellStart"/>
      <w:r w:rsidR="00086396">
        <w:rPr>
          <w:rFonts w:ascii="Times New Roman" w:eastAsiaTheme="minorEastAsia" w:hAnsi="Times New Roman"/>
          <w:b/>
          <w:sz w:val="24"/>
          <w:lang w:eastAsia="zh-CN"/>
        </w:rPr>
        <w:t>OrfPredictor</w:t>
      </w:r>
      <w:proofErr w:type="spellEnd"/>
      <w:r>
        <w:rPr>
          <w:rFonts w:ascii="Times New Roman" w:eastAsiaTheme="minorEastAsia" w:hAnsi="Times New Roman"/>
          <w:b/>
          <w:sz w:val="24"/>
          <w:lang w:eastAsia="zh-CN"/>
        </w:rPr>
        <w:t>.</w:t>
      </w:r>
    </w:p>
    <w:tbl>
      <w:tblPr>
        <w:tblStyle w:val="LightShading-Accent121"/>
        <w:tblW w:w="5000" w:type="pct"/>
        <w:tblInd w:w="108" w:type="dxa"/>
        <w:tblLook w:val="04A0" w:firstRow="1" w:lastRow="0" w:firstColumn="1" w:lastColumn="0" w:noHBand="0" w:noVBand="1"/>
      </w:tblPr>
      <w:tblGrid>
        <w:gridCol w:w="4627"/>
        <w:gridCol w:w="1647"/>
        <w:gridCol w:w="1651"/>
        <w:gridCol w:w="1651"/>
      </w:tblGrid>
      <w:tr w:rsidR="00EB3F2B" w:rsidTr="00CE5D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EB3F2B" w:rsidRDefault="00EB3F2B">
            <w:pPr>
              <w:rPr>
                <w:rFonts w:cs="Times New Roman"/>
              </w:rPr>
            </w:pPr>
          </w:p>
        </w:tc>
        <w:tc>
          <w:tcPr>
            <w:tcW w:w="860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B1K2 (%)</w:t>
            </w:r>
          </w:p>
        </w:tc>
        <w:tc>
          <w:tcPr>
            <w:tcW w:w="86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B1K30 (%)</w:t>
            </w:r>
          </w:p>
        </w:tc>
        <w:tc>
          <w:tcPr>
            <w:tcW w:w="862" w:type="pct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B1K (%)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contextualSpacing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Total clustered unique transcripts</w:t>
            </w:r>
          </w:p>
        </w:tc>
        <w:tc>
          <w:tcPr>
            <w:tcW w:w="860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20,439</w:t>
            </w:r>
          </w:p>
        </w:tc>
        <w:tc>
          <w:tcPr>
            <w:tcW w:w="862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21,492</w:t>
            </w:r>
          </w:p>
        </w:tc>
        <w:tc>
          <w:tcPr>
            <w:tcW w:w="862" w:type="pc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28,720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CDS predicted based on one-to-many hits (≥ 50 bp):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Unique transcripts homologous to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</w:rPr>
              <w:t xml:space="preserve">. HC CDS 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13,402 (65.6)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13,632 (63.4)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17,033 (59.3)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</w:rPr>
              <w:t>. HC CDS homologous to unique transcripts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11,497 (44.0)</w:t>
            </w:r>
          </w:p>
        </w:tc>
        <w:tc>
          <w:tcPr>
            <w:tcW w:w="86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11,266 (43.1)</w:t>
            </w:r>
          </w:p>
        </w:tc>
        <w:tc>
          <w:tcPr>
            <w:tcW w:w="86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13,211 (50.5)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CDS predicted based on RBH (≥ 50 bp):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Unique transcripts homologous to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</w:rPr>
              <w:t xml:space="preserve">. HC CDS 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10,151 (49.7)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9,996 (46.5)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11,859 (41.3)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</w:rPr>
              <w:t>. HC CDS homologous to unique transcripts</w:t>
            </w:r>
          </w:p>
        </w:tc>
        <w:tc>
          <w:tcPr>
            <w:tcW w:w="860" w:type="pct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10,660 (40.8)</w:t>
            </w:r>
          </w:p>
        </w:tc>
        <w:tc>
          <w:tcPr>
            <w:tcW w:w="862" w:type="pct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10,497 (40.1)</w:t>
            </w:r>
          </w:p>
        </w:tc>
        <w:tc>
          <w:tcPr>
            <w:tcW w:w="862" w:type="pct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12,226 (46.7)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CDS predicted based on BLASTX hit (≥ 70 bp):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 xml:space="preserve">Unique transcripts homologous to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</w:rPr>
              <w:t xml:space="preserve">. HC CDS 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13,722 (67.1)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13,688 (63.7)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17,675 (61.5)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</w:rPr>
              <w:t>. HC CDS homologous to unique transcripts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10,129 (38.7)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9,871 (37.8)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11,735 (44.9)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 xml:space="preserve">CDS fully covered (100% of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. HC CDS)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597 (2.9)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488 (2.3)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796 (2.8)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 xml:space="preserve">CDS ≥ 90% of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. HC CDS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984 (4.8)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754 (3.5)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1,328 (4.6)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 xml:space="preserve">CDS ≥ 85% of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. HC CDS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1,188 (5.8)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926 (4.3)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1,630 (5.7)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 xml:space="preserve">Unique transcripts without hit in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 xml:space="preserve">. HC genes 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6,717 (32.9)</w:t>
            </w:r>
          </w:p>
        </w:tc>
        <w:tc>
          <w:tcPr>
            <w:tcW w:w="86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7,804 (36.3)</w:t>
            </w:r>
          </w:p>
        </w:tc>
        <w:tc>
          <w:tcPr>
            <w:tcW w:w="86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11,045 (38.5)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CDS predicted by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OrfPredictor</w:t>
            </w:r>
            <w:proofErr w:type="spellEnd"/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Unique transcripts with CDS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20,348 (99.6)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21,397 (99.6)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28,549 (99.4)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 xml:space="preserve">With CDS &amp; homolog to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. HC genes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13,722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13,684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17,604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 xml:space="preserve">With CDS but not homolog to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. HC genes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6,626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7,713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10,945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 xml:space="preserve">Without CDS but homolog to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. HC genes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Mean CDS length (bp)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357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321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350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CDS ≥ 100 bp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19,700 (96.8)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20,597 (96.3)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27,324 (95.7)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CDS ≥ 500 bp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3,895 (19.1)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3,319 (15.6)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5,530 (19.4)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CDS ≥ 1 kb</w:t>
            </w:r>
          </w:p>
        </w:tc>
        <w:tc>
          <w:tcPr>
            <w:tcW w:w="860" w:type="pct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721 (3.5)</w:t>
            </w:r>
          </w:p>
        </w:tc>
        <w:tc>
          <w:tcPr>
            <w:tcW w:w="862" w:type="pct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469 (2.1)</w:t>
            </w:r>
          </w:p>
        </w:tc>
        <w:tc>
          <w:tcPr>
            <w:tcW w:w="862" w:type="pct"/>
            <w:tcBorders>
              <w:top w:val="nil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1,146 (4.0)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lang w:eastAsia="en-US"/>
              </w:rPr>
              <w:t xml:space="preserve">CDS </w:t>
            </w: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 xml:space="preserve">≥ 85% of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. HC CDS</w:t>
            </w:r>
          </w:p>
        </w:tc>
        <w:tc>
          <w:tcPr>
            <w:tcW w:w="86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1,112 (8.1)</w:t>
            </w:r>
          </w:p>
        </w:tc>
        <w:tc>
          <w:tcPr>
            <w:tcW w:w="86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897 (6.6)</w:t>
            </w:r>
          </w:p>
        </w:tc>
        <w:tc>
          <w:tcPr>
            <w:tcW w:w="86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1,512 (8.6)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 xml:space="preserve">CDS  equal with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. HC CDS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449 (3.3)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344 (2.5)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584 (3.3)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lang w:eastAsia="en-US"/>
              </w:rPr>
              <w:t xml:space="preserve">CDS longer than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lang w:eastAsia="en-US"/>
              </w:rPr>
              <w:t>Hv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lang w:eastAsia="en-US"/>
              </w:rPr>
              <w:t>. HC CDS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320 (2.3)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286 (2.1)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456 (2.6)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CDS predicted from novel transcripts</w:t>
            </w:r>
          </w:p>
        </w:tc>
        <w:tc>
          <w:tcPr>
            <w:tcW w:w="860" w:type="pct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3,245</w:t>
            </w:r>
          </w:p>
        </w:tc>
        <w:tc>
          <w:tcPr>
            <w:tcW w:w="862" w:type="pct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8" w:hanging="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3,674</w:t>
            </w:r>
          </w:p>
        </w:tc>
        <w:tc>
          <w:tcPr>
            <w:tcW w:w="862" w:type="pct"/>
            <w:tcBorders>
              <w:top w:val="dotted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7,102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Novel transcripts with predicted CDS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3,174 (98.7)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3,600 (98.0)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6,953 (97.9)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CDS ≥ 100 bp</w:t>
            </w:r>
          </w:p>
        </w:tc>
        <w:tc>
          <w:tcPr>
            <w:tcW w:w="86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2,774 (85.5)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3,128 (85.1)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85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6,045 (85.1)</w:t>
            </w:r>
          </w:p>
        </w:tc>
      </w:tr>
      <w:tr w:rsidR="00EB3F2B" w:rsidTr="00CE5DF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CDS ≥ 200 bp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1,031 (31.8)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998 (27.2)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2,099 (29.6)</w:t>
            </w:r>
          </w:p>
        </w:tc>
      </w:tr>
      <w:tr w:rsidR="00EB3F2B" w:rsidTr="00CE5D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 w:rsidP="00EB3F2B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eastAsia="en-US"/>
              </w:rPr>
              <w:t>CDS ≥ 500 bp</w:t>
            </w:r>
          </w:p>
        </w:tc>
        <w:tc>
          <w:tcPr>
            <w:tcW w:w="860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 (0.6)</w:t>
            </w:r>
          </w:p>
        </w:tc>
        <w:tc>
          <w:tcPr>
            <w:tcW w:w="862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 (0.4)</w:t>
            </w:r>
          </w:p>
        </w:tc>
        <w:tc>
          <w:tcPr>
            <w:tcW w:w="862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B3F2B" w:rsidRDefault="00EB3F2B">
            <w:pPr>
              <w:spacing w:line="360" w:lineRule="auto"/>
              <w:ind w:left="69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 (0.5)</w:t>
            </w:r>
          </w:p>
        </w:tc>
      </w:tr>
    </w:tbl>
    <w:p w:rsidR="00CE5DF4" w:rsidRDefault="00CE5DF4" w:rsidP="00EB3F2B">
      <w:pPr>
        <w:spacing w:after="0" w:line="360" w:lineRule="auto"/>
        <w:rPr>
          <w:rFonts w:ascii="Times New Roman" w:hAnsi="Times New Roman" w:cs="Times New Roman"/>
          <w:b/>
          <w:szCs w:val="24"/>
        </w:rPr>
      </w:pPr>
    </w:p>
    <w:p w:rsidR="00CE5DF4" w:rsidRDefault="00CE5DF4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:rsidR="00EB3F2B" w:rsidRPr="00C62689" w:rsidRDefault="00EB3F2B" w:rsidP="00EB3F2B">
      <w:pPr>
        <w:spacing w:after="0" w:line="360" w:lineRule="auto"/>
        <w:rPr>
          <w:rFonts w:ascii="Times New Roman" w:hAnsi="Times New Roman" w:cs="Times New Roman"/>
          <w:b/>
          <w:szCs w:val="24"/>
        </w:rPr>
      </w:pPr>
      <w:r w:rsidRPr="00C62689">
        <w:rPr>
          <w:rFonts w:ascii="Times New Roman" w:hAnsi="Times New Roman" w:cs="Times New Roman"/>
          <w:b/>
          <w:szCs w:val="24"/>
        </w:rPr>
        <w:lastRenderedPageBreak/>
        <w:t>Table S</w:t>
      </w:r>
      <w:r w:rsidR="0085090B">
        <w:rPr>
          <w:rFonts w:ascii="Times New Roman" w:hAnsi="Times New Roman" w:cs="Times New Roman"/>
          <w:b/>
          <w:szCs w:val="24"/>
        </w:rPr>
        <w:t>6</w:t>
      </w:r>
      <w:r w:rsidRPr="00C62689">
        <w:rPr>
          <w:rFonts w:ascii="Times New Roman" w:hAnsi="Times New Roman" w:cs="Times New Roman"/>
          <w:b/>
          <w:szCs w:val="24"/>
        </w:rPr>
        <w:t xml:space="preserve"> Summary of SNPs shared among three wild barley ecotypes. </w:t>
      </w:r>
    </w:p>
    <w:tbl>
      <w:tblPr>
        <w:tblStyle w:val="TableGrid"/>
        <w:tblW w:w="934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1530"/>
        <w:gridCol w:w="1530"/>
        <w:gridCol w:w="3656"/>
      </w:tblGrid>
      <w:tr w:rsidR="00EB3F2B" w:rsidRPr="00C62689" w:rsidTr="00CE5DF4">
        <w:trPr>
          <w:trHeight w:val="432"/>
        </w:trPr>
        <w:tc>
          <w:tcPr>
            <w:tcW w:w="262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Reference (</w:t>
            </w:r>
            <w:proofErr w:type="spellStart"/>
            <w:r w:rsidRPr="00C626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Morex</w:t>
            </w:r>
            <w:proofErr w:type="spellEnd"/>
            <w:r w:rsidRPr="00C626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 vs.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/>
                <w:color w:val="000000"/>
              </w:rPr>
              <w:t>Private and shared SNPs:</w:t>
            </w:r>
          </w:p>
        </w:tc>
        <w:tc>
          <w:tcPr>
            <w:tcW w:w="365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/>
                <w:color w:val="000000"/>
              </w:rPr>
              <w:t>Remark</w:t>
            </w:r>
          </w:p>
        </w:tc>
      </w:tr>
      <w:tr w:rsidR="00EB3F2B" w:rsidRPr="00C62689" w:rsidTr="00CE5DF4">
        <w:trPr>
          <w:trHeight w:val="432"/>
        </w:trPr>
        <w:tc>
          <w:tcPr>
            <w:tcW w:w="2628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/>
                <w:color w:val="000000"/>
              </w:rPr>
              <w:t>in number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/>
                <w:color w:val="000000"/>
              </w:rPr>
              <w:t>in %</w:t>
            </w:r>
          </w:p>
        </w:tc>
        <w:tc>
          <w:tcPr>
            <w:tcW w:w="365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EB3F2B" w:rsidRPr="00C62689" w:rsidTr="00CE5DF4">
        <w:trPr>
          <w:trHeight w:val="432"/>
        </w:trPr>
        <w:tc>
          <w:tcPr>
            <w:tcW w:w="262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Cs/>
                <w:color w:val="000000"/>
              </w:rPr>
              <w:t>B1K2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20741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52.45</w:t>
            </w:r>
          </w:p>
        </w:tc>
        <w:tc>
          <w:tcPr>
            <w:tcW w:w="365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B1K2-specific SNPs</w:t>
            </w:r>
          </w:p>
        </w:tc>
      </w:tr>
      <w:tr w:rsidR="00EB3F2B" w:rsidRPr="00C62689" w:rsidTr="00CE5DF4">
        <w:trPr>
          <w:trHeight w:val="432"/>
        </w:trPr>
        <w:tc>
          <w:tcPr>
            <w:tcW w:w="2628" w:type="dxa"/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Cs/>
                <w:color w:val="000000"/>
              </w:rPr>
              <w:t>B1K2 vs. B1K30</w:t>
            </w:r>
          </w:p>
        </w:tc>
        <w:tc>
          <w:tcPr>
            <w:tcW w:w="1530" w:type="dxa"/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9029</w:t>
            </w:r>
          </w:p>
        </w:tc>
        <w:tc>
          <w:tcPr>
            <w:tcW w:w="1530" w:type="dxa"/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22.83</w:t>
            </w:r>
          </w:p>
        </w:tc>
        <w:tc>
          <w:tcPr>
            <w:tcW w:w="3656" w:type="dxa"/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SNPs found in both B1K2 &amp; B1k30</w:t>
            </w:r>
          </w:p>
        </w:tc>
      </w:tr>
      <w:tr w:rsidR="00EB3F2B" w:rsidRPr="00C62689" w:rsidTr="00CE5D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Cs/>
                <w:color w:val="000000"/>
              </w:rPr>
              <w:t>B1K2 vs. B1K4</w:t>
            </w:r>
            <w:r w:rsidR="00582C85">
              <w:rPr>
                <w:rFonts w:ascii="Times New Roman" w:eastAsia="Times New Roman" w:hAnsi="Times New Roman" w:cs="Times New Roman"/>
                <w:bCs/>
                <w:color w:val="000000"/>
              </w:rPr>
              <w:t>*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5444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13.77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SNPs found in both B1K2 &amp; B1K4</w:t>
            </w:r>
          </w:p>
        </w:tc>
      </w:tr>
      <w:tr w:rsidR="00EB3F2B" w:rsidRPr="00C62689" w:rsidTr="00CE5DF4">
        <w:trPr>
          <w:trHeight w:val="432"/>
        </w:trPr>
        <w:tc>
          <w:tcPr>
            <w:tcW w:w="2628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Cs/>
                <w:color w:val="000000"/>
              </w:rPr>
              <w:t>B1K2 vs. B1K30 vs. B1K4</w:t>
            </w:r>
          </w:p>
        </w:tc>
        <w:tc>
          <w:tcPr>
            <w:tcW w:w="1530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4331</w:t>
            </w:r>
          </w:p>
        </w:tc>
        <w:tc>
          <w:tcPr>
            <w:tcW w:w="1530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10.95</w:t>
            </w:r>
          </w:p>
        </w:tc>
        <w:tc>
          <w:tcPr>
            <w:tcW w:w="3656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SNPs found in all three ecotypes</w:t>
            </w:r>
          </w:p>
        </w:tc>
      </w:tr>
      <w:tr w:rsidR="00EB3F2B" w:rsidRPr="00C62689" w:rsidTr="00CE5DF4">
        <w:trPr>
          <w:trHeight w:val="432"/>
        </w:trPr>
        <w:tc>
          <w:tcPr>
            <w:tcW w:w="2628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B1K2 total SNPs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39545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6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3F2B" w:rsidRPr="00C62689" w:rsidTr="00CE5DF4">
        <w:trPr>
          <w:trHeight w:val="432"/>
        </w:trPr>
        <w:tc>
          <w:tcPr>
            <w:tcW w:w="2628" w:type="dxa"/>
            <w:tcBorders>
              <w:top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Cs/>
                <w:color w:val="000000"/>
              </w:rPr>
              <w:t>B1K30</w:t>
            </w:r>
          </w:p>
        </w:tc>
        <w:tc>
          <w:tcPr>
            <w:tcW w:w="1530" w:type="dxa"/>
            <w:tcBorders>
              <w:top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18311</w:t>
            </w:r>
          </w:p>
        </w:tc>
        <w:tc>
          <w:tcPr>
            <w:tcW w:w="1530" w:type="dxa"/>
            <w:tcBorders>
              <w:top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50.83</w:t>
            </w:r>
          </w:p>
        </w:tc>
        <w:tc>
          <w:tcPr>
            <w:tcW w:w="3656" w:type="dxa"/>
            <w:tcBorders>
              <w:top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B1K30-specific SNPs</w:t>
            </w:r>
          </w:p>
        </w:tc>
      </w:tr>
      <w:tr w:rsidR="00EB3F2B" w:rsidRPr="00C62689" w:rsidTr="00CE5D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Cs/>
                <w:color w:val="000000"/>
              </w:rPr>
              <w:t>B1K30 vs. B1K2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9029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25.07</w:t>
            </w: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SNPs found in both B1K30 &amp; B1K2</w:t>
            </w:r>
          </w:p>
        </w:tc>
      </w:tr>
      <w:tr w:rsidR="00EB3F2B" w:rsidRPr="00C62689" w:rsidTr="00CE5DF4">
        <w:trPr>
          <w:trHeight w:val="432"/>
        </w:trPr>
        <w:tc>
          <w:tcPr>
            <w:tcW w:w="2628" w:type="dxa"/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Cs/>
                <w:color w:val="000000"/>
              </w:rPr>
              <w:t>B1K30 vs. B1K4</w:t>
            </w:r>
          </w:p>
        </w:tc>
        <w:tc>
          <w:tcPr>
            <w:tcW w:w="1530" w:type="dxa"/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4351</w:t>
            </w:r>
          </w:p>
        </w:tc>
        <w:tc>
          <w:tcPr>
            <w:tcW w:w="1530" w:type="dxa"/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12.08</w:t>
            </w:r>
          </w:p>
        </w:tc>
        <w:tc>
          <w:tcPr>
            <w:tcW w:w="3656" w:type="dxa"/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SNPs found in both B1K30 &amp; B1K2</w:t>
            </w:r>
          </w:p>
        </w:tc>
      </w:tr>
      <w:tr w:rsidR="00EB3F2B" w:rsidRPr="00C62689" w:rsidTr="00CE5DF4">
        <w:trPr>
          <w:trHeight w:val="432"/>
        </w:trPr>
        <w:tc>
          <w:tcPr>
            <w:tcW w:w="2628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Cs/>
                <w:color w:val="000000"/>
              </w:rPr>
              <w:t>B1K30 vs. B1K2 vs. B1K4</w:t>
            </w:r>
          </w:p>
        </w:tc>
        <w:tc>
          <w:tcPr>
            <w:tcW w:w="1530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4331</w:t>
            </w:r>
          </w:p>
        </w:tc>
        <w:tc>
          <w:tcPr>
            <w:tcW w:w="1530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12.02</w:t>
            </w:r>
          </w:p>
        </w:tc>
        <w:tc>
          <w:tcPr>
            <w:tcW w:w="3656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color w:val="000000"/>
              </w:rPr>
              <w:t>SNPs found in all three ecotypes</w:t>
            </w:r>
          </w:p>
        </w:tc>
      </w:tr>
      <w:tr w:rsidR="00EB3F2B" w:rsidRPr="00C62689" w:rsidTr="003E6AE0">
        <w:trPr>
          <w:trHeight w:val="432"/>
        </w:trPr>
        <w:tc>
          <w:tcPr>
            <w:tcW w:w="2628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B1K30 total SNPs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6268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36022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6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EB3F2B" w:rsidRPr="00C62689" w:rsidRDefault="00EB3F2B" w:rsidP="00EB3F2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82C85" w:rsidRPr="00C62689" w:rsidTr="0015194A">
        <w:trPr>
          <w:trHeight w:val="432"/>
        </w:trPr>
        <w:tc>
          <w:tcPr>
            <w:tcW w:w="9344" w:type="dxa"/>
            <w:gridSpan w:val="4"/>
            <w:tcBorders>
              <w:top w:val="dotted" w:sz="4" w:space="0" w:color="auto"/>
              <w:bottom w:val="single" w:sz="4" w:space="0" w:color="auto"/>
            </w:tcBorders>
            <w:noWrap/>
            <w:vAlign w:val="center"/>
          </w:tcPr>
          <w:p w:rsidR="00582C85" w:rsidRPr="00C62689" w:rsidRDefault="00582C85" w:rsidP="00582C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*B1K4: SNPs data from wild barley ecotype used for barley genome sequencing project.</w:t>
            </w:r>
            <w:proofErr w:type="gramEnd"/>
          </w:p>
        </w:tc>
      </w:tr>
    </w:tbl>
    <w:p w:rsidR="00EB3F2B" w:rsidRPr="00C62689" w:rsidRDefault="00EB3F2B" w:rsidP="00EB3F2B">
      <w:pPr>
        <w:rPr>
          <w:rFonts w:ascii="Times New Roman" w:hAnsi="Times New Roman" w:cs="Times New Roman"/>
        </w:rPr>
      </w:pPr>
    </w:p>
    <w:p w:rsidR="00EB3F2B" w:rsidRDefault="00EB3F2B">
      <w:r>
        <w:br w:type="page"/>
      </w:r>
    </w:p>
    <w:p w:rsidR="00EB3F2B" w:rsidRPr="00C62689" w:rsidRDefault="0085090B" w:rsidP="00C6268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lastRenderedPageBreak/>
        <w:t>Table S7</w:t>
      </w:r>
      <w:r w:rsidR="00EB3F2B" w:rsidRPr="00C62689">
        <w:rPr>
          <w:rFonts w:ascii="Times New Roman" w:hAnsi="Times New Roman" w:cs="Times New Roman"/>
          <w:b/>
          <w:sz w:val="24"/>
        </w:rPr>
        <w:t xml:space="preserve"> List of top 30 barley genes with high number of SNP with moderate and high effects (</w:t>
      </w:r>
      <w:proofErr w:type="spellStart"/>
      <w:r w:rsidR="00EB3F2B" w:rsidRPr="00C62689">
        <w:rPr>
          <w:rFonts w:ascii="Times New Roman" w:hAnsi="Times New Roman" w:cs="Times New Roman"/>
          <w:b/>
          <w:sz w:val="24"/>
        </w:rPr>
        <w:t>nsSNP</w:t>
      </w:r>
      <w:proofErr w:type="spellEnd"/>
      <w:r w:rsidR="00EB3F2B" w:rsidRPr="00C62689">
        <w:rPr>
          <w:rFonts w:ascii="Times New Roman" w:hAnsi="Times New Roman" w:cs="Times New Roman"/>
          <w:b/>
          <w:sz w:val="24"/>
        </w:rPr>
        <w:t>+).</w:t>
      </w:r>
      <w:proofErr w:type="gramEnd"/>
      <w:r w:rsidR="00EB3F2B" w:rsidRPr="00C62689">
        <w:rPr>
          <w:rFonts w:ascii="Times New Roman" w:hAnsi="Times New Roman" w:cs="Times New Roman"/>
          <w:b/>
          <w:sz w:val="24"/>
        </w:rPr>
        <w:t xml:space="preserve"> </w:t>
      </w:r>
      <w:r w:rsidR="00EB3F2B" w:rsidRPr="00C62689">
        <w:rPr>
          <w:rFonts w:ascii="Times New Roman" w:hAnsi="Times New Roman" w:cs="Times New Roman"/>
          <w:sz w:val="24"/>
        </w:rPr>
        <w:t xml:space="preserve">Top 30 genes </w:t>
      </w:r>
      <w:r w:rsidR="00983997">
        <w:rPr>
          <w:rFonts w:ascii="Times New Roman" w:hAnsi="Times New Roman" w:cs="Times New Roman"/>
          <w:sz w:val="24"/>
        </w:rPr>
        <w:t xml:space="preserve">were </w:t>
      </w:r>
      <w:r w:rsidR="00EB3F2B" w:rsidRPr="00C62689">
        <w:rPr>
          <w:rFonts w:ascii="Times New Roman" w:hAnsi="Times New Roman" w:cs="Times New Roman"/>
          <w:sz w:val="24"/>
        </w:rPr>
        <w:t xml:space="preserve">selected based on </w:t>
      </w:r>
      <w:proofErr w:type="spellStart"/>
      <w:r w:rsidR="00EB3F2B" w:rsidRPr="00C62689">
        <w:rPr>
          <w:rFonts w:ascii="Times New Roman" w:hAnsi="Times New Roman" w:cs="Times New Roman"/>
          <w:sz w:val="24"/>
        </w:rPr>
        <w:t>nsSNP</w:t>
      </w:r>
      <w:proofErr w:type="spellEnd"/>
      <w:r w:rsidR="00EB3F2B" w:rsidRPr="00C62689">
        <w:rPr>
          <w:rFonts w:ascii="Times New Roman" w:hAnsi="Times New Roman" w:cs="Times New Roman"/>
          <w:sz w:val="24"/>
        </w:rPr>
        <w:t>+ in B1K2.</w:t>
      </w:r>
    </w:p>
    <w:tbl>
      <w:tblPr>
        <w:tblStyle w:val="TableGrid"/>
        <w:tblW w:w="5061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442"/>
        <w:gridCol w:w="649"/>
        <w:gridCol w:w="810"/>
        <w:gridCol w:w="649"/>
        <w:gridCol w:w="880"/>
        <w:gridCol w:w="710"/>
        <w:gridCol w:w="806"/>
        <w:gridCol w:w="3383"/>
      </w:tblGrid>
      <w:tr w:rsidR="00C62689" w:rsidRPr="00C62689" w:rsidTr="00CE5DF4">
        <w:trPr>
          <w:trHeight w:val="288"/>
        </w:trPr>
        <w:tc>
          <w:tcPr>
            <w:tcW w:w="703" w:type="pct"/>
            <w:vMerge w:val="restart"/>
            <w:tcBorders>
              <w:top w:val="single" w:sz="12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228" w:type="pct"/>
            <w:vMerge w:val="restart"/>
            <w:tcBorders>
              <w:top w:val="single" w:sz="12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Chr</w:t>
            </w:r>
            <w:r w:rsidR="00C62689" w:rsidRPr="00C626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53" w:type="pct"/>
            <w:gridSpan w:val="2"/>
            <w:tcBorders>
              <w:top w:val="single" w:sz="12" w:space="0" w:color="000000" w:themeColor="text1"/>
            </w:tcBorders>
          </w:tcPr>
          <w:p w:rsidR="00EB3F2B" w:rsidRPr="00C62689" w:rsidRDefault="00EB3F2B" w:rsidP="00C62689">
            <w:pPr>
              <w:pBdr>
                <w:bottom w:val="single" w:sz="4" w:space="1" w:color="000000" w:themeColor="text1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B1K2</w:t>
            </w:r>
          </w:p>
        </w:tc>
        <w:tc>
          <w:tcPr>
            <w:tcW w:w="789" w:type="pct"/>
            <w:gridSpan w:val="2"/>
            <w:tcBorders>
              <w:top w:val="single" w:sz="12" w:space="0" w:color="000000" w:themeColor="text1"/>
            </w:tcBorders>
          </w:tcPr>
          <w:p w:rsidR="00EB3F2B" w:rsidRPr="00C62689" w:rsidRDefault="00EB3F2B" w:rsidP="00C62689">
            <w:pPr>
              <w:pBdr>
                <w:bottom w:val="single" w:sz="4" w:space="1" w:color="000000" w:themeColor="text1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B1K30</w:t>
            </w:r>
          </w:p>
        </w:tc>
        <w:tc>
          <w:tcPr>
            <w:tcW w:w="782" w:type="pct"/>
            <w:gridSpan w:val="2"/>
            <w:tcBorders>
              <w:top w:val="single" w:sz="12" w:space="0" w:color="000000" w:themeColor="text1"/>
            </w:tcBorders>
          </w:tcPr>
          <w:p w:rsidR="00EB3F2B" w:rsidRPr="00C62689" w:rsidRDefault="00EB3F2B" w:rsidP="00C62689">
            <w:pPr>
              <w:pBdr>
                <w:bottom w:val="single" w:sz="4" w:space="1" w:color="000000" w:themeColor="text1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nsSNP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+:</w:t>
            </w: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sSNP</w:t>
            </w:r>
            <w:proofErr w:type="spellEnd"/>
          </w:p>
        </w:tc>
        <w:tc>
          <w:tcPr>
            <w:tcW w:w="1746" w:type="pct"/>
            <w:vMerge w:val="restart"/>
            <w:tcBorders>
              <w:top w:val="single" w:sz="12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Description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vMerge/>
            <w:tcBorders>
              <w:bottom w:val="single" w:sz="4" w:space="0" w:color="000000" w:themeColor="text1"/>
            </w:tcBorders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vMerge/>
            <w:tcBorders>
              <w:bottom w:val="single" w:sz="4" w:space="0" w:color="000000" w:themeColor="text1"/>
            </w:tcBorders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" w:type="pct"/>
            <w:tcBorders>
              <w:bottom w:val="single" w:sz="4" w:space="0" w:color="000000" w:themeColor="text1"/>
            </w:tcBorders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sSNP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8" w:type="pct"/>
            <w:tcBorders>
              <w:bottom w:val="single" w:sz="4" w:space="0" w:color="000000" w:themeColor="text1"/>
            </w:tcBorders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nsSNP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335" w:type="pct"/>
            <w:tcBorders>
              <w:bottom w:val="single" w:sz="4" w:space="0" w:color="000000" w:themeColor="text1"/>
            </w:tcBorders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sSNP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4" w:type="pct"/>
            <w:tcBorders>
              <w:bottom w:val="single" w:sz="4" w:space="0" w:color="000000" w:themeColor="text1"/>
            </w:tcBorders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nsSNP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 xml:space="preserve">+ </w:t>
            </w:r>
          </w:p>
        </w:tc>
        <w:tc>
          <w:tcPr>
            <w:tcW w:w="366" w:type="pct"/>
            <w:tcBorders>
              <w:bottom w:val="single" w:sz="4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B1K2</w:t>
            </w:r>
          </w:p>
        </w:tc>
        <w:tc>
          <w:tcPr>
            <w:tcW w:w="416" w:type="pct"/>
            <w:tcBorders>
              <w:bottom w:val="single" w:sz="4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B1K30</w:t>
            </w:r>
          </w:p>
        </w:tc>
        <w:tc>
          <w:tcPr>
            <w:tcW w:w="1746" w:type="pct"/>
            <w:vMerge/>
            <w:tcBorders>
              <w:bottom w:val="single" w:sz="4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tcBorders>
              <w:top w:val="single" w:sz="4" w:space="0" w:color="000000" w:themeColor="text1"/>
            </w:tcBorders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MLOC_62296</w:t>
            </w:r>
          </w:p>
        </w:tc>
        <w:tc>
          <w:tcPr>
            <w:tcW w:w="228" w:type="pct"/>
            <w:tcBorders>
              <w:top w:val="single" w:sz="4" w:space="0" w:color="000000" w:themeColor="text1"/>
            </w:tcBorders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5" w:type="pct"/>
            <w:tcBorders>
              <w:top w:val="single" w:sz="4" w:space="0" w:color="000000" w:themeColor="text1"/>
            </w:tcBorders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8" w:type="pct"/>
            <w:tcBorders>
              <w:top w:val="single" w:sz="4" w:space="0" w:color="000000" w:themeColor="text1"/>
            </w:tcBorders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35" w:type="pct"/>
            <w:tcBorders>
              <w:top w:val="single" w:sz="4" w:space="0" w:color="000000" w:themeColor="text1"/>
            </w:tcBorders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4" w:type="pct"/>
            <w:tcBorders>
              <w:top w:val="single" w:sz="4" w:space="0" w:color="000000" w:themeColor="text1"/>
            </w:tcBorders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66" w:type="pct"/>
            <w:tcBorders>
              <w:top w:val="single" w:sz="4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3.50</w:t>
            </w:r>
          </w:p>
        </w:tc>
        <w:tc>
          <w:tcPr>
            <w:tcW w:w="416" w:type="pct"/>
            <w:tcBorders>
              <w:top w:val="single" w:sz="4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3.50</w:t>
            </w:r>
          </w:p>
        </w:tc>
        <w:tc>
          <w:tcPr>
            <w:tcW w:w="1746" w:type="pct"/>
            <w:tcBorders>
              <w:top w:val="single" w:sz="4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Unknown protein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MLOC_54762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Chloride channel 1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MLOC_7441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Trimeric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LpxA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-like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MLOC_65275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 xml:space="preserve">Nup98 protein/Peptidase S59, </w:t>
            </w: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nucleoporin</w:t>
            </w:r>
            <w:proofErr w:type="spellEnd"/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MLOC_37095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Ubiquitin-activating enzyme/NAD(P)-binding domain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MLOC_55424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60S acidic ribosomal protein P0, putative, expressed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MLOC_73609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Saposin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 xml:space="preserve"> B domain-containing protein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MLOC_59407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Vacuolar processing enzyme 3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MLOC_59273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Ribosomal protein L28e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MLOC_81109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Chlorophyll a-b binding protein 3C-like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MLOC_34629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O-</w:t>
            </w: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methyltransferase</w:t>
            </w:r>
            <w:proofErr w:type="spellEnd"/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MLOC_77452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Unknown protein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MLOC_17849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Peptidyl-prolyl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 xml:space="preserve"> cis-trans isomerase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MLOC_44284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Kinase interacting (KIP1-like) protein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MLOC_54382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Actin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MLOC_56003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Actin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MLOC_77535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MLOC_18287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Pore-forming toxin-like protein Hfr-2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MLOC_37976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 xml:space="preserve">Beta </w:t>
            </w: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glucosidase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 xml:space="preserve"> like protein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MLOC_6795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Methyltransferase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 xml:space="preserve"> type 11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MLOC_69295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Ferritin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MLOC_9887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Bifunctional</w:t>
            </w:r>
            <w:proofErr w:type="spellEnd"/>
            <w:r w:rsidRPr="00C62689">
              <w:rPr>
                <w:rFonts w:ascii="Times New Roman" w:hAnsi="Times New Roman" w:cs="Times New Roman"/>
                <w:sz w:val="18"/>
                <w:szCs w:val="18"/>
              </w:rPr>
              <w:t xml:space="preserve"> inhibitor/lipid-transfer, seed storage 2S albumin superfamily protein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MLOC_15685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GOLD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MLOC_49652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General substrate transporter/Sugar transporter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MLOC_67053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Helix-loop-helix DNA-binding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MLOC_7780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Malate dehydrogenase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MLOC_10713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small ubiquitin-like modifier 1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MLOC_10832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THO complex subunit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MLOC_360</w:t>
            </w:r>
          </w:p>
        </w:tc>
        <w:tc>
          <w:tcPr>
            <w:tcW w:w="22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18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35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454" w:type="pct"/>
            <w:noWrap/>
            <w:hideMark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41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746" w:type="pct"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Elongation factor 2</w:t>
            </w:r>
          </w:p>
        </w:tc>
      </w:tr>
      <w:tr w:rsidR="00C62689" w:rsidRPr="00C62689" w:rsidTr="00CE5DF4">
        <w:trPr>
          <w:trHeight w:val="288"/>
        </w:trPr>
        <w:tc>
          <w:tcPr>
            <w:tcW w:w="703" w:type="pct"/>
            <w:tcBorders>
              <w:bottom w:val="single" w:sz="12" w:space="0" w:color="000000" w:themeColor="text1"/>
            </w:tcBorders>
            <w:noWrap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MLOC_37449</w:t>
            </w:r>
          </w:p>
        </w:tc>
        <w:tc>
          <w:tcPr>
            <w:tcW w:w="228" w:type="pct"/>
            <w:tcBorders>
              <w:bottom w:val="single" w:sz="12" w:space="0" w:color="000000" w:themeColor="text1"/>
            </w:tcBorders>
            <w:noWrap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5" w:type="pct"/>
            <w:tcBorders>
              <w:bottom w:val="single" w:sz="12" w:space="0" w:color="000000" w:themeColor="text1"/>
            </w:tcBorders>
            <w:noWrap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18" w:type="pct"/>
            <w:tcBorders>
              <w:bottom w:val="single" w:sz="12" w:space="0" w:color="000000" w:themeColor="text1"/>
            </w:tcBorders>
            <w:noWrap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35" w:type="pct"/>
            <w:tcBorders>
              <w:bottom w:val="single" w:sz="12" w:space="0" w:color="000000" w:themeColor="text1"/>
            </w:tcBorders>
            <w:noWrap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tcBorders>
              <w:bottom w:val="single" w:sz="12" w:space="0" w:color="000000" w:themeColor="text1"/>
            </w:tcBorders>
            <w:noWrap/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6" w:type="pct"/>
            <w:tcBorders>
              <w:bottom w:val="single" w:sz="12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416" w:type="pct"/>
            <w:tcBorders>
              <w:bottom w:val="single" w:sz="12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6" w:type="pct"/>
            <w:tcBorders>
              <w:bottom w:val="single" w:sz="12" w:space="0" w:color="000000" w:themeColor="text1"/>
            </w:tcBorders>
          </w:tcPr>
          <w:p w:rsidR="00EB3F2B" w:rsidRPr="00C62689" w:rsidRDefault="00EB3F2B" w:rsidP="00C6268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2689">
              <w:rPr>
                <w:rFonts w:ascii="Times New Roman" w:hAnsi="Times New Roman" w:cs="Times New Roman"/>
                <w:sz w:val="18"/>
                <w:szCs w:val="18"/>
              </w:rPr>
              <w:t>Heat shock protein</w:t>
            </w:r>
          </w:p>
        </w:tc>
      </w:tr>
    </w:tbl>
    <w:p w:rsidR="00EB3F2B" w:rsidRDefault="00EB3F2B" w:rsidP="00EB3F2B"/>
    <w:p w:rsidR="00582C85" w:rsidRDefault="00582C85"/>
    <w:p w:rsidR="00582C85" w:rsidRDefault="00582C85"/>
    <w:p w:rsidR="00AB5C4B" w:rsidRDefault="0085090B">
      <w:r>
        <w:fldChar w:fldCharType="begin"/>
      </w:r>
      <w:r>
        <w:instrText xml:space="preserve"> ADDIN EN.REFLIST </w:instrText>
      </w:r>
      <w:r>
        <w:fldChar w:fldCharType="end"/>
      </w:r>
    </w:p>
    <w:sectPr w:rsidR="00AB5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B092D"/>
    <w:multiLevelType w:val="hybridMultilevel"/>
    <w:tmpl w:val="3A1A7C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w2tze50trttzxewwrupwd0erfw2sptrdtz2&quot;&gt;Girma Library-1&lt;record-ids&gt;&lt;item&gt;968&lt;/item&gt;&lt;/record-ids&gt;&lt;/item&gt;&lt;/Libraries&gt;"/>
  </w:docVars>
  <w:rsids>
    <w:rsidRoot w:val="00EB3F2B"/>
    <w:rsid w:val="00086396"/>
    <w:rsid w:val="0015194A"/>
    <w:rsid w:val="001605E5"/>
    <w:rsid w:val="001C44F9"/>
    <w:rsid w:val="00203209"/>
    <w:rsid w:val="002259F5"/>
    <w:rsid w:val="003213D0"/>
    <w:rsid w:val="0034792B"/>
    <w:rsid w:val="003858F3"/>
    <w:rsid w:val="003E6AE0"/>
    <w:rsid w:val="003F3677"/>
    <w:rsid w:val="004F105D"/>
    <w:rsid w:val="00582C85"/>
    <w:rsid w:val="00637B80"/>
    <w:rsid w:val="00797F47"/>
    <w:rsid w:val="0085090B"/>
    <w:rsid w:val="0087205F"/>
    <w:rsid w:val="00983997"/>
    <w:rsid w:val="00A83BA2"/>
    <w:rsid w:val="00AB5C4B"/>
    <w:rsid w:val="00B46DBA"/>
    <w:rsid w:val="00B555AA"/>
    <w:rsid w:val="00C62689"/>
    <w:rsid w:val="00CE5DF4"/>
    <w:rsid w:val="00D5117C"/>
    <w:rsid w:val="00D952A9"/>
    <w:rsid w:val="00DB561B"/>
    <w:rsid w:val="00E853C4"/>
    <w:rsid w:val="00EB3F2B"/>
    <w:rsid w:val="00EF0749"/>
    <w:rsid w:val="00F6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F2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next w:val="LightShading-Accent1"/>
    <w:uiPriority w:val="60"/>
    <w:rsid w:val="00D952A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1">
    <w:name w:val="Light Shading Accent 1"/>
    <w:basedOn w:val="TableNormal"/>
    <w:uiPriority w:val="60"/>
    <w:rsid w:val="00D952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SubtleReference">
    <w:name w:val="Subtle Reference"/>
    <w:basedOn w:val="DefaultParagraphFont"/>
    <w:uiPriority w:val="31"/>
    <w:qFormat/>
    <w:rsid w:val="00DB561B"/>
    <w:rPr>
      <w:rFonts w:ascii="Times New Roman" w:hAnsi="Times New Roman"/>
      <w:caps w:val="0"/>
      <w:smallCaps/>
      <w:color w:val="0070C0"/>
      <w:u w:val="single"/>
    </w:rPr>
  </w:style>
  <w:style w:type="table" w:customStyle="1" w:styleId="LightShading-Accent14">
    <w:name w:val="Light Shading - Accent 14"/>
    <w:basedOn w:val="TableNormal"/>
    <w:next w:val="LightShading-Accent1"/>
    <w:uiPriority w:val="60"/>
    <w:rsid w:val="00EB3F2B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EB3F2B"/>
    <w:pPr>
      <w:ind w:left="720"/>
      <w:contextualSpacing/>
    </w:pPr>
    <w:rPr>
      <w:rFonts w:eastAsiaTheme="minorEastAsia"/>
      <w:lang w:eastAsia="zh-CN"/>
    </w:rPr>
  </w:style>
  <w:style w:type="table" w:customStyle="1" w:styleId="LightShading-Accent121">
    <w:name w:val="Light Shading - Accent 121"/>
    <w:basedOn w:val="TableNormal"/>
    <w:uiPriority w:val="60"/>
    <w:rsid w:val="00EB3F2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EB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AE0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82C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F2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next w:val="LightShading-Accent1"/>
    <w:uiPriority w:val="60"/>
    <w:rsid w:val="00D952A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1">
    <w:name w:val="Light Shading Accent 1"/>
    <w:basedOn w:val="TableNormal"/>
    <w:uiPriority w:val="60"/>
    <w:rsid w:val="00D952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SubtleReference">
    <w:name w:val="Subtle Reference"/>
    <w:basedOn w:val="DefaultParagraphFont"/>
    <w:uiPriority w:val="31"/>
    <w:qFormat/>
    <w:rsid w:val="00DB561B"/>
    <w:rPr>
      <w:rFonts w:ascii="Times New Roman" w:hAnsi="Times New Roman"/>
      <w:caps w:val="0"/>
      <w:smallCaps/>
      <w:color w:val="0070C0"/>
      <w:u w:val="single"/>
    </w:rPr>
  </w:style>
  <w:style w:type="table" w:customStyle="1" w:styleId="LightShading-Accent14">
    <w:name w:val="Light Shading - Accent 14"/>
    <w:basedOn w:val="TableNormal"/>
    <w:next w:val="LightShading-Accent1"/>
    <w:uiPriority w:val="60"/>
    <w:rsid w:val="00EB3F2B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EB3F2B"/>
    <w:pPr>
      <w:ind w:left="720"/>
      <w:contextualSpacing/>
    </w:pPr>
    <w:rPr>
      <w:rFonts w:eastAsiaTheme="minorEastAsia"/>
      <w:lang w:eastAsia="zh-CN"/>
    </w:rPr>
  </w:style>
  <w:style w:type="table" w:customStyle="1" w:styleId="LightShading-Accent121">
    <w:name w:val="Light Shading - Accent 121"/>
    <w:basedOn w:val="TableNormal"/>
    <w:uiPriority w:val="60"/>
    <w:rsid w:val="00EB3F2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EB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AE0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582C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Girma Bedada</dc:creator>
  <cp:lastModifiedBy>Girma Bedada</cp:lastModifiedBy>
  <cp:revision>5</cp:revision>
  <cp:lastPrinted>2014-05-18T18:29:00Z</cp:lastPrinted>
  <dcterms:created xsi:type="dcterms:W3CDTF">2014-08-02T12:56:00Z</dcterms:created>
  <dcterms:modified xsi:type="dcterms:W3CDTF">2014-08-04T09:18:00Z</dcterms:modified>
</cp:coreProperties>
</file>