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298" w:rsidRPr="0011239D" w:rsidRDefault="00E33874" w:rsidP="00054298">
      <w:pPr>
        <w:rPr>
          <w:lang w:val="en-US"/>
        </w:rPr>
      </w:pPr>
      <w:r>
        <w:rPr>
          <w:b/>
          <w:lang w:val="en-US"/>
        </w:rPr>
        <w:t xml:space="preserve">Additional file 1. </w:t>
      </w:r>
      <w:r w:rsidRPr="007F59E1">
        <w:rPr>
          <w:rFonts w:ascii="Times New Roman" w:hAnsi="Times New Roman"/>
          <w:sz w:val="24"/>
          <w:szCs w:val="24"/>
          <w:lang w:val="en-US"/>
        </w:rPr>
        <w:t xml:space="preserve">The </w:t>
      </w:r>
      <w:r w:rsidRPr="00AC1861">
        <w:rPr>
          <w:rFonts w:ascii="Times New Roman" w:hAnsi="Times New Roman"/>
          <w:sz w:val="24"/>
          <w:szCs w:val="24"/>
          <w:lang w:val="en-US"/>
        </w:rPr>
        <w:t>training dataset</w:t>
      </w:r>
      <w:r>
        <w:rPr>
          <w:rFonts w:ascii="Times New Roman" w:hAnsi="Times New Roman"/>
          <w:sz w:val="24"/>
          <w:szCs w:val="24"/>
          <w:lang w:val="en-US"/>
        </w:rPr>
        <w:t xml:space="preserve"> of </w:t>
      </w:r>
      <w:r w:rsidRPr="00AC1861">
        <w:rPr>
          <w:rFonts w:ascii="Times New Roman" w:hAnsi="Times New Roman"/>
          <w:sz w:val="24"/>
          <w:szCs w:val="24"/>
          <w:lang w:val="en-US"/>
        </w:rPr>
        <w:t xml:space="preserve">experimentally confirmed </w:t>
      </w:r>
      <w:proofErr w:type="spellStart"/>
      <w:r w:rsidRPr="00AC1861">
        <w:rPr>
          <w:rFonts w:ascii="Times New Roman" w:hAnsi="Times New Roman"/>
          <w:sz w:val="24"/>
          <w:szCs w:val="24"/>
          <w:lang w:val="en-US"/>
        </w:rPr>
        <w:t>AuxRE</w:t>
      </w:r>
      <w:proofErr w:type="spellEnd"/>
      <w:r w:rsidRPr="00AC1861">
        <w:rPr>
          <w:rFonts w:ascii="Times New Roman" w:hAnsi="Times New Roman"/>
          <w:sz w:val="24"/>
          <w:szCs w:val="24"/>
          <w:lang w:val="en-US"/>
        </w:rPr>
        <w:t xml:space="preserve"> sites </w:t>
      </w:r>
      <w:r>
        <w:rPr>
          <w:rFonts w:ascii="Times New Roman" w:hAnsi="Times New Roman"/>
          <w:sz w:val="24"/>
          <w:szCs w:val="24"/>
          <w:lang w:val="en-US"/>
        </w:rPr>
        <w:t xml:space="preserve">used in the </w:t>
      </w:r>
      <w:proofErr w:type="spellStart"/>
      <w:r>
        <w:rPr>
          <w:rFonts w:ascii="Times New Roman" w:hAnsi="Times New Roman"/>
          <w:sz w:val="24"/>
          <w:szCs w:val="24"/>
          <w:lang w:val="en-US"/>
        </w:rPr>
        <w:t>bioinformatical</w:t>
      </w:r>
      <w:proofErr w:type="spellEnd"/>
      <w:r>
        <w:rPr>
          <w:rFonts w:ascii="Times New Roman" w:hAnsi="Times New Roman"/>
          <w:sz w:val="24"/>
          <w:szCs w:val="24"/>
          <w:lang w:val="en-US"/>
        </w:rPr>
        <w:t xml:space="preserve"> analysis</w:t>
      </w:r>
      <w:r w:rsidRPr="00AC1861">
        <w:rPr>
          <w:rFonts w:ascii="Times New Roman" w:hAnsi="Times New Roman"/>
          <w:sz w:val="24"/>
          <w:szCs w:val="24"/>
          <w:lang w:val="en-US"/>
        </w:rPr>
        <w:t>.</w:t>
      </w:r>
      <w:r>
        <w:rPr>
          <w:rFonts w:ascii="Times New Roman" w:hAnsi="Times New Roman"/>
          <w:sz w:val="24"/>
          <w:szCs w:val="24"/>
          <w:lang w:val="en-US"/>
        </w:rPr>
        <w:t xml:space="preserve"> </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342"/>
        <w:gridCol w:w="9151"/>
        <w:gridCol w:w="1984"/>
        <w:gridCol w:w="567"/>
        <w:gridCol w:w="426"/>
        <w:gridCol w:w="283"/>
        <w:gridCol w:w="850"/>
      </w:tblGrid>
      <w:tr w:rsidR="00054298" w:rsidRPr="005C61CC" w:rsidTr="00E33874">
        <w:tc>
          <w:tcPr>
            <w:tcW w:w="342" w:type="dxa"/>
            <w:shd w:val="clear" w:color="auto" w:fill="auto"/>
          </w:tcPr>
          <w:p w:rsidR="00054298" w:rsidRPr="005C61CC" w:rsidRDefault="00054298" w:rsidP="00AD18C4">
            <w:pPr>
              <w:spacing w:after="0" w:line="240" w:lineRule="auto"/>
              <w:ind w:left="-113" w:right="-108"/>
              <w:jc w:val="center"/>
              <w:rPr>
                <w:rFonts w:ascii="Courier New" w:hAnsi="Courier New" w:cs="Courier New"/>
                <w:sz w:val="14"/>
                <w:szCs w:val="14"/>
                <w:lang w:val="en-US"/>
              </w:rPr>
            </w:pPr>
            <w:r w:rsidRPr="005C61CC">
              <w:rPr>
                <w:rFonts w:ascii="Courier New" w:hAnsi="Courier New" w:cs="Courier New"/>
                <w:sz w:val="14"/>
                <w:szCs w:val="14"/>
                <w:lang w:val="en-US"/>
              </w:rPr>
              <w:t>#</w:t>
            </w:r>
            <w:proofErr w:type="spellStart"/>
            <w:r w:rsidRPr="005C61CC">
              <w:rPr>
                <w:rFonts w:ascii="Courier New" w:hAnsi="Courier New" w:cs="Courier New"/>
                <w:sz w:val="14"/>
                <w:szCs w:val="14"/>
                <w:lang w:val="en-US"/>
              </w:rPr>
              <w:t>seq</w:t>
            </w:r>
            <w:proofErr w:type="spellEnd"/>
          </w:p>
        </w:tc>
        <w:tc>
          <w:tcPr>
            <w:tcW w:w="9151" w:type="dxa"/>
            <w:shd w:val="clear" w:color="auto" w:fill="auto"/>
          </w:tcPr>
          <w:p w:rsidR="00054298" w:rsidRPr="005C61CC" w:rsidRDefault="00054298" w:rsidP="00AD18C4">
            <w:pPr>
              <w:spacing w:after="0" w:line="240" w:lineRule="auto"/>
              <w:ind w:right="-108"/>
              <w:rPr>
                <w:rFonts w:ascii="Courier New" w:hAnsi="Courier New" w:cs="Courier New"/>
                <w:sz w:val="14"/>
                <w:szCs w:val="14"/>
                <w:lang w:val="en-US"/>
              </w:rPr>
            </w:pPr>
            <w:r w:rsidRPr="005C61CC">
              <w:rPr>
                <w:rFonts w:ascii="Courier New" w:hAnsi="Courier New" w:cs="Courier New"/>
                <w:sz w:val="14"/>
                <w:szCs w:val="14"/>
                <w:lang w:val="en-US"/>
              </w:rPr>
              <w:t xml:space="preserve"> </w:t>
            </w:r>
            <w:r w:rsidRPr="005C61CC">
              <w:rPr>
                <w:sz w:val="14"/>
                <w:szCs w:val="14"/>
                <w:lang w:val="en-US"/>
              </w:rPr>
              <w:t>Sequence*</w:t>
            </w:r>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lang w:val="en-US"/>
              </w:rPr>
              <w:t>Description**</w:t>
            </w:r>
          </w:p>
        </w:tc>
        <w:tc>
          <w:tcPr>
            <w:tcW w:w="1276" w:type="dxa"/>
            <w:gridSpan w:val="3"/>
            <w:shd w:val="clear" w:color="auto" w:fill="auto"/>
          </w:tcPr>
          <w:p w:rsidR="00054298" w:rsidRPr="005C61CC" w:rsidRDefault="00054298" w:rsidP="00AD18C4">
            <w:pPr>
              <w:spacing w:after="0" w:line="240" w:lineRule="auto"/>
              <w:ind w:right="-108"/>
              <w:jc w:val="center"/>
              <w:rPr>
                <w:sz w:val="14"/>
                <w:szCs w:val="14"/>
                <w:lang w:val="en-US"/>
              </w:rPr>
            </w:pPr>
            <w:r w:rsidRPr="005C61CC">
              <w:rPr>
                <w:sz w:val="14"/>
                <w:szCs w:val="14"/>
                <w:lang w:val="en-US"/>
              </w:rPr>
              <w:t>TSS, CRS, Strand***</w:t>
            </w:r>
          </w:p>
        </w:tc>
        <w:tc>
          <w:tcPr>
            <w:tcW w:w="850"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lang w:val="en-US"/>
              </w:rPr>
              <w:t>References</w:t>
            </w: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1</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caaaggcaagctaagttgtcggtagcaacatcaacagattt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aaagaatggTGTCTCcttatagggg</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tgacaagaatgggacatattcacctaccatttggtctgga</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proofErr w:type="spellStart"/>
            <w:r w:rsidRPr="005C61CC">
              <w:rPr>
                <w:i/>
                <w:sz w:val="14"/>
              </w:rPr>
              <w:t>Pisum</w:t>
            </w:r>
            <w:proofErr w:type="spellEnd"/>
            <w:r w:rsidRPr="005C61CC">
              <w:rPr>
                <w:i/>
                <w:sz w:val="14"/>
              </w:rPr>
              <w:t xml:space="preserve"> </w:t>
            </w:r>
            <w:proofErr w:type="spellStart"/>
            <w:r w:rsidRPr="005C61CC">
              <w:rPr>
                <w:i/>
                <w:sz w:val="14"/>
              </w:rPr>
              <w:t>sativum</w:t>
            </w:r>
            <w:proofErr w:type="spellEnd"/>
            <w:r w:rsidRPr="005C61CC">
              <w:rPr>
                <w:sz w:val="14"/>
              </w:rPr>
              <w:t>, Ps-IAA4/5</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-159</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-254</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vMerge w:val="restart"/>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"ISSN" : "0027-8424", "PMID" : "7724586", "abstract" : "The plant growth hormone indole-3-acetic acid (IAA) transcriptionally activates expression of several genes in plants. We have previously identified a 164-bp promoter region (-318 to -154) in the PS-IAA4/5 gene that confers IAA inducibility. Linker-scanning mutagenesis across the region has identified two positive domains: domain A (48 bp; -203 to -156) and domain B (44 bp; -299 to -256), responsible for transcriptional activation of PS-IAA4/5 by IAA. Domain A contains the highly conserved sequence 5'-TGTCCCAT-3' found among various IAA-inducible genes and behaves as the major auxin-responsive element. Domain B functions as an enhancer element which may also contain a less efficient auxin-responsive element. The two domains act cooperatively to stimulate transcription; however, tetramerization of domain A or B compensates for the loss of A or B function. The two domains can also mediate IAA-induced transcription from the heterologous cauliflower mosaic virus 35S promoter (-73 to +1). In vivo competition experiments with icosamers of domain A or B show that the domains interact specifically and with different affinities to low abundance, positive transcription factor(s). A model for transcriptional activation of PS-IAA4/5 by IAA is discussed.", "author" : [ { "dropping-particle" : "", "family" : "Ballas", "given" : "N", "non-dropping-particle" : "", "parse-names" : false, "suffix" : "" }, { "dropping-particle" : "", "family" : "Wong", "given" : "L M", "non-dropping-particle" : "", "parse-names" : false, "suffix" : "" }, { "dropping-particle" : "", "family" : "Ke", "given" : "M", "non-dropping-particle" : "", "parse-names" : false, "suffix" : "" }, { "dropping-particle" : "", "family" : "Theologis", "given" : "A", "non-dropping-particle" : "", "parse-names" : false, "suffix" : "" } ], "container-title" : "Proceedings of the National Academy of Sciences", "id" : "ITEM-1", "issue" : "8", "issued" : { "date-parts" : [ [ "1995", "4", "11" ] ] }, "page" : "3483-3487", "title" : "Two auxin-responsive domains interact positively to induce expression of the early indoleacetic acid-inducible gene PS-IAA4/5.", "type" : "article-journal", "volume" : "92" }, "uris" : [ "http://www.mendeley.com/documents/?uuid=830fc6a0-00fa-4a09-ab98-c0e2e2d3e879" ] } ], "mendeley" : { "previouslyFormattedCitation" : "[1]"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w:t>
            </w:r>
            <w:r>
              <w:rPr>
                <w:sz w:val="14"/>
                <w:szCs w:val="14"/>
                <w:lang w:val="en-US"/>
              </w:rPr>
              <w:fldChar w:fldCharType="end"/>
            </w: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2</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ctcaaccatccaaattccagaccaaatggtaggtgaatatg</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tcccattctTGTCACccctataagg</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agacaccattctttaaatctgttgatgttgctaccgacaa</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proofErr w:type="spellStart"/>
            <w:r w:rsidRPr="005C61CC">
              <w:rPr>
                <w:i/>
                <w:sz w:val="14"/>
              </w:rPr>
              <w:t>Pisum</w:t>
            </w:r>
            <w:proofErr w:type="spellEnd"/>
            <w:r w:rsidRPr="005C61CC">
              <w:rPr>
                <w:i/>
                <w:sz w:val="14"/>
              </w:rPr>
              <w:t xml:space="preserve"> </w:t>
            </w:r>
            <w:proofErr w:type="spellStart"/>
            <w:r w:rsidRPr="005C61CC">
              <w:rPr>
                <w:i/>
                <w:sz w:val="14"/>
              </w:rPr>
              <w:t>sativum</w:t>
            </w:r>
            <w:proofErr w:type="spellEnd"/>
            <w:r w:rsidRPr="005C61CC">
              <w:rPr>
                <w:sz w:val="14"/>
              </w:rPr>
              <w:t>, Ps-IAA4/5</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-173</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-268</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vMerge/>
            <w:shd w:val="clear" w:color="auto" w:fill="auto"/>
            <w:vAlign w:val="center"/>
          </w:tcPr>
          <w:p w:rsidR="00054298" w:rsidRPr="005C61CC" w:rsidRDefault="00054298" w:rsidP="00AD18C4">
            <w:pPr>
              <w:spacing w:after="0" w:line="240" w:lineRule="auto"/>
              <w:ind w:right="-108"/>
              <w:rPr>
                <w:sz w:val="14"/>
                <w:szCs w:val="14"/>
                <w:lang w:val="en-US"/>
              </w:rPr>
            </w:pP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3</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attaaaacccaataaattagaagtctcatgttgcagtctcc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attattgatTGTCTCcttagaatcc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aacatgtgaccctccattgtctaccattcacaccctttgg</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AT2G42430 (LBD16)</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-762</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-986</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vMerge w:val="restart"/>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"10.1111/j.1365-313X.2005.02426.x", "ISSN" : "0960-7412", "PMID" : "15960614", "abstract" : "AUXIN RESPONSE FACTORS (ARFs) regulate auxin-mediated transcriptional activation/repression. They are encoded by a gene family in Arabidopsis, and each member is thought to play a central role in various auxin-mediated developmental processes. We have characterized three arf2 mutant alleles, arf2-6, arf2-7 and arf2-8. The mutants exhibit pleiotropic developmental phenotypes, including large, dark green rosette leaves, delayed flowering, thick and long inflorescence, abnormal flower morphology and sterility in early formed flowers, large organ size and delayed senescence and abscission, compared with wild-type plants. In addition, arf2 mutant seedlings have elongated hypocotyls with enlarged cotyledons under various light conditions. The transcription of ACS2, ACS6 and ACS8 genes is impaired in the developing siliques of arf2-6. The phenotypes of all three alleles are similar to those of the loss-of-function mutants obtained by RNA interference or co-suppression. There is no significant effect of the mutation on global auxin-regulated gene expression in young seedlings, suggesting that ARF2 does not participate in auxin signaling at that particular developmental stage of the plant life cycle. Because ARF2 is thought to function as a transcriptional repressor, the prospect arises that its pleiotropic effects may be mediated by negatively modulating the transcription of downstream genes in signaling pathways that are involved in cell growth and senescence.", "author" : [ { "dropping-particle" : "", "family" : "Okushima", "given" : "Yoko", "non-dropping-particle" : "", "parse-names" : false, "suffix" : "" }, { "dropping-particle" : "", "family" : "Mitina", "given" : "Irina", "non-dropping-particle" : "", "parse-names" : false, "suffix" : "" }, { "dropping-particle" : "", "family" : "Quach", "given" : "Hong L", "non-dropping-particle" : "", "parse-names" : false, "suffix" : "" }, { "dropping-particle" : "", "family" : "Theologis", "given" : "Athanasios", "non-dropping-particle" : "", "parse-names" : false, "suffix" : "" } ], "container-title" : "The Plant journal", "id" : "ITEM-1", "issue" : "1", "issued" : { "date-parts" : [ [ "2005", "7" ] ] }, "page" : "29-46", "title" : "AUXIN RESPONSE FACTOR 2 (ARF2): a pleiotropic developmental regulator.", "type" : "article-journal", "volume" : "43" }, "uris" : [ "http://www.mendeley.com/documents/?uuid=8999c940-5ed8-4480-97d1-e95456ae2945" ] } ], "mendeley" : { "previouslyFormattedCitation" : "[2]"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[2]</w:t>
            </w:r>
            <w:r>
              <w:rPr>
                <w:sz w:val="14"/>
                <w:szCs w:val="14"/>
                <w:lang w:val="en-US"/>
              </w:rPr>
              <w:fldChar w:fldCharType="end"/>
            </w: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4</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atatttctgatattttcgtatcatttaaaatgaaaatttca</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tcattattcTGTCTCaaactacaac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atcttgatggtaaaaaattttatcgcatagcagttgtgga</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AT3G58190 (LBD29)</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-612</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-672</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vMerge/>
            <w:shd w:val="clear" w:color="auto" w:fill="auto"/>
            <w:vAlign w:val="center"/>
          </w:tcPr>
          <w:p w:rsidR="00054298" w:rsidRPr="005C61CC" w:rsidRDefault="00054298" w:rsidP="00AD18C4">
            <w:pPr>
              <w:spacing w:after="0" w:line="240" w:lineRule="auto"/>
              <w:ind w:right="-108"/>
              <w:rPr>
                <w:sz w:val="14"/>
                <w:szCs w:val="14"/>
                <w:lang w:val="en-US"/>
              </w:rPr>
            </w:pP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5</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cctgaccctacgtactgttcaaatatatcatataccagacg</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tttgtccatTGTCTCtatatatcgt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tggcacattttcttttacatgttagaaatataagttaaag</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At3G58190 (LBD29)</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-1373</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-1443</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vMerge/>
            <w:shd w:val="clear" w:color="auto" w:fill="auto"/>
            <w:vAlign w:val="center"/>
          </w:tcPr>
          <w:p w:rsidR="00054298" w:rsidRPr="005C61CC" w:rsidRDefault="00054298" w:rsidP="00AD18C4">
            <w:pPr>
              <w:spacing w:after="0" w:line="240" w:lineRule="auto"/>
              <w:ind w:right="-108"/>
              <w:rPr>
                <w:sz w:val="14"/>
                <w:szCs w:val="14"/>
                <w:lang w:val="en-US"/>
              </w:rPr>
            </w:pP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6</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gacacatctggacccacatgtcggccaccatgcaccatccc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tggccctcgTGTCTCctcaataagc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tacacaatttgaaacatacacgcaatcctttgtctcaata</w:t>
            </w:r>
            <w:proofErr w:type="spellEnd"/>
          </w:p>
        </w:tc>
        <w:tc>
          <w:tcPr>
            <w:tcW w:w="1984" w:type="dxa"/>
            <w:shd w:val="clear" w:color="auto" w:fill="auto"/>
          </w:tcPr>
          <w:p w:rsidR="00054298" w:rsidRPr="005C61CC" w:rsidRDefault="00054298" w:rsidP="00AD18C4">
            <w:pPr>
              <w:spacing w:after="0" w:line="240" w:lineRule="auto"/>
              <w:ind w:right="-108"/>
              <w:rPr>
                <w:rFonts w:eastAsia="Times New Roman"/>
                <w:sz w:val="14"/>
                <w:szCs w:val="14"/>
                <w:lang w:val="en-US" w:eastAsia="ru-RU"/>
              </w:rPr>
            </w:pPr>
            <w:r w:rsidRPr="005C61CC">
              <w:rPr>
                <w:sz w:val="14"/>
                <w:lang w:val="en-US"/>
              </w:rPr>
              <w:t>Glycine max, X60033 (GH3-D1)</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-173</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-330</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vMerge w:val="restart"/>
            <w:shd w:val="clear" w:color="auto" w:fill="auto"/>
            <w:vAlign w:val="center"/>
          </w:tcPr>
          <w:p w:rsidR="00054298" w:rsidRPr="005C61CC" w:rsidRDefault="00E33874" w:rsidP="00AD18C4">
            <w:pPr>
              <w:spacing w:after="0" w:line="240" w:lineRule="auto"/>
              <w:ind w:right="-108"/>
              <w:rPr>
                <w:rFonts w:eastAsia="Times New Roman"/>
                <w:sz w:val="14"/>
                <w:szCs w:val="14"/>
                <w:lang w:val="en-US" w:eastAsia="ru-RU"/>
              </w:rPr>
            </w:pPr>
            <w:r>
              <w:rPr>
                <w:sz w:val="14"/>
                <w:szCs w:val="14"/>
                <w:lang w:val="en-US"/>
              </w:rPr>
              <w:fldChar w:fldCharType="begin" w:fldLock="1"/>
            </w:r>
            <w:r>
              <w:rPr>
                <w:sz w:val="14"/>
                <w:szCs w:val="14"/>
                <w:lang w:val="en-US"/>
              </w:rPr>
              <w:instrText>ADDIN CSL_CITATION { "citationItems" : [ { "id" : "ITEM-1", "itemData" : { "DOI" : "10.1105/tpc.7.10.1611", "ISSN" : "1040-4651", "PMID" : "7580254", "abstract" : "The auxin-responsive soybean GH3 gene promoter is composed of multiple auxin response elements (AuxREs), and each AuxRE contributes incrementally to the strong auxin inducibility to the promoter. Two independent AuxREs of 25 bp (D1) and 32 bp (D4) contain the sequence TGTCTC. Results presented here show that the TGTCTC element in D1 and D4 is required but not sufficient for auxin inducibility in carrot protoplast transient expression assays. Additional nucleotides upstream of TGTCTC are also required for auxin inducibility. These upstream sequences showed constitutive activity and no auxin inducibility when part or all of the TGTCTC element was mutated or deleted. In D1, the constitutive element overlaps the 5' portion of TGTCTC; in D4, the constitutive element is separated from TGTCTC. An 11-bp element in D1, CCTCGTGTCTC, conferred auxin inducibility to a minimal cauliflower mosaic virus 35S promoter in transgenic tobacco seedlings as well as in carrot protoplasts (i.e., transient expression assays). Both constitutive elements bound specifically to plant nuclear proteins, and the constitutive element in D1 bound to a recombinant soybean basic leucine zipper transcription factor with G-box specificity. To demonstrate further the composite nature of AuxREs and the ability of the TGTCTC element to confer auxin inducibility, we created a novel AuxRE by placing a yeast GAL4 DNA binding site adjacent to the TGTCTC element. Expression of a GAL4-c-Rel transactivator in the presence of this novel AuxRE resulted in auxin-inducible expression. Our results indicate that at least some AuxREs have a composite structure consisting of a constitutive element adjacent to a conserved TGTCTC element that confers auxin inducibility.", "author" : [ { "dropping-particle" : "", "family" : "Ulmasov", "given" : "Tim", "non-dropping-particle" : "", "parse-names" : false, "suffix" : "" }, { "dropping-particle" : "", "family" : "Liu", "given" : "Z B", "non-dropping-particle" : "", "parse-names" : false, "suffix" : "" }, { "dropping-particle" : "", "family" : "Hagen", "given" : "G", "non-dropping-particle" : "", "parse-names" : false, "suffix" : "" }, { "dropping-particle" : "", "family" : "Guilfoyle", "given" : "T J", "non-dropping-particle" : "", "parse-names" : false, "suffix" : "" } ], "container-title" : "The Plant cell", "id" : "ITEM-1", "issue" : "10", "issued" : { "date-parts" : [ [ "1995", "10" ] ] }, "page" : "1611-1623", "title" : "Composite structure of auxin response elements.", "type" : "article-journal", "volume" : "7" }, "uris" : [ "http://www.mendeley.com/documents/?uuid=c40fdb1b-d5cc-4bc4-a914-c0e4fd902a4d" ] } ], "mendeley" : { "previouslyFormattedCitation" : "[3]"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[3]</w:t>
            </w:r>
            <w:r>
              <w:rPr>
                <w:sz w:val="14"/>
                <w:szCs w:val="14"/>
                <w:lang w:val="en-US"/>
              </w:rPr>
              <w:fldChar w:fldCharType="end"/>
            </w:r>
          </w:p>
        </w:tc>
      </w:tr>
      <w:tr w:rsidR="00054298" w:rsidRPr="00E33874" w:rsidTr="00E33874">
        <w:tc>
          <w:tcPr>
            <w:tcW w:w="342" w:type="dxa"/>
            <w:shd w:val="clear" w:color="auto" w:fill="auto"/>
          </w:tcPr>
          <w:p w:rsidR="00054298" w:rsidRPr="00E33874" w:rsidRDefault="00054298" w:rsidP="00AD18C4">
            <w:pPr>
              <w:spacing w:after="0" w:line="240" w:lineRule="auto"/>
              <w:ind w:left="-113" w:right="-108" w:firstLine="23"/>
              <w:jc w:val="center"/>
              <w:rPr>
                <w:rFonts w:ascii="Courier New" w:hAnsi="Courier New" w:cs="Courier New"/>
                <w:sz w:val="14"/>
                <w:szCs w:val="14"/>
                <w:lang w:val="en-US"/>
              </w:rPr>
            </w:pPr>
            <w:r w:rsidRPr="00E33874">
              <w:rPr>
                <w:rFonts w:ascii="Courier New" w:hAnsi="Courier New" w:cs="Courier New"/>
                <w:sz w:val="14"/>
                <w:szCs w:val="14"/>
                <w:lang w:val="en-US"/>
              </w:rPr>
              <w:t>7</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ctcgtgtctcctcaataagctacacaatttgaaacatacac</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gcaatccttTGTCTCaataagttcc</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actcaggtactgttttctcccgcaaccatgacgtaattct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lang w:val="en-US"/>
              </w:rPr>
              <w:t>Glycine max ,X60033 (GH3-D4)</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-127</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-284</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vMerge/>
            <w:shd w:val="clear" w:color="auto" w:fill="auto"/>
            <w:vAlign w:val="center"/>
          </w:tcPr>
          <w:p w:rsidR="00054298" w:rsidRPr="005C61CC" w:rsidRDefault="00054298" w:rsidP="00AD18C4">
            <w:pPr>
              <w:spacing w:after="0" w:line="240" w:lineRule="auto"/>
              <w:ind w:right="-108"/>
              <w:rPr>
                <w:sz w:val="14"/>
                <w:szCs w:val="14"/>
                <w:lang w:val="en-US"/>
              </w:rPr>
            </w:pPr>
          </w:p>
        </w:tc>
      </w:tr>
      <w:tr w:rsidR="00054298" w:rsidRPr="005C61CC" w:rsidTr="00E33874">
        <w:tc>
          <w:tcPr>
            <w:tcW w:w="342" w:type="dxa"/>
            <w:shd w:val="clear" w:color="auto" w:fill="auto"/>
          </w:tcPr>
          <w:p w:rsidR="00054298" w:rsidRPr="00E33874" w:rsidRDefault="00054298" w:rsidP="00AD18C4">
            <w:pPr>
              <w:spacing w:after="0" w:line="240" w:lineRule="auto"/>
              <w:ind w:left="-113" w:right="-108" w:firstLine="23"/>
              <w:jc w:val="center"/>
              <w:rPr>
                <w:rFonts w:ascii="Courier New" w:hAnsi="Courier New" w:cs="Courier New"/>
                <w:sz w:val="14"/>
                <w:szCs w:val="14"/>
                <w:lang w:val="en-US"/>
              </w:rPr>
            </w:pPr>
            <w:r w:rsidRPr="00E33874">
              <w:rPr>
                <w:rFonts w:ascii="Courier New" w:hAnsi="Courier New" w:cs="Courier New"/>
                <w:sz w:val="14"/>
                <w:szCs w:val="14"/>
                <w:lang w:val="en-US"/>
              </w:rPr>
              <w:t>8</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tttgcttgtaaaattacagaattaacgcaggggttttaatt</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gctgcttatTGTCTCattcagtcat</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ttgccgaccaaccaacataaatctcaatataatgagttca</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E33874">
              <w:rPr>
                <w:sz w:val="14"/>
                <w:lang w:val="en-US"/>
              </w:rPr>
              <w:t>AT1G12980 (DRN/ESR1)</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-1105</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-1178</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vMerge w:val="restart"/>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"10.1242/dev.032177", "ISSN" : "0950-1991", "PMID" : "19369397", "abstract" : "DORNROSCHEN (DRN), which encodes a member of the AP2-type transcription factor family, contributes to auxin transport and perception in the Arabidopsis embryo. Live imaging performed with transcriptional or translational GFP fusions shows DRN to be activated in the apical cell after the first zygotic division, to act cell-autonomously and to be expressed in single cells extending laterally from the apical shoot stem-cell zone at the position of incipient leaf primordia. Here, we show that the Auxin response factor (ARF) MONOPTEROS (MP) directly controls DRN transcription in the tips of the embryonic cotyledons, which depends on the presence of canonical Auxin response elements (AuxREs), potential ARF-binding sites flanking the DRN transcription unit. Chromatin immunoprecipitation experiments show that MP binds in vivo to two AuxRE-spanning fragments in the DRN promoter, and that MP is required for expression of DRN in cotyledon tips. Hence, DRN represents a direct target of MP and functions downstream of MP in cotyledon development.", "author" : [ { "dropping-particle" : "", "family" : "Cole", "given" : "Melanie", "non-dropping-particle" : "", "parse-names" : false, "suffix" : "" }, { "dropping-particle" : "", "family" : "Chandler", "given" : "John", "non-dropping-particle" : "", "parse-names" : false, "suffix" : "" }, { "dropping-particle" : "", "family" : "Weijers", "given" : "Dolf", "non-dropping-particle" : "", "parse-names" : false, "suffix" : "" }, { "dropping-particle" : "", "family" : "Jacobs", "given" : "Bianca", "non-dropping-particle" : "", "parse-names" : false, "suffix" : "" }, { "dropping-particle" : "", "family" : "Comelli", "given" : "Petra", "non-dropping-particle" : "", "parse-names" : false, "suffix" : "" }, { "dropping-particle" : "", "family" : "Werr", "given" : "Wolfgang", "non-dropping-particle" : "", "parse-names" : false, "suffix" : "" } ], "container-title" : "Development", "id" : "ITEM-1", "issue" : "10", "issued" : { "date-parts" : [ [ "2009", "5" ] ] }, "page" : "1643-1651", "title" : "DORNROSCHEN is a direct target of the auxin response factor MONOPTEROS in the Arabidopsis embryo.", "type" : "article-journal", "volume" : "136" }, "uris" : [ "http://www.mendeley.com/documents/?uuid=8d02ceab-deb1-45e9-a587-8c529f34a1e9" ] } ], "mendeley" : { "previouslyFormattedCitation" : "[4]"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[4]</w:t>
            </w:r>
            <w:r>
              <w:rPr>
                <w:sz w:val="14"/>
                <w:szCs w:val="14"/>
                <w:lang w:val="en-US"/>
              </w:rPr>
              <w:fldChar w:fldCharType="end"/>
            </w: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9</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gacagaagcaataaataaaaaacaagcttctgatacatgaa</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atacatataTGTCTCatacatacgt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ttagacaaacctgaaatgtcctcttcgtacaataatatcc</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AT1G12980 (DRN/ESR1)</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-720</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-793</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vMerge/>
            <w:shd w:val="clear" w:color="auto" w:fill="auto"/>
            <w:vAlign w:val="center"/>
          </w:tcPr>
          <w:p w:rsidR="00054298" w:rsidRPr="005C61CC" w:rsidRDefault="00054298" w:rsidP="00AD18C4">
            <w:pPr>
              <w:spacing w:after="0" w:line="240" w:lineRule="auto"/>
              <w:ind w:right="-108"/>
              <w:rPr>
                <w:sz w:val="14"/>
                <w:szCs w:val="14"/>
                <w:lang w:val="en-US"/>
              </w:rPr>
            </w:pP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10</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ggagagaaatggagaaggattagggccaggggattaaaaaa</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aatcgatctTGTCTCcccaatgggc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aaccagctccattattttgagctcttctccttctttgttt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proofErr w:type="spellStart"/>
            <w:r w:rsidRPr="005C61CC">
              <w:rPr>
                <w:i/>
                <w:sz w:val="14"/>
              </w:rPr>
              <w:t>Oryza</w:t>
            </w:r>
            <w:proofErr w:type="spellEnd"/>
            <w:r w:rsidRPr="005C61CC">
              <w:rPr>
                <w:i/>
                <w:sz w:val="14"/>
              </w:rPr>
              <w:t xml:space="preserve"> </w:t>
            </w:r>
            <w:proofErr w:type="spellStart"/>
            <w:r w:rsidRPr="005C61CC">
              <w:rPr>
                <w:i/>
                <w:sz w:val="14"/>
              </w:rPr>
              <w:t>sativa</w:t>
            </w:r>
            <w:proofErr w:type="spellEnd"/>
            <w:r w:rsidRPr="005C61CC">
              <w:rPr>
                <w:sz w:val="14"/>
              </w:rPr>
              <w:t>, AAN87738 (CRL1)</w:t>
            </w:r>
          </w:p>
        </w:tc>
        <w:tc>
          <w:tcPr>
            <w:tcW w:w="567" w:type="dxa"/>
            <w:shd w:val="clear" w:color="auto" w:fill="auto"/>
          </w:tcPr>
          <w:p w:rsidR="00054298" w:rsidRPr="005C61CC" w:rsidRDefault="00054298" w:rsidP="00AD18C4">
            <w:pPr>
              <w:spacing w:after="0" w:line="240" w:lineRule="auto"/>
              <w:ind w:right="-108"/>
              <w:rPr>
                <w:sz w:val="14"/>
                <w:szCs w:val="14"/>
                <w:lang w:val="en-US"/>
              </w:rPr>
            </w:pP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-173</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"10.1105/tpc.105.030981.1", "author" : [ { "dropping-particle" : "", "family" : "Inukai", "given" : "Yoshiaki", "non-dropping-particle" : "", "parse-names" : false, "suffix" : "" }, { "dropping-particle" : "", "family" : "Sakamoto", "given" : "Tomoaki", "non-dropping-particle" : "", "parse-names" : false, "suffix" : "" }, { "dropping-particle" : "", "family" : "Ueguchi-tanaka", "given" : "Miyako", "non-dropping-particle" : "", "parse-names" : false, "suffix" : "" }, { "dropping-particle" : "", "family" : "Shibata", "given" : "Yohko", "non-dropping-particle" : "", "parse-names" : false, "suffix" : "" }, { "dropping-particle" : "", "family" : "Gomi", "given" : "Kenji", "non-dropping-particle" : "", "parse-names" : false, "suffix" : "" }, { "dropping-particle" : "", "family" : "Umemura", "given" : "Iichiro", "non-dropping-particle" : "", "parse-names" : false, "suffix" : "" }, { "dropping-particle" : "", "family" : "Hasegawa", "given" : "Yasuko", "non-dropping-particle" : "", "parse-names" : false, "suffix" : "" }, { "dropping-particle" : "", "family" : "Ashikari", "given" : "Motoyuki", "non-dropping-particle" : "", "parse-names" : false, "suffix" : "" }, { "dropping-particle" : "", "family" : "Kitano", "given" : "Hidemi", "non-dropping-particle" : "", "parse-names" : false, "suffix" : "" }, { "dropping-particle" : "", "family" : "Matsuoka", "given" : "Makoto", "non-dropping-particle" : "", "parse-names" : false, "suffix" : "" } ], "container-title" : "The Plant cell", "id" : "ITEM-1", "issued" : { "date-parts" : [ [ "2005" ] ] }, "page" : "1387-1396", "title" : "Crown rootless1 , Which Is Essential for Crown Root Formation in Rice , Is a Target of an AUXIN RESPONSE FACTOR in Auxin Signaling", "type" : "article-journal", "volume" : "17" }, "uris" : [ "http://www.mendeley.com/documents/?uuid=b4ed86ff-0c38-439f-940f-f868199cdc16" ] } ], "mendeley" : { "previouslyFormattedCitation" : "[5]"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[5]</w:t>
            </w:r>
            <w:r>
              <w:rPr>
                <w:sz w:val="14"/>
                <w:szCs w:val="14"/>
                <w:lang w:val="en-US"/>
              </w:rPr>
              <w:fldChar w:fldCharType="end"/>
            </w: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11</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taaattaatcattgtctttgcttcaaagccaatcctatgag</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actttgtctTGTCTCcaacttgtat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ataagctctattcctctactctgtttcacaccatctcttc</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AT4G35350 (XCP1)</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-42</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-88</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"author" : [ { "dropping-particle" : "", "family" : "Ismail", "given" : "Ihab O", "non-dropping-particle" : "", "parse-names" : false, "suffix" : "" } ], "id" : "ITEM-1", "issued" : { "date-parts" : [ [ "2004" ] ] }, "publisher" : "Virginia Polytechnic Institute", "title" : "Function and Regulation of Xylem Cysteine Protease 1 and Xylem Cysteine Protease 2 in Arabidopsis. Dissertation.", "type" : "thesis" }, "uris" : [ "http://www.mendeley.com/documents/?uuid=f2104836-c4db-4db1-be0e-5129ed4e6586" ] } ], "mendeley" : { "previouslyFormattedCitation" : "[6]"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[6]</w:t>
            </w:r>
            <w:r>
              <w:rPr>
                <w:sz w:val="14"/>
                <w:szCs w:val="14"/>
                <w:lang w:val="en-US"/>
              </w:rPr>
              <w:fldChar w:fldCharType="end"/>
            </w: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12</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tgaattaaaatgaagaaaaaaaagaatgagaaaaagtgaga</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agtggtggtTGTCTGgtattaaggg</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tactcacttctctccttttcaacacagcccgacacacatg</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AT4G32880 (ATHB8)</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-143</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-946</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"10.1242/dev.037028", "ISSN" : "1477-9129", "PMID" : "19710171", "abstract" : "The principles underlying the formation of veins in the leaf have long intrigued developmental biologists. In Arabidopsis leaves, files of anatomically inconspicuous subepidermal cells that will elongate into vein-forming procambial cells selectively activate ATHB8 gene expression. The biological role of ATHB8 in vein formation and the molecular events that culminate in acquisition of the ATHB8 preprocambial cell state are unknown, but intertwined pathways of auxin transport and signal transduction have been implicated in defining paths of vascular strand differentiation. Here we show that ATHB8 is required to stabilize preprocambial cell specification against auxin transport perturbations, to restrict preprocambial cell state acquisition to narrow fields and to coordinate procambium formation within and between veins. We further show that ATHB8 expression at preprocambial stages is directly and positively controlled by the auxin-response transcription factor MONOPTEROS (MP) through an auxin-response element in the ATHB8 promoter. We finally show that the consequences of loss of ATHB8 function for vein formation are masked by MP activity. Our observations define, at the molecular level, patterning inputs of auxin signaling in vein formation.", "author" : [ { "dropping-particle" : "", "family" : "Donner", "given" : "Tyler J", "non-dropping-particle" : "", "parse-names" : false, "suffix" : "" }, { "dropping-particle" : "", "family" : "Sherr", "given" : "Ira", "non-dropping-particle" : "", "parse-names" : false, "suffix" : "" }, { "dropping-particle" : "", "family" : "Scarpella", "given" : "Enrico", "non-dropping-particle" : "", "parse-names" : false, "suffix" : "" } ], "container-title" : "Development", "id" : "ITEM-1", "issue" : "19", "issued" : { "date-parts" : [ [ "2009", "10" ] ] }, "page" : "3235-3246", "title" : "Regulation of preprocambial cell state acquisition by auxin signaling in Arabidopsis leaves.", "type" : "article-journal", "volume" : "136" }, "uris" : [ "http://www.mendeley.com/documents/?uuid=11373692-f5b7-4071-80b8-3a925bb774d6" ] } ], "mendeley" : { "previouslyFormattedCitation" : "[7]"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[7]</w:t>
            </w:r>
            <w:r>
              <w:rPr>
                <w:sz w:val="14"/>
                <w:szCs w:val="14"/>
                <w:lang w:val="en-US"/>
              </w:rPr>
              <w:fldChar w:fldCharType="end"/>
            </w: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13</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gttaaacattctctttcctccacgtatatatatatactctt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cgtaactctTGTCTCtcttctcttc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gtctagttaaaactctcggagctcctttcagttctcgggt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 xml:space="preserve">AT1G31880 (BRX, </w:t>
            </w:r>
            <w:proofErr w:type="spellStart"/>
            <w:r w:rsidRPr="005C61CC">
              <w:rPr>
                <w:sz w:val="14"/>
              </w:rPr>
              <w:t>site</w:t>
            </w:r>
            <w:proofErr w:type="spellEnd"/>
            <w:r w:rsidRPr="005C61CC">
              <w:rPr>
                <w:sz w:val="14"/>
              </w:rPr>
              <w:t xml:space="preserve"> A)</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-13</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-2327</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vMerge w:val="restart"/>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"10.1073/pnas.1014716108", "ISSN" : "1091-6490", "PMID" : "21149702", "abstract" : "A central question in developmental biology is how multicellular organisms coordinate cell division and differentiation to determine organ size. In Arabidopsis roots, this balance is controlled by cytokinin-induced expression of SHORT HYPOCOTYL 2 (SHY2) in the so-called transition zone of the meristem, where SHY2 negatively regulates auxin response factors (ARFs) by protein-protein interaction. The resulting down-regulation of PIN-FORMED (PIN) auxin efflux carriers is considered the key event in promoting differentiation of meristematic cells. Here we show that this regulation involves additional, intermediary factors and is spatio-temporally constrained. We found that the described cytokinin-auxin crosstalk antagonizes BREVIS RADIX (BRX) activity in the developing protophloem. BRX is an auxin-responsive target of the prototypical ARF MONOPTEROS (MP), a key promoter of vascular development, and transiently enhances PIN3 expression to promote meristem growth in young roots. At later stages, cytokinin induction of SHY2 in the vascular transition zone restricts BRX expression to down-regulate PIN3 and thus limit meristem growth. Interestingly, proper SHY2 expression requires BRX, which could reflect feedback on the auxin responsiveness of SHY2 because BRX protein can directly interact with MP, likely acting as a cofactor. Thus, cross-regulatory antagonism between BRX and SHY2 could determine ARF activity in the protophloem. Our data suggest a model in which the regulatory interactions favor BRX expression in the early proximal meristem and SHY2 prevails because of supplementary cytokinin induction in the later distal meristem. The complex equilibrium of this regulatory module might represent a universal switch in the transition toward differentiation in various developmental contexts.", "author" : [ { "dropping-particle" : "", "family" : "Scacchi", "given" : "Emanuele", "non-dropping-particle" : "", "parse-names" : false, "suffix" : "" }, { "dropping-particle" : "", "family" : "Salinas", "given" : "Paula", "non-dropping-particle" : "", "parse-names" : false, "suffix" : "" }, { "dropping-particle" : "", "family" : "Gujas", "given" : "Bojan", "non-dropping-particle" : "", "parse-names" : false, "suffix" : "" }, { "dropping-particle" : "", "family" : "Santuari", "given" : "Luca", "non-dropping-particle" : "", "parse-names" : false, "suffix" : "" }, { "dropping-particle" : "", "family" : "Krogan", "given" : "Naden", "non-dropping-particle" : "", "parse-names" : false, "suffix" : "" }, { "dropping-particle" : "", "family" : "Ragni", "given" : "Laura", "non-dropping-particle" : "", "parse-names" : false, "suffix" : "" }, { "dropping-particle" : "", "family" : "Berleth", "given" : "Thomas", "non-dropping-particle" : "", "parse-names" : false, "suffix" : "" }, { "dropping-particle" : "", "family" : "Hardtke", "given" : "Christian S", "non-dropping-particle" : "", "parse-names" : false, "suffix" : "" } ], "container-title" : "Proceedings of the National Academy of Sciences", "id" : "ITEM-1", "issue" : "52", "issued" : { "date-parts" : [ [ "2010", "12", "28" ] ] }, "page" : "22734-22739", "title" : "Spatio-temporal sequence of cross-regulatory events in root meristem growth.", "type" : "article-journal", "volume" : "107" }, "uris" : [ "http://www.mendeley.com/documents/?uuid=7cc6ba2a-d79f-410c-969a-50518becead7" ] } ], "mendeley" : { "previouslyFormattedCitation" : "[8]"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[8]</w:t>
            </w:r>
            <w:r>
              <w:rPr>
                <w:sz w:val="14"/>
                <w:szCs w:val="14"/>
                <w:lang w:val="en-US"/>
              </w:rPr>
              <w:fldChar w:fldCharType="end"/>
            </w: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14</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tcccttggcctgtcaaatgtatcgtgaccaaaacccgaccc</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ggtttcagcTGTCTCaaaccaatca</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gaaaccgccacgtattctacttccaccacacgtaagccat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E33874">
              <w:rPr>
                <w:sz w:val="14"/>
                <w:lang w:val="en-US"/>
              </w:rPr>
              <w:t>AT1G31880 (BRX, site B)</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-246</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-2560</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vMerge/>
            <w:shd w:val="clear" w:color="auto" w:fill="auto"/>
            <w:vAlign w:val="center"/>
          </w:tcPr>
          <w:p w:rsidR="00054298" w:rsidRPr="005C61CC" w:rsidRDefault="00054298" w:rsidP="00AD18C4">
            <w:pPr>
              <w:spacing w:after="0" w:line="240" w:lineRule="auto"/>
              <w:ind w:right="-108"/>
              <w:rPr>
                <w:sz w:val="14"/>
                <w:szCs w:val="14"/>
                <w:lang w:val="en-US"/>
              </w:rPr>
            </w:pP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15</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atctaaaggcgatgagtgatgtgtttatgtcttgtcagaaa</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acgtaatatTGTGTCttcacggtca</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taatctttttagggacccaattttctttgattttacgatc</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E33874">
              <w:rPr>
                <w:sz w:val="14"/>
                <w:lang w:val="en-US"/>
              </w:rPr>
              <w:t>AT1G74900 (ARR15)</w:t>
            </w:r>
          </w:p>
        </w:tc>
        <w:tc>
          <w:tcPr>
            <w:tcW w:w="567" w:type="dxa"/>
            <w:shd w:val="clear" w:color="auto" w:fill="auto"/>
          </w:tcPr>
          <w:p w:rsidR="00054298" w:rsidRPr="005C61CC" w:rsidRDefault="00054298" w:rsidP="00AD18C4">
            <w:pPr>
              <w:spacing w:after="0" w:line="240" w:lineRule="auto"/>
              <w:ind w:right="-108"/>
              <w:rPr>
                <w:sz w:val="14"/>
                <w:szCs w:val="14"/>
                <w:lang w:val="en-US"/>
              </w:rPr>
            </w:pP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-896</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"10.1038/nature09126", "ISSN" : "0028-0836", "author" : [ { "dropping-particle" : "", "family" : "Zhao", "given" : "Zhong", "non-dropping-particle" : "", "parse-names" : false, "suffix" : "" }, { "dropping-particle" : "", "family" : "Andersen", "given" : "Stig U", "non-dropping-particle" : "", "parse-names" : false, "suffix" : "" }, { "dropping-particle" : "", "family" : "Ljung", "given" : "Karin", "non-dropping-particle" : "", "parse-names" : false, "suffix" : "" }, { "dropping-particle" : "", "family" : "Dolezal", "given" : "Karel", "non-dropping-particle" : "", "parse-names" : false, "suffix" : "" }, { "dropping-particle" : "", "family" : "Miotk", "given" : "Andrej", "non-dropping-particle" : "", "parse-names" : false, "suffix" : "" }, { "dropping-particle" : "", "family" : "Schultheiss", "given" : "Sebastian J", "non-dropping-particle" : "", "parse-names" : false, "suffix" : "" }, { "dropping-particle" : "", "family" : "Lohmann", "given" : "Jan U", "non-dropping-particle" : "", "parse-names" : false, "suffix" : "" } ], "container-title" : "Nature", "id" : "ITEM-1", "issue" : "7301", "issued" : { "date-parts" : [ [ "2010" ] ] }, "page" : "1089-1092", "publisher" : "Nature Publishing Group", "title" : "Hormonal control of the shoot stem-cell niche", "type" : "article-journal", "volume" : "465" }, "uris" : [ "http://www.mendeley.com/documents/?uuid=eb04b8ca-caef-49f3-a515-d55dc7899e76" ] } ], "mendeley" : { "previouslyFormattedCitation" : "[9]"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[9]</w:t>
            </w:r>
            <w:r>
              <w:rPr>
                <w:sz w:val="14"/>
                <w:szCs w:val="14"/>
                <w:lang w:val="en-US"/>
              </w:rPr>
              <w:fldChar w:fldCharType="end"/>
            </w: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16</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cacatggctttgggttgtagatactaaaccaagaacaaatc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aataaatggTGTCTGagaagttagt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gtctaatgatgtcctacatgataacttcattggggcttat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 xml:space="preserve">AT4G38850 (SAUR15, </w:t>
            </w:r>
            <w:proofErr w:type="spellStart"/>
            <w:r w:rsidRPr="005C61CC">
              <w:rPr>
                <w:sz w:val="14"/>
              </w:rPr>
              <w:t>site</w:t>
            </w:r>
            <w:proofErr w:type="spellEnd"/>
            <w:r w:rsidRPr="005C61CC">
              <w:rPr>
                <w:sz w:val="14"/>
              </w:rPr>
              <w:t xml:space="preserve"> A2)</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-146</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-253</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"10.1104/pp.111.187559", "ISSN" : "1532-2548", "PMID" : "22100645", "abstract" : "Multiple mechanisms have been described for coordination of responses to the plant hormones auxin and brassinosteroids (Zhang et al., 2009). One unexplained phenomenon is the reliance of the auxin transcriptional response on a functional brassinosteroid pathway. In this study, we used luciferase reporters to interrogate the promoter of SMALL AUXIN-UP RNA15 (SAUR15), a well-characterized auxin and brassinosteroid early response gene in Arabidopsis (Arabidopsis thaliana). After identifying a minimal region sufficient for auxin response, we targeted predicted cis-regulatory elements contained within this sequence and found a critical subset required for hormone response. Specifically, reporter sensitivity to auxin treatment required two elements: a Hormone Up at Dawn (HUD)-type E-box and an AuxRE-related TGTCT element. Reporter response to brassinosteroid treatment relied on the same two elements. Consistent with these findings, the transcription factors BRASSINOSTEROID INSENSITIVE1-EMS SUPPESSOR1 and MONOPTEROS (MP)/ AUXIN RESPONSE FACTOR5 (ARF5) showed enhanced binding to the critical promoter region containing these elements. Treatment with auxin or brassinosteroids could enhance binding of either transcription factor, and brassinosteroid enhancement of MP/ARF5 binding required an intact HUD element. Conservation of clustered HUD elements and AuxRE-related sequences in promoters of putative SAUR15 orthologs in a number of flowering plant species, in combination with evidence for statistically significant clustering of these elements across all Arabidopsis promoters, provided further evidence of the functional importance of coordinated transcription factor binding.", "author" : [ { "dropping-particle" : "", "family" : "Walcher", "given" : "Cristina L", "non-dropping-particle" : "", "parse-names" : false, "suffix" : "" }, { "dropping-particle" : "", "family" : "Nemhauser", "given" : "Jennifer L", "non-dropping-particle" : "", "parse-names" : false, "suffix" : "" } ], "container-title" : "Plant physiology", "id" : "ITEM-1", "issue" : "1", "issued" : { "date-parts" : [ [ "2012", "1" ] ] }, "page" : "273-282", "title" : "Bipartite promoter element required for auxin response.", "type" : "article-journal", "volume" : "158" }, "uris" : [ "http://www.mendeley.com/documents/?uuid=dd2aea0c-a687-4849-b5af-232835749024" ] } ], "mendeley" : { "previouslyFormattedCitation" : "[10]"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[10]</w:t>
            </w:r>
            <w:r>
              <w:rPr>
                <w:sz w:val="14"/>
                <w:szCs w:val="14"/>
                <w:lang w:val="en-US"/>
              </w:rPr>
              <w:fldChar w:fldCharType="end"/>
            </w: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17</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agttgaatcaaaagtgaagtctctctatcttctctctctat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caagctcatTGTCTCtctatttata</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acaacacttcacttccattctcaaacagcaccatcatctt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AT5G18560 (PUCHI)</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-68</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-154</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"10.1105/tpc.107.050674", "ISSN" : "1040-4651", "PMID" : "17630277", "abstract" : "Organ primordia develop from founder cells into organs due to coordinated patterns of cell division. How patterned cell division is regulated during organ formation, however, is not well understood. Here, we show that the PUCHI gene, which encodes a putative APETALA2/ethylene-responsive element binding protein transcription factor, is required for the coordinated pattern of cell divisions during lateral root formation in Arabidopsis thaliana. Recessive mutations in PUCHI disturbed cell division patterns in the lateral root primordium, resulting in swelling of the proximal region of lateral roots. PUCHI expression was initially detected in all of the cells in early lateral root primordia, and later it was restricted to the proximal region of the primordia. Stable expression of PUCHI required auxin-responsive elements in its promoter region, and exogenous auxin increased the level of PUCHI mRNA accumulation. These results suggest that PUCHI acts downstream of auxin signaling and that this gene contributes to lateral root morphogenesis through affecting the pattern of cell divisions during the early stages of primordium development.", "author" : [ { "dropping-particle" : "", "family" : "Hirota", "given" : "Atsuko", "non-dropping-particle" : "", "parse-names" : false, "suffix" : "" }, { "dropping-particle" : "", "family" : "Kato", "given" : "Takehide", "non-dropping-particle" : "", "parse-names" : false, "suffix" : "" }, { "dropping-particle" : "", "family" : "Fukaki", "given" : "Hidehiro", "non-dropping-particle" : "", "parse-names" : false, "suffix" : "" }, { "dropping-particle" : "", "family" : "Aida", "given" : "Mitsuhiro", "non-dropping-particle" : "", "parse-names" : false, "suffix" : "" }, { "dropping-particle" : "", "family" : "Tasaka", "given" : "Masao", "non-dropping-particle" : "", "parse-names" : false, "suffix" : "" } ], "container-title" : "The Plant cell", "id" : "ITEM-1", "issue" : "7", "issued" : { "date-parts" : [ [ "2007", "7" ] ] }, "page" : "2156-2168", "title" : "The auxin-regulated AP2/EREBP gene PUCHI is required for morphogenesis in the early lateral root primordium of Arabidopsis.", "type" : "article-journal", "volume" : "19" }, "uris" : [ "http://www.mendeley.com/documents/?uuid=c504438c-99d9-41f4-aa6e-ad691963a55d" ] } ], "mendeley" : { "previouslyFormattedCitation" : "[11]"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[11]</w:t>
            </w:r>
            <w:r>
              <w:rPr>
                <w:sz w:val="14"/>
                <w:szCs w:val="14"/>
                <w:lang w:val="en-US"/>
              </w:rPr>
              <w:fldChar w:fldCharType="end"/>
            </w:r>
          </w:p>
        </w:tc>
      </w:tr>
      <w:tr w:rsidR="00054298" w:rsidRPr="005C61CC"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18</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cggtcataatctttttagggacccaattttctttgatttta</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cgatcctttTGTCTGctctttcttt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ctatctgacaatgactactctcctctctttttatctttcg</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 xml:space="preserve">AT1G74900 (ARR15 </w:t>
            </w:r>
            <w:proofErr w:type="spellStart"/>
            <w:r w:rsidRPr="005C61CC">
              <w:rPr>
                <w:sz w:val="14"/>
              </w:rPr>
              <w:t>box</w:t>
            </w:r>
            <w:proofErr w:type="spellEnd"/>
            <w:r w:rsidRPr="005C61CC">
              <w:rPr>
                <w:sz w:val="14"/>
              </w:rPr>
              <w:t xml:space="preserve"> A)</w:t>
            </w:r>
          </w:p>
        </w:tc>
        <w:tc>
          <w:tcPr>
            <w:tcW w:w="567" w:type="dxa"/>
            <w:shd w:val="clear" w:color="auto" w:fill="auto"/>
          </w:tcPr>
          <w:p w:rsidR="00054298" w:rsidRPr="005C61CC" w:rsidRDefault="00054298" w:rsidP="00AD18C4">
            <w:pPr>
              <w:spacing w:after="0" w:line="240" w:lineRule="auto"/>
              <w:ind w:right="-108"/>
              <w:rPr>
                <w:sz w:val="14"/>
                <w:szCs w:val="14"/>
                <w:lang w:val="en-US"/>
              </w:rPr>
            </w:pP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-836</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"10.1038/nature09126", "ISSN" : "0028-0836", "author" : [ { "dropping-particle" : "", "family" : "Zhao", "given" : "Zhong", "non-dropping-particle" : "", "parse-names" : false, "suffix" : "" }, { "dropping-particle" : "", "family" : "Andersen", "given" : "Stig U", "non-dropping-particle" : "", "parse-names" : false, "suffix" : "" }, { "dropping-particle" : "", "family" : "Ljung", "given" : "Karin", "non-dropping-particle" : "", "parse-names" : false, "suffix" : "" }, { "dropping-particle" : "", "family" : "Dolezal", "given" : "Karel", "non-dropping-particle" : "", "parse-names" : false, "suffix" : "" }, { "dropping-particle" : "", "family" : "Miotk", "given" : "Andrej", "non-dropping-particle" : "", "parse-names" : false, "suffix" : "" }, { "dropping-particle" : "", "family" : "Schultheiss", "given" : "Sebastian J", "non-dropping-particle" : "", "parse-names" : false, "suffix" : "" }, { "dropping-particle" : "", "family" : "Lohmann", "given" : "Jan U", "non-dropping-particle" : "", "parse-names" : false, "suffix" : "" } ], "container-title" : "Nature", "id" : "ITEM-1", "issue" : "7301", "issued" : { "date-parts" : [ [ "2010" ] ] }, "page" : "1089-1092", "publisher" : "Nature Publishing Group", "title" : "Hormonal control of the shoot stem-cell niche", "type" : "article-journal", "volume" : "465" }, "uris" : [ "http://www.mendeley.com/documents/?uuid=eb04b8ca-caef-49f3-a515-d55dc7899e76" ] } ], "mendeley" : { "previouslyFormattedCitation" : "[9]"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[9]</w:t>
            </w:r>
            <w:r>
              <w:rPr>
                <w:sz w:val="14"/>
                <w:szCs w:val="14"/>
                <w:lang w:val="en-US"/>
              </w:rPr>
              <w:fldChar w:fldCharType="end"/>
            </w: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rPr>
            </w:pPr>
            <w:r w:rsidRPr="005C61CC">
              <w:rPr>
                <w:rFonts w:ascii="Courier New" w:hAnsi="Courier New" w:cs="Courier New"/>
                <w:sz w:val="14"/>
                <w:szCs w:val="14"/>
              </w:rPr>
              <w:t>19</w:t>
            </w:r>
          </w:p>
        </w:tc>
        <w:tc>
          <w:tcPr>
            <w:tcW w:w="9151" w:type="dxa"/>
            <w:shd w:val="clear" w:color="auto" w:fill="auto"/>
          </w:tcPr>
          <w:p w:rsidR="00054298" w:rsidRPr="005C61CC" w:rsidRDefault="00054298" w:rsidP="00AD18C4">
            <w:pPr>
              <w:spacing w:after="0" w:line="240" w:lineRule="auto"/>
              <w:ind w:left="-29" w:right="-108"/>
              <w:rPr>
                <w:rFonts w:ascii="Courier New" w:hAnsi="Courier New" w:cs="Courier New"/>
                <w:sz w:val="14"/>
                <w:szCs w:val="14"/>
              </w:rPr>
            </w:pPr>
            <w:proofErr w:type="spellStart"/>
            <w:r w:rsidRPr="005C61CC">
              <w:rPr>
                <w:rFonts w:ascii="Courier New" w:hAnsi="Courier New" w:cs="Courier New"/>
                <w:sz w:val="14"/>
                <w:szCs w:val="14"/>
              </w:rPr>
              <w:t>ccacatgtctgcccaaaactagccaaagattacgtgaccgc</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ggtccctctTGTCCCctgtctcggt</w:t>
            </w:r>
            <w:proofErr w:type="spellEnd"/>
            <w:r w:rsidRPr="005C61CC">
              <w:rPr>
                <w:rFonts w:ascii="Courier New" w:hAnsi="Courier New" w:cs="Courier New"/>
                <w:sz w:val="14"/>
                <w:szCs w:val="14"/>
              </w:rPr>
              <w:t xml:space="preserve"> </w:t>
            </w:r>
            <w:proofErr w:type="spellStart"/>
            <w:r w:rsidRPr="005C61CC">
              <w:rPr>
                <w:rFonts w:ascii="Courier New" w:hAnsi="Courier New" w:cs="Courier New"/>
                <w:sz w:val="14"/>
                <w:szCs w:val="14"/>
              </w:rPr>
              <w:t>ctaacgataacaaaccgagcccacttttatgtcgacgtgg</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5C61CC">
              <w:rPr>
                <w:sz w:val="14"/>
              </w:rPr>
              <w:t>AT2G23170 (GH3.3)</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-118</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-180</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"10.1186/1471-2229-12-125", "ISSN" : "1471-2229", "PMID" : "22852874", "abstract" : "BACKGROUND: In higher plants, a diverse array of developmental and growth-related processes is regulated by the plant hormone auxin. Recent publications have proposed that besides the well-characterized Auxin Response Factors (ARFs) that bind Auxin Response Elements (AuxREs), also members of the bZIP- and MYB-transcription factor (TF) families participate in transcriptional control of auxin-regulated genes via bZIP Response Elements (ZREs) or Myb Response Elements (MREs), respectively. RESULTS: Applying a novel bioinformatic algorithm, we demonstrate on a genome-wide scale that singular motifs or composite modules of AuxREs, ZREs, MREs but also of MYC2 related elements are significantly enriched in promoters of auxin-inducible genes. Despite considerable, species-specific differences in the genome structure in terms of the GC content, this enrichment is generally conserved in dicot (Arabidopsis thaliana) and monocot (Oryza sativa) model plants. Moreover, an enrichment of defined composite modules has been observed in selected auxin-related gene families. Consistently, a bipartite module, which encompasses a bZIP-associated G-box Related Element (GRE) and an AuxRE motif, has been found to be highly enriched. Making use of transient reporter studies in protoplasts, these findings were experimentally confirmed, demonstrating that GREs functionally interact with AuxREs in regulating auxin-mediated transcription. CONCLUSIONS: Using genome-wide bioinformatic analyses, evolutionary conserved motifs have been defined which potentially function as AuxRE-dependent coupling elements to establish auxin-specific expression patterns. Based on these findings, experimental approaches can be designed to broaden our understanding of combinatorial, auxin-controlled gene regulation.", "author" : [ { "dropping-particle" : "", "family" : "Berendzen", "given" : "Kenneth W", "non-dropping-particle" : "", "parse-names" : false, "suffix" : "" }, { "dropping-particle" : "", "family" : "Weiste", "given" : "Christoph", "non-dropping-particle" : "", "parse-names" : false, "suffix" : "" }, { "dropping-particle" : "", "family" : "Wanke", "given" : "Dierk", "non-dropping-particle" : "", "parse-names" : false, "suffix" : "" }, { "dropping-particle" : "", "family" : "Kilian", "given" : "Joachim", "non-dropping-particle" : "", "parse-names" : false, "suffix" : "" }, { "dropping-particle" : "", "family" : "Harter", "given" : "Klaus", "non-dropping-particle" : "", "parse-names" : false, "suffix" : "" }, { "dropping-particle" : "", "family" : "Dr\u00f6ge-Laser", "given" : "Wolfgang", "non-dropping-particle" : "", "parse-names" : false, "suffix" : "" } ], "container-title" : "BMC plant biology", "id" : "ITEM-1", "issued" : { "date-parts" : [ [ "2012", "1" ] ] }, "page" : "125", "title" : "Bioinformatic cis-element analyses performed in Arabidopsis and rice disclose bZIP- and MYB-related binding sites as potential AuxRE-coupling elements in auxin-mediated transcription.", "type" : "article-journal", "volume" : "12" }, "uris" : [ "http://www.mendeley.com/documents/?uuid=0fd3f4de-0f69-4f6a-91fb-b0749239203c" ] } ], "mendeley" : { "previouslyFormattedCitation" : "[12]"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[12]</w:t>
            </w:r>
            <w:r>
              <w:rPr>
                <w:sz w:val="14"/>
                <w:szCs w:val="14"/>
                <w:lang w:val="en-US"/>
              </w:rPr>
              <w:fldChar w:fldCharType="end"/>
            </w:r>
          </w:p>
        </w:tc>
      </w:tr>
      <w:tr w:rsidR="00054298" w:rsidRPr="00E33874" w:rsidTr="00E33874">
        <w:tc>
          <w:tcPr>
            <w:tcW w:w="342" w:type="dxa"/>
            <w:shd w:val="clear" w:color="auto" w:fill="auto"/>
          </w:tcPr>
          <w:p w:rsidR="00054298" w:rsidRPr="00E33874" w:rsidRDefault="00054298" w:rsidP="00AD18C4">
            <w:pPr>
              <w:spacing w:after="0" w:line="240" w:lineRule="auto"/>
              <w:ind w:left="-113" w:right="-108" w:firstLine="23"/>
              <w:jc w:val="center"/>
              <w:rPr>
                <w:rFonts w:ascii="Courier New" w:hAnsi="Courier New" w:cs="Courier New"/>
                <w:sz w:val="14"/>
                <w:szCs w:val="14"/>
                <w:lang w:val="en-US"/>
              </w:rPr>
            </w:pPr>
            <w:r w:rsidRPr="00E33874">
              <w:rPr>
                <w:rFonts w:ascii="Courier New" w:hAnsi="Courier New" w:cs="Courier New"/>
                <w:sz w:val="14"/>
                <w:szCs w:val="14"/>
                <w:lang w:val="en-US"/>
              </w:rPr>
              <w:t>20</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gtgtaaattaattgtaatctatgttgcatccgatgctagct</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atataatgtTGTCTGtagaatcaag</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tttctaaaatgttcaaaaggaaaagttagaaaaatatcta</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E33874">
              <w:rPr>
                <w:sz w:val="14"/>
                <w:lang w:val="en-US"/>
              </w:rPr>
              <w:t>AT5G13790 (AGL15)</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-1143</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-1185</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"10.1111/j.1365-313X.2004.02320.x", "ISSN" : "0960-7412", "PMID" : "15686521", "abstract" : "AGL15 is an Arabidopsis thaliana MADS-domain regulatory factor that not only preferentially accumulates during embryogenesis but is also expressed at lower levels after the completion of germination. To better understand the control of expression of AGL15, a series of 5' and internal deletions within the regulatory regions of AGL15 was generated. Regions important for the level of expression, including a region involved in expression in response to auxin, were identified. Additionally, AGL15 expression was found to respond to AGL15 accumulation amounts and to altered forms of AGL15. This feedback loop is at least in part due to direct regulation, as assessed by in vivo and in vitro binding of AGL15 to its own regulatory regions and by site-directed mutagenesis studies.", "author" : [ { "dropping-particle" : "", "family" : "Zhu", "given" : "Cong", "non-dropping-particle" : "", "parse-names" : false, "suffix" : "" }, { "dropping-particle" : "", "family" : "Perry", "given" : "Sharyn E", "non-dropping-particle" : "", "parse-names" : false, "suffix" : "" } ], "container-title" : "The Plant journal", "id" : "ITEM-1", "issue" : "4", "issued" : { "date-parts" : [ [ "2005", "2" ] ] }, "page" : "583-594", "title" : "Control of expression and autoregulation of AGL15, a member of the MADS-box family.", "type" : "article-journal", "volume" : "41" }, "uris" : [ "http://www.mendeley.com/documents/?uuid=5878b635-7870-49e9-931e-aa25afe663f0" ] } ], "mendeley" : { "previouslyFormattedCitation" : "[13]"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[13]</w:t>
            </w:r>
            <w:r>
              <w:rPr>
                <w:sz w:val="14"/>
                <w:szCs w:val="14"/>
                <w:lang w:val="en-US"/>
              </w:rPr>
              <w:fldChar w:fldCharType="end"/>
            </w: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21</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ctatatatacacatgtgtatgcattatcaaatgggatgttt</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gtgacctttTGTCTCttcttctcta</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aaattctctttctcccaaaaactaaaaaaccaaaaaaacc</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E33874">
              <w:rPr>
                <w:sz w:val="14"/>
                <w:lang w:val="en-US"/>
              </w:rPr>
              <w:t>AT3G25710 (TMO5)</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+22</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-59</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5C61CC">
              <w:rPr>
                <w:sz w:val="14"/>
                <w:szCs w:val="14"/>
                <w:lang w:val="en-US"/>
              </w:rPr>
              <w:t>+</w:t>
            </w:r>
          </w:p>
        </w:tc>
        <w:tc>
          <w:tcPr>
            <w:tcW w:w="850" w:type="dxa"/>
            <w:vMerge w:val="restart"/>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"10.1038/nature08836", "ISSN" : "1476-4687", "PMID" : "20220754", "abstract" : "Acquisition of cell identity in plants relies strongly on positional information, hence cell-cell communication and inductive signalling are instrumental for developmental patterning. During Arabidopsis embryogenesis, an extra-embryonic cell is specified to become the founder cell of the primary root meristem, hypophysis, in response to signals from adjacent embryonic cells. The auxin-dependent transcription factor MONOPTEROS (MP) drives hypophysis specification by promoting transport of the hormone auxin from the embryo to the hypophysis precursor. However, auxin accumulation is not sufficient for hypophysis specification, indicating that additional MP-dependent signals are required. Here we describe the microarray-based isolation of MP target genes that mediate signalling from embryo to hypophysis. Of three direct transcriptional target genes, TARGET OF MP 5 (TMO5) and TMO7 encode basic helix-loop-helix (bHLH) transcription factors that are expressed in the hypophysis-adjacent embryo cells, and are required and partially sufficient for MP-dependent root initiation. Importantly, the small TMO7 transcription factor moves from its site of synthesis in the embryo to the hypophysis precursor, thus representing a novel MP-dependent intercellular signal in embryonic root specification.", "author" : [ { "dropping-particle" : "", "family" : "Schlereth", "given" : "Alexandra", "non-dropping-particle" : "", "parse-names" : false, "suffix" : "" }, { "dropping-particle" : "", "family" : "M\u00f6ller", "given" : "Barbara", "non-dropping-particle" : "", "parse-names" : false, "suffix" : "" }, { "dropping-particle" : "", "family" : "Liu", "given" : "Weilin", "non-dropping-particle" : "", "parse-names" : false, "suffix" : "" }, { "dropping-particle" : "", "family" : "Kientz", "given" : "Marika", "non-dropping-particle" : "", "parse-names" : false, "suffix" : "" }, { "dropping-particle" : "", "family" : "Flipse", "given" : "Jacky", "non-dropping-particle" : "", "parse-names" : false, "suffix" : "" }, { "dropping-particle" : "", "family" : "Rademacher", "given" : "Eike H", "non-dropping-particle" : "", "parse-names" : false, "suffix" : "" }, { "dropping-particle" : "", "family" : "Schmid", "given" : "Markus", "non-dropping-particle" : "", "parse-names" : false, "suffix" : "" }, { "dropping-particle" : "", "family" : "J\u00fcrgens", "given" : "Gerd", "non-dropping-particle" : "", "parse-names" : false, "suffix" : "" }, { "dropping-particle" : "", "family" : "Weijers", "given" : "Dolf", "non-dropping-particle" : "", "parse-names" : false, "suffix" : "" }, { "dropping-particle" : "", "family" : "Mo", "given" : "Barbara", "non-dropping-particle" : "", "parse-names" : false, "suffix" : "" }, { "dropping-particle" : "", "family" : "Ju", "given" : "Gerd", "non-dropping-particle" : "", "parse-names" : false, "suffix" : "" } ], "container-title" : "Nature", "id" : "ITEM-1", "issue" : "7290", "issued" : { "date-parts" : [ [ "2010", "4", "8" ] ] }, "page" : "913-916", "title" : "MONOPTEROS controls embryonic root initiation by regulating a mobile transcription factor.", "type" : "article-journal", "volume" : "464" }, "uris" : [ "http://www.mendeley.com/documents/?uuid=b776a1e1-cf65-4eb0-ab9b-1551ed94bd94" ] } ], "mendeley" : { "previouslyFormattedCitation" : "[14]"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[14]</w:t>
            </w:r>
            <w:r>
              <w:rPr>
                <w:sz w:val="14"/>
                <w:szCs w:val="14"/>
                <w:lang w:val="en-US"/>
              </w:rPr>
              <w:fldChar w:fldCharType="end"/>
            </w: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22</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cctaaactccataacctgtttcaccgataaagtgcctttgc</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ttctatctcTGTCACtcttactact</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tgttgaacaatattctacaaaaaaatgtcgggaagaagat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E33874">
              <w:rPr>
                <w:sz w:val="14"/>
                <w:lang w:val="en-US"/>
              </w:rPr>
              <w:t>AT1G74500 (TMO7)</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+116</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-37</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vMerge/>
            <w:shd w:val="clear" w:color="auto" w:fill="auto"/>
            <w:vAlign w:val="center"/>
          </w:tcPr>
          <w:p w:rsidR="00054298" w:rsidRPr="005C61CC" w:rsidRDefault="00054298" w:rsidP="00AD18C4">
            <w:pPr>
              <w:spacing w:after="0" w:line="240" w:lineRule="auto"/>
              <w:ind w:right="-108"/>
              <w:rPr>
                <w:sz w:val="14"/>
                <w:szCs w:val="14"/>
                <w:lang w:val="en-US"/>
              </w:rPr>
            </w:pP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23</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caccgttcccggatattactaaccttgaagtggcttgttcc</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ccggagcacTGTCTCttccctgtca</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atttctataaaaataacaataatcttccttttttcttgtt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E33874">
              <w:rPr>
                <w:sz w:val="14"/>
                <w:lang w:val="en-US"/>
              </w:rPr>
              <w:t>AT5G19040 (IPT5)</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-141</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-174</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"10.1104/pp.112.203166", "ISSN" : "1532-2548", "PMID" : "23124326", "abstract" : "De novo organ regeneration is an excellent biological system for the study of fundamental questions regarding stem cell initiation, cell fate determination, and hormone signaling. Despite the general belief that auxin and cytokinin responses interact to regulate de novo organ regeneration, the molecular mechanisms underlying such a cross talk are little understood. Here, we show that spatiotemporal biosynthesis and polar transport resulted in local auxin distribution in Arabidopsis (Arabidopsis thaliana), which in turn determined the cytokinin response during de novo shoot regeneration. Genetic and pharmacological interference of auxin distribution disrupted the cytokinin response and ATP/ADP ISOPENTENYLTRANSFERASE5 (AtIPT5) expression, affecting stem cell initiation and meristem formation. Transcriptomic data suggested that AUXIN RESPONSE FACTOR3 (ARF3) mediated the auxin response during de novo organ regeneration. Indeed, mutations in ARF3 caused ectopic cytokinin biosynthesis via the misexpression of AtIPT5, and this disrupted organ regeneration. We further showed that ARF3 directly bound to the promoter of AtIPT5 and negatively regulated AtIPT5 expression. The results from this study thus revealed an auxin-cytokinin cross talk mechanism involving distinct intermediate signaling components required for de novo stem cell initiation and shed new light on the mechanisms of organogenesis in planta.", "author" : [ { "dropping-particle" : "", "family" : "Cheng", "given" : "Zhi Juan", "non-dropping-particle" : "", "parse-names" : false, "suffix" : "" }, { "dropping-particle" : "", "family" : "Wang", "given" : "Liang", "non-dropping-particle" : "", "parse-names" : false, "suffix" : "" }, { "dropping-particle" : "", "family" : "Sun", "given" : "Wei", "non-dropping-particle" : "", "parse-names" : false, "suffix" : "" }, { "dropping-particle" : "", "family" : "Zhang", "given" : "Yan", "non-dropping-particle" : "", "parse-names" : false, "suffix" : "" }, { "dropping-particle" : "", "family" : "Zhou", "given" : "Chao", "non-dropping-particle" : "", "parse-names" : false, "suffix" : "" }, { "dropping-particle" : "", "family" : "Su", "given" : "Ying Hua", "non-dropping-particle" : "", "parse-names" : false, "suffix" : "" }, { "dropping-particle" : "", "family" : "Li", "given" : "Wei", "non-dropping-particle" : "", "parse-names" : false, "suffix" : "" }, { "dropping-particle" : "", "family" : "Sun", "given" : "Tian Tian", "non-dropping-particle" : "", "parse-names" : false, "suffix" : "" }, { "dropping-particle" : "", "family" : "Zhao", "given" : "Xiang Yu", "non-dropping-particle" : "", "parse-names" : false, "suffix" : "" }, { "dropping-particle" : "", "family" : "Li", "given" : "Xing Guo", "non-dropping-particle" : "", "parse-names" : false, "suffix" : "" }, { "dropping-particle" : "", "family" : "Cheng", "given" : "Youfa", "non-dropping-particle" : "", "parse-names" : false, "suffix" : "" }, { "dropping-particle" : "", "family" : "Zhao", "given" : "Yunde", "non-dropping-particle" : "", "parse-names" : false, "suffix" : "" }, { "dropping-particle" : "", "family" : "Xie", "given" : "Qi", "non-dropping-particle" : "", "parse-names" : false, "suffix" : "" }, { "dropping-particle" : "", "family" : "Zhang", "given" : "Xian Sheng", "non-dropping-particle" : "", "parse-names" : false, "suffix" : "" } ], "container-title" : "Plant physiology", "id" : "ITEM-1", "issue" : "1", "issued" : { "date-parts" : [ [ "2013", "1" ] ] }, "page" : "240-251", "title" : "Pattern of auxin and cytokinin responses for shoot meristem induction results from the regulation of cytokinin biosynthesis by AUXIN RESPONSE FACTOR3.", "type" : "article-journal", "volume" : "161" }, "uris" : [ "http://www.mendeley.com/documents/?uuid=2f4cb3a3-3400-4c80-b6a3-a2042c3dfecc" ] } ], "mendeley" : { "previouslyFormattedCitation" : "[15]"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[15]</w:t>
            </w:r>
            <w:r>
              <w:rPr>
                <w:sz w:val="14"/>
                <w:szCs w:val="14"/>
                <w:lang w:val="en-US"/>
              </w:rPr>
              <w:fldChar w:fldCharType="end"/>
            </w:r>
          </w:p>
        </w:tc>
      </w:tr>
      <w:tr w:rsidR="00054298" w:rsidRPr="00E33874" w:rsidTr="00E33874">
        <w:tc>
          <w:tcPr>
            <w:tcW w:w="342" w:type="dxa"/>
            <w:shd w:val="clear" w:color="auto" w:fill="auto"/>
          </w:tcPr>
          <w:p w:rsidR="00054298" w:rsidRPr="00E33874" w:rsidRDefault="00054298" w:rsidP="00AD18C4">
            <w:pPr>
              <w:spacing w:after="0" w:line="240" w:lineRule="auto"/>
              <w:ind w:left="-113" w:right="-108" w:firstLine="23"/>
              <w:jc w:val="center"/>
              <w:rPr>
                <w:rFonts w:ascii="Courier New" w:hAnsi="Courier New" w:cs="Courier New"/>
                <w:sz w:val="14"/>
                <w:szCs w:val="14"/>
                <w:lang w:val="en-US"/>
              </w:rPr>
            </w:pPr>
            <w:r w:rsidRPr="00E33874">
              <w:rPr>
                <w:rFonts w:ascii="Courier New" w:hAnsi="Courier New" w:cs="Courier New"/>
                <w:sz w:val="14"/>
                <w:szCs w:val="14"/>
                <w:lang w:val="en-US"/>
              </w:rPr>
              <w:t>24</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actctcacttgtatctgaaagaaaaactaaaaataaagtgg</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aggagagatTGTCTCtatagctttt</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tgcaaaagagaaacaaaaaaaaaaacgaacgtacgtgtga</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r w:rsidRPr="00E33874">
              <w:rPr>
                <w:sz w:val="14"/>
                <w:lang w:val="en-US"/>
              </w:rPr>
              <w:t>AT4G39400 (BRI1)</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-981</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-1147</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"10.4161/psb.23509", "ISSN" : "1559-2324", "PMID" : "23333983", "abstract" : "Auxins and brassinosteroids are essential phytohormones that synergistically regulate physiological and developmental processes in plants. Previously, we demonstrated that auxins stimulate brassinosteroid perception by regulating the level of brassinosteroid receptor in rice. Here we showed that auxin treatment increased expression of the Arabidopsis brassinosteroid receptor gene BRI1. The promoter of BRI1 has an auxin-response element that is targeted by auxin-response factor transcription factors. Auxin pretreatment increased the sensitivity to brassinosteroids of brassinosteroid-responsive genes. Although multilevel interactions between auxins and brassinosteroids have previously been reported, our findings suggest a possibility that auxins control the degree of brassinosteroid perception by regulating the expression of gene for brassinosteroid receptor, and this phenomenon is conserved between monocots (rice) and dicots (Arabidopsis).", "author" : [ { "dropping-particle" : "", "family" : "Sakamoto", "given" : "Tomoaki", "non-dropping-particle" : "", "parse-names" : false, "suffix" : "" }, { "dropping-particle" : "", "family" : "Fujioka", "given" : "Shozo", "non-dropping-particle" : "", "parse-names" : false, "suffix" : "" } ], "container-title" : "Plant signaling &amp; behavior", "id" : "ITEM-1", "issue" : "4", "issued" : { "date-parts" : [ [ "2013", "4" ] ] }, "page" : "e23509", "title" : "Auxins increase expression of the brassinosteroid receptor and brassinosteroid-responsive genes in Arabidopsis.", "type" : "article-journal", "volume" : "8" }, "uris" : [ "http://www.mendeley.com/documents/?uuid=703f89c0-2d21-4fcb-a536-11eb0a1a14c5" ] } ], "mendeley" : { "previouslyFormattedCitation" : "[16]"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[16]</w:t>
            </w:r>
            <w:r>
              <w:rPr>
                <w:sz w:val="14"/>
                <w:szCs w:val="14"/>
                <w:lang w:val="en-US"/>
              </w:rPr>
              <w:fldChar w:fldCharType="end"/>
            </w:r>
          </w:p>
        </w:tc>
      </w:tr>
      <w:tr w:rsidR="00054298" w:rsidRPr="00E33874" w:rsidTr="00E33874">
        <w:tc>
          <w:tcPr>
            <w:tcW w:w="342" w:type="dxa"/>
            <w:shd w:val="clear" w:color="auto" w:fill="auto"/>
          </w:tcPr>
          <w:p w:rsidR="00054298" w:rsidRPr="005C61CC" w:rsidRDefault="00054298" w:rsidP="00AD18C4">
            <w:pPr>
              <w:spacing w:after="0" w:line="240" w:lineRule="auto"/>
              <w:ind w:left="-113" w:right="-108" w:firstLine="23"/>
              <w:jc w:val="center"/>
              <w:rPr>
                <w:rFonts w:ascii="Courier New" w:hAnsi="Courier New" w:cs="Courier New"/>
                <w:sz w:val="14"/>
                <w:szCs w:val="14"/>
                <w:lang w:val="en-US"/>
              </w:rPr>
            </w:pPr>
            <w:r w:rsidRPr="005C61CC">
              <w:rPr>
                <w:rFonts w:ascii="Courier New" w:hAnsi="Courier New" w:cs="Courier New"/>
                <w:sz w:val="14"/>
                <w:szCs w:val="14"/>
                <w:lang w:val="en-US"/>
              </w:rPr>
              <w:t>25</w:t>
            </w:r>
          </w:p>
        </w:tc>
        <w:tc>
          <w:tcPr>
            <w:tcW w:w="9151" w:type="dxa"/>
            <w:shd w:val="clear" w:color="auto" w:fill="auto"/>
          </w:tcPr>
          <w:p w:rsidR="00054298" w:rsidRPr="00E33874" w:rsidRDefault="00054298" w:rsidP="00AD18C4">
            <w:pPr>
              <w:spacing w:after="0" w:line="240" w:lineRule="auto"/>
              <w:ind w:left="-29" w:right="-108"/>
              <w:rPr>
                <w:rFonts w:ascii="Courier New" w:hAnsi="Courier New" w:cs="Courier New"/>
                <w:sz w:val="14"/>
                <w:szCs w:val="14"/>
                <w:lang w:val="en-US"/>
              </w:rPr>
            </w:pPr>
            <w:proofErr w:type="spellStart"/>
            <w:r w:rsidRPr="00E33874">
              <w:rPr>
                <w:rFonts w:ascii="Courier New" w:hAnsi="Courier New" w:cs="Courier New"/>
                <w:sz w:val="14"/>
                <w:szCs w:val="14"/>
                <w:lang w:val="en-US"/>
              </w:rPr>
              <w:t>agacaacatagctatagtttcatagactttcttcaaacaag</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agaacctcgTGTCCCacacttaact</w:t>
            </w:r>
            <w:proofErr w:type="spellEnd"/>
            <w:r w:rsidRPr="00E33874">
              <w:rPr>
                <w:rFonts w:ascii="Courier New" w:hAnsi="Courier New" w:cs="Courier New"/>
                <w:sz w:val="14"/>
                <w:szCs w:val="14"/>
                <w:lang w:val="en-US"/>
              </w:rPr>
              <w:t xml:space="preserve"> </w:t>
            </w:r>
            <w:proofErr w:type="spellStart"/>
            <w:r w:rsidRPr="00E33874">
              <w:rPr>
                <w:rFonts w:ascii="Courier New" w:hAnsi="Courier New" w:cs="Courier New"/>
                <w:sz w:val="14"/>
                <w:szCs w:val="14"/>
                <w:lang w:val="en-US"/>
              </w:rPr>
              <w:t>acacttaactacctgtttgttttaaaaagttaaaatgact</w:t>
            </w:r>
            <w:proofErr w:type="spellEnd"/>
          </w:p>
        </w:tc>
        <w:tc>
          <w:tcPr>
            <w:tcW w:w="1984" w:type="dxa"/>
            <w:shd w:val="clear" w:color="auto" w:fill="auto"/>
          </w:tcPr>
          <w:p w:rsidR="00054298" w:rsidRPr="005C61CC" w:rsidRDefault="00054298" w:rsidP="00AD18C4">
            <w:pPr>
              <w:spacing w:after="0" w:line="240" w:lineRule="auto"/>
              <w:ind w:right="-108"/>
              <w:rPr>
                <w:sz w:val="14"/>
                <w:szCs w:val="14"/>
                <w:lang w:val="en-US"/>
              </w:rPr>
            </w:pPr>
            <w:proofErr w:type="spellStart"/>
            <w:r w:rsidRPr="00E33874">
              <w:rPr>
                <w:i/>
                <w:sz w:val="14"/>
                <w:lang w:val="en-US"/>
              </w:rPr>
              <w:t>Withania_somnifera</w:t>
            </w:r>
            <w:proofErr w:type="spellEnd"/>
            <w:r w:rsidRPr="00E33874">
              <w:rPr>
                <w:sz w:val="14"/>
                <w:lang w:val="en-US"/>
              </w:rPr>
              <w:t>, FM956482 (a206)</w:t>
            </w:r>
          </w:p>
        </w:tc>
        <w:tc>
          <w:tcPr>
            <w:tcW w:w="567"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+1195</w:t>
            </w:r>
          </w:p>
        </w:tc>
        <w:tc>
          <w:tcPr>
            <w:tcW w:w="426"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+876</w:t>
            </w:r>
          </w:p>
        </w:tc>
        <w:tc>
          <w:tcPr>
            <w:tcW w:w="283" w:type="dxa"/>
            <w:shd w:val="clear" w:color="auto" w:fill="auto"/>
          </w:tcPr>
          <w:p w:rsidR="00054298" w:rsidRPr="005C61CC" w:rsidRDefault="00054298" w:rsidP="00AD18C4">
            <w:pPr>
              <w:spacing w:after="0" w:line="240" w:lineRule="auto"/>
              <w:ind w:right="-108"/>
              <w:rPr>
                <w:sz w:val="14"/>
                <w:szCs w:val="14"/>
                <w:lang w:val="en-US"/>
              </w:rPr>
            </w:pPr>
            <w:r w:rsidRPr="00E33874">
              <w:rPr>
                <w:sz w:val="14"/>
                <w:szCs w:val="14"/>
                <w:lang w:val="en-US"/>
              </w:rPr>
              <w:t xml:space="preserve"> +</w:t>
            </w:r>
          </w:p>
        </w:tc>
        <w:tc>
          <w:tcPr>
            <w:tcW w:w="850" w:type="dxa"/>
            <w:shd w:val="clear" w:color="auto" w:fill="auto"/>
            <w:vAlign w:val="center"/>
          </w:tcPr>
          <w:p w:rsidR="00054298" w:rsidRPr="005C61CC" w:rsidRDefault="00E33874" w:rsidP="00AD18C4">
            <w:pPr>
              <w:spacing w:after="0" w:line="240" w:lineRule="auto"/>
              <w:ind w:right="-108"/>
              <w:rPr>
                <w:sz w:val="14"/>
                <w:szCs w:val="14"/>
                <w:lang w:val="en-US"/>
              </w:rPr>
            </w:pPr>
            <w:r>
              <w:rPr>
                <w:sz w:val="14"/>
                <w:szCs w:val="14"/>
                <w:lang w:val="en-US"/>
              </w:rPr>
              <w:fldChar w:fldCharType="begin" w:fldLock="1"/>
            </w:r>
            <w:r>
              <w:rPr>
                <w:sz w:val="14"/>
                <w:szCs w:val="14"/>
                <w:lang w:val="en-US"/>
              </w:rPr>
              <w:instrText>ADDIN CSL_CITATION { "citationItems" : [ { "id" : "ITEM-1", "itemData" : { "DOI" : "10.1371/journal.pone.0042781", "ISSN" : "1932-6203", "PMID" : "22900049", "abstract" : "Expression divergence is thought to be a hallmark of functional diversification between homologs post duplication. Modification in regulatory elements has been invoked to explain expression divergence after duplication for several MADS-box genes, however, verification of reciprocal loss of cis-regulatory elements is lacking in plants. Here, we report that the evolution of MPF2-like genes has entailed degenerative mutations in a core promoter CArG-box and an auxin response factor (ARF) binding element in the large 1(st) intron in the coding region. Previously, MPF2-like genes were duplicated into MPF2-like-A and -B through genome duplication in Withania and Tubocapsicum (Withaninae). The calyx of Withania grows exorbitantly after pollination unlike Tubocapsicum, where it degenerates. Besides inflated calyx syndrome formation, MPF2-like transcription factors are implicated in functions both during the vegetative and reproductive development as well as in phase transition. MPF2-like-A of Withania (WSA206) is strongly expressed in sepals, while MPF2-like-B (WSB206) is not. Interestingly, their combined expression patterns seem to replicate the pattern of their closely related hypothetical progenitors from Vassobia and Physalis. Using phylogenetic shadowing, site-directed mutagenesis and motif swapping, we could show that the loss of a conserved CArG-box in MPF2-like-B of Withania is responsible for impeding its expression in sepals. Conversely, loss of an ARE in MPF2-like-A relaxed the constraint on expression in sepals. Thus, the ARE is an active suppressor of MPF2-like gene expression in sepals, which in contrast is activated via the CArG-box. The observed expression divergence in MPF2-like genes due to reciprocal loss of cis-regulatory elements has added to genetic and phenotypic variations in the Withaninae and enhanced the potential of natural selection for the adaptive evolution of ICS. Moreover, these results provide insight into the interplay of floral developmental and hormonal pathways during ICS development and add to the understanding of the importance of polyploidy in plants.", "author" : [ { "dropping-particle" : "", "family" : "Khan", "given" : "Muhammad Ramzan", "non-dropping-particle" : "", "parse-names" : false, "suffix" : "" }, { "dropping-particle" : "", "family" : "Hu", "given" : "Jinyong", "non-dropping-particle" : "", "parse-names" : false, "suffix" : "" }, { "dropping-particle" : "", "family" : "Ali", "given" : "Ghulam Muhammad", "non-dropping-particle" : "", "parse-names" : false, "suffix" : "" } ], "container-title" : "PloS one", "id" : "ITEM-1", "issue" : "8", "issued" : { "date-parts" : [ [ "2012", "1" ] ] }, "page" : "e42781", "title" : "Reciprocal loss of CArG-boxes and auxin response elements drives expression divergence of MPF2-Like MADS-box genes controlling calyx inflation.", "type" : "article-journal", "volume" : "7" }, "uris" : [ "http://www.mendeley.com/documents/?uuid=e2cc72c9-0aa0-4663-962d-d442bbb65e78" ] } ], "mendeley" : { "previouslyFormattedCitation" : "[17]" }, "properties" : { "noteIndex" : 0 }, "schema" : "https://github.com/citation-style-language/schema/raw/master/csl-citation.json" }</w:instrText>
            </w:r>
            <w:r>
              <w:rPr>
                <w:sz w:val="14"/>
                <w:szCs w:val="14"/>
                <w:lang w:val="en-US"/>
              </w:rPr>
              <w:fldChar w:fldCharType="separate"/>
            </w:r>
            <w:r w:rsidRPr="00E33874">
              <w:rPr>
                <w:noProof/>
                <w:sz w:val="14"/>
                <w:szCs w:val="14"/>
                <w:lang w:val="en-US"/>
              </w:rPr>
              <w:t>[17]</w:t>
            </w:r>
            <w:r>
              <w:rPr>
                <w:sz w:val="14"/>
                <w:szCs w:val="14"/>
                <w:lang w:val="en-US"/>
              </w:rPr>
              <w:fldChar w:fldCharType="end"/>
            </w:r>
          </w:p>
        </w:tc>
      </w:tr>
    </w:tbl>
    <w:p w:rsidR="00054298" w:rsidRPr="006A2725" w:rsidRDefault="00054298" w:rsidP="00054298">
      <w:pPr>
        <w:spacing w:after="0" w:line="240" w:lineRule="auto"/>
        <w:rPr>
          <w:sz w:val="14"/>
          <w:szCs w:val="14"/>
          <w:lang w:val="en-US"/>
        </w:rPr>
      </w:pPr>
      <w:r w:rsidRPr="006A2725">
        <w:rPr>
          <w:sz w:val="14"/>
          <w:szCs w:val="14"/>
          <w:lang w:val="en-US"/>
        </w:rPr>
        <w:t xml:space="preserve">* </w:t>
      </w:r>
      <w:r>
        <w:rPr>
          <w:sz w:val="14"/>
          <w:szCs w:val="14"/>
          <w:lang w:val="en-US"/>
        </w:rPr>
        <w:t xml:space="preserve">    </w:t>
      </w:r>
      <w:proofErr w:type="gramStart"/>
      <w:r>
        <w:rPr>
          <w:sz w:val="14"/>
          <w:szCs w:val="14"/>
          <w:lang w:val="en-US"/>
        </w:rPr>
        <w:t>t</w:t>
      </w:r>
      <w:r w:rsidRPr="006A2725">
        <w:rPr>
          <w:sz w:val="14"/>
          <w:szCs w:val="14"/>
          <w:lang w:val="en-US"/>
        </w:rPr>
        <w:t>he</w:t>
      </w:r>
      <w:proofErr w:type="gramEnd"/>
      <w:r w:rsidRPr="006A2725">
        <w:rPr>
          <w:sz w:val="14"/>
          <w:szCs w:val="14"/>
          <w:lang w:val="en-US"/>
        </w:rPr>
        <w:t xml:space="preserve"> blanks mark the central fragments of </w:t>
      </w:r>
      <w:proofErr w:type="spellStart"/>
      <w:r w:rsidRPr="006A2725">
        <w:rPr>
          <w:sz w:val="14"/>
          <w:szCs w:val="14"/>
          <w:lang w:val="en-US"/>
        </w:rPr>
        <w:t>AuxRE</w:t>
      </w:r>
      <w:proofErr w:type="spellEnd"/>
      <w:r w:rsidRPr="006A2725">
        <w:rPr>
          <w:sz w:val="14"/>
          <w:szCs w:val="14"/>
          <w:lang w:val="en-US"/>
        </w:rPr>
        <w:t xml:space="preserve"> 25nt in length, which we used to train </w:t>
      </w:r>
      <w:proofErr w:type="spellStart"/>
      <w:r w:rsidRPr="006A2725">
        <w:rPr>
          <w:sz w:val="14"/>
          <w:szCs w:val="14"/>
          <w:lang w:val="en-US"/>
        </w:rPr>
        <w:t>oPWM</w:t>
      </w:r>
      <w:proofErr w:type="spellEnd"/>
      <w:r w:rsidRPr="006A2725">
        <w:rPr>
          <w:sz w:val="14"/>
          <w:szCs w:val="14"/>
          <w:lang w:val="en-US"/>
        </w:rPr>
        <w:t xml:space="preserve"> &amp; </w:t>
      </w:r>
      <w:proofErr w:type="spellStart"/>
      <w:r w:rsidRPr="006A2725">
        <w:rPr>
          <w:sz w:val="14"/>
          <w:szCs w:val="14"/>
          <w:lang w:val="en-US"/>
        </w:rPr>
        <w:t>SiteGA</w:t>
      </w:r>
      <w:proofErr w:type="spellEnd"/>
      <w:r w:rsidRPr="006A2725">
        <w:rPr>
          <w:sz w:val="14"/>
          <w:szCs w:val="14"/>
          <w:lang w:val="en-US"/>
        </w:rPr>
        <w:t xml:space="preserve"> recognition models; the caps letters denote the </w:t>
      </w:r>
      <w:proofErr w:type="spellStart"/>
      <w:r>
        <w:rPr>
          <w:sz w:val="14"/>
          <w:szCs w:val="14"/>
          <w:lang w:val="en-US"/>
        </w:rPr>
        <w:t>AuxRE</w:t>
      </w:r>
      <w:proofErr w:type="spellEnd"/>
      <w:r>
        <w:rPr>
          <w:sz w:val="14"/>
          <w:szCs w:val="14"/>
          <w:lang w:val="en-US"/>
        </w:rPr>
        <w:t xml:space="preserve"> core</w:t>
      </w:r>
      <w:r w:rsidRPr="006A2725">
        <w:rPr>
          <w:sz w:val="14"/>
          <w:szCs w:val="14"/>
          <w:lang w:val="en-US"/>
        </w:rPr>
        <w:t>;</w:t>
      </w:r>
    </w:p>
    <w:p w:rsidR="00054298" w:rsidRDefault="00054298" w:rsidP="00054298">
      <w:pPr>
        <w:spacing w:after="0" w:line="240" w:lineRule="auto"/>
        <w:rPr>
          <w:sz w:val="14"/>
          <w:szCs w:val="14"/>
          <w:lang w:val="en-US"/>
        </w:rPr>
      </w:pPr>
      <w:r>
        <w:rPr>
          <w:sz w:val="14"/>
          <w:szCs w:val="14"/>
          <w:lang w:val="en-US"/>
        </w:rPr>
        <w:t xml:space="preserve">** </w:t>
      </w:r>
      <w:r w:rsidRPr="006A2725">
        <w:rPr>
          <w:sz w:val="14"/>
          <w:szCs w:val="14"/>
          <w:lang w:val="en-US"/>
        </w:rPr>
        <w:t xml:space="preserve"> </w:t>
      </w:r>
      <w:r>
        <w:rPr>
          <w:sz w:val="14"/>
          <w:szCs w:val="14"/>
          <w:lang w:val="en-US"/>
        </w:rPr>
        <w:t xml:space="preserve"> </w:t>
      </w:r>
      <w:proofErr w:type="gramStart"/>
      <w:r>
        <w:rPr>
          <w:sz w:val="14"/>
          <w:szCs w:val="14"/>
          <w:lang w:val="en-US"/>
        </w:rPr>
        <w:t>g</w:t>
      </w:r>
      <w:r w:rsidRPr="006A2725">
        <w:rPr>
          <w:sz w:val="14"/>
          <w:szCs w:val="14"/>
          <w:lang w:val="en-US"/>
        </w:rPr>
        <w:t>ene</w:t>
      </w:r>
      <w:proofErr w:type="gramEnd"/>
      <w:r w:rsidRPr="006A2725">
        <w:rPr>
          <w:sz w:val="14"/>
          <w:szCs w:val="14"/>
          <w:lang w:val="en-US"/>
        </w:rPr>
        <w:t xml:space="preserve"> name (AGI for </w:t>
      </w:r>
      <w:proofErr w:type="spellStart"/>
      <w:r w:rsidRPr="006A2725">
        <w:rPr>
          <w:i/>
          <w:sz w:val="14"/>
          <w:szCs w:val="14"/>
          <w:lang w:val="en-US"/>
        </w:rPr>
        <w:t>A.thailana</w:t>
      </w:r>
      <w:proofErr w:type="spellEnd"/>
      <w:r w:rsidRPr="006A2725">
        <w:rPr>
          <w:i/>
          <w:sz w:val="14"/>
          <w:szCs w:val="14"/>
          <w:lang w:val="en-US"/>
        </w:rPr>
        <w:t xml:space="preserve">, </w:t>
      </w:r>
      <w:r w:rsidRPr="006A2725">
        <w:rPr>
          <w:sz w:val="14"/>
          <w:szCs w:val="14"/>
          <w:lang w:val="en-US"/>
        </w:rPr>
        <w:t xml:space="preserve">for other species the name and </w:t>
      </w:r>
      <w:r>
        <w:rPr>
          <w:sz w:val="14"/>
          <w:szCs w:val="14"/>
          <w:lang w:val="en-US"/>
        </w:rPr>
        <w:t>EMBL AC);</w:t>
      </w:r>
    </w:p>
    <w:p w:rsidR="00663608" w:rsidRDefault="00054298" w:rsidP="00054298">
      <w:pPr>
        <w:rPr>
          <w:sz w:val="14"/>
          <w:szCs w:val="14"/>
          <w:lang w:val="en-US"/>
        </w:rPr>
      </w:pPr>
      <w:r>
        <w:rPr>
          <w:sz w:val="14"/>
          <w:szCs w:val="14"/>
          <w:lang w:val="en-US"/>
        </w:rPr>
        <w:t xml:space="preserve">*** </w:t>
      </w:r>
      <w:r w:rsidRPr="006A2725">
        <w:rPr>
          <w:sz w:val="14"/>
          <w:szCs w:val="14"/>
          <w:lang w:val="en-US"/>
        </w:rPr>
        <w:t>positions relative to transcription start site (TSS) and coding region start site (CRS), direct (+) or reverse</w:t>
      </w:r>
      <w:r>
        <w:rPr>
          <w:sz w:val="14"/>
          <w:szCs w:val="14"/>
          <w:lang w:val="en-US"/>
        </w:rPr>
        <w:t xml:space="preserve"> (-)</w:t>
      </w:r>
      <w:r w:rsidRPr="006A2725">
        <w:rPr>
          <w:sz w:val="14"/>
          <w:szCs w:val="14"/>
          <w:lang w:val="en-US"/>
        </w:rPr>
        <w:t xml:space="preserve"> orientation</w:t>
      </w:r>
      <w:r>
        <w:rPr>
          <w:sz w:val="14"/>
          <w:szCs w:val="14"/>
          <w:lang w:val="en-US"/>
        </w:rPr>
        <w:t>s</w:t>
      </w:r>
      <w:r w:rsidRPr="006A2725">
        <w:rPr>
          <w:sz w:val="14"/>
          <w:szCs w:val="14"/>
          <w:lang w:val="en-US"/>
        </w:rPr>
        <w:t>; the absence of position relative to TSS denotes that only CRS position is known for a gene</w:t>
      </w:r>
      <w:r>
        <w:rPr>
          <w:sz w:val="14"/>
          <w:szCs w:val="14"/>
          <w:lang w:val="en-US"/>
        </w:rPr>
        <w:t>.</w:t>
      </w:r>
    </w:p>
    <w:p w:rsidR="00E33874" w:rsidRDefault="00E33874" w:rsidP="00054298">
      <w:pPr>
        <w:rPr>
          <w:b/>
          <w:lang w:val="en-US"/>
        </w:rPr>
      </w:pPr>
      <w:r w:rsidRPr="00E33874">
        <w:rPr>
          <w:b/>
          <w:lang w:val="en-US"/>
        </w:rPr>
        <w:t>References</w:t>
      </w:r>
    </w:p>
    <w:p w:rsidR="00E33874" w:rsidRPr="00E33874" w:rsidRDefault="00E33874">
      <w:pPr>
        <w:pStyle w:val="a3"/>
        <w:divId w:val="264850328"/>
        <w:rPr>
          <w:rFonts w:ascii="Calibri" w:hAnsi="Calibri"/>
          <w:noProof/>
          <w:sz w:val="22"/>
        </w:rPr>
      </w:pPr>
      <w:r>
        <w:rPr>
          <w:lang w:val="en-US"/>
        </w:rPr>
        <w:fldChar w:fldCharType="begin" w:fldLock="1"/>
      </w:r>
      <w:r>
        <w:rPr>
          <w:lang w:val="en-US"/>
        </w:rPr>
        <w:instrText xml:space="preserve">ADDIN Mendeley Bibliography CSL_BIBLIOGRAPHY </w:instrText>
      </w:r>
      <w:r>
        <w:rPr>
          <w:lang w:val="en-US"/>
        </w:rPr>
        <w:fldChar w:fldCharType="separate"/>
      </w:r>
      <w:r w:rsidRPr="00E33874">
        <w:rPr>
          <w:rFonts w:ascii="Calibri" w:hAnsi="Calibri"/>
          <w:noProof/>
          <w:sz w:val="22"/>
        </w:rPr>
        <w:t xml:space="preserve">1. Ballas N, Wong LM, Ke M, Theologis A: </w:t>
      </w:r>
      <w:r w:rsidRPr="00E33874">
        <w:rPr>
          <w:rFonts w:ascii="Calibri" w:hAnsi="Calibri"/>
          <w:b/>
          <w:bCs/>
          <w:noProof/>
          <w:sz w:val="22"/>
        </w:rPr>
        <w:t>Two auxin-responsive domains interact positively to induce expression of the early indoleacetic acid-inducible gene PS-IAA4/5.</w:t>
      </w:r>
      <w:r w:rsidRPr="00E33874">
        <w:rPr>
          <w:rFonts w:ascii="Calibri" w:hAnsi="Calibri"/>
          <w:noProof/>
          <w:sz w:val="22"/>
        </w:rPr>
        <w:t xml:space="preserve"> </w:t>
      </w:r>
      <w:r w:rsidRPr="00E33874">
        <w:rPr>
          <w:rFonts w:ascii="Calibri" w:hAnsi="Calibri"/>
          <w:i/>
          <w:iCs/>
          <w:noProof/>
          <w:sz w:val="22"/>
        </w:rPr>
        <w:t>Proc Natl Acad Sci</w:t>
      </w:r>
      <w:r w:rsidRPr="00E33874">
        <w:rPr>
          <w:rFonts w:ascii="Calibri" w:hAnsi="Calibri"/>
          <w:noProof/>
          <w:sz w:val="22"/>
        </w:rPr>
        <w:t xml:space="preserve"> 1995, </w:t>
      </w:r>
      <w:r w:rsidRPr="00E33874">
        <w:rPr>
          <w:rFonts w:ascii="Calibri" w:hAnsi="Calibri"/>
          <w:b/>
          <w:bCs/>
          <w:noProof/>
          <w:sz w:val="22"/>
        </w:rPr>
        <w:t>92</w:t>
      </w:r>
      <w:r w:rsidRPr="00E33874">
        <w:rPr>
          <w:rFonts w:ascii="Calibri" w:hAnsi="Calibri"/>
          <w:noProof/>
          <w:sz w:val="22"/>
        </w:rPr>
        <w:t>:3483–3487.</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2. Okushima Y, Mitina I, Quach HL, Theologis A: </w:t>
      </w:r>
      <w:r w:rsidRPr="00E33874">
        <w:rPr>
          <w:rFonts w:ascii="Calibri" w:hAnsi="Calibri"/>
          <w:b/>
          <w:bCs/>
          <w:noProof/>
          <w:sz w:val="22"/>
        </w:rPr>
        <w:t>AUXIN RESPONSE FACTOR 2 (ARF2): a pleiotropic developmental regulator.</w:t>
      </w:r>
      <w:r w:rsidRPr="00E33874">
        <w:rPr>
          <w:rFonts w:ascii="Calibri" w:hAnsi="Calibri"/>
          <w:noProof/>
          <w:sz w:val="22"/>
        </w:rPr>
        <w:t xml:space="preserve"> </w:t>
      </w:r>
      <w:r w:rsidRPr="00E33874">
        <w:rPr>
          <w:rFonts w:ascii="Calibri" w:hAnsi="Calibri"/>
          <w:i/>
          <w:iCs/>
          <w:noProof/>
          <w:sz w:val="22"/>
        </w:rPr>
        <w:t>Plant J</w:t>
      </w:r>
      <w:r w:rsidRPr="00E33874">
        <w:rPr>
          <w:rFonts w:ascii="Calibri" w:hAnsi="Calibri"/>
          <w:noProof/>
          <w:sz w:val="22"/>
        </w:rPr>
        <w:t xml:space="preserve"> 2005, </w:t>
      </w:r>
      <w:r w:rsidRPr="00E33874">
        <w:rPr>
          <w:rFonts w:ascii="Calibri" w:hAnsi="Calibri"/>
          <w:b/>
          <w:bCs/>
          <w:noProof/>
          <w:sz w:val="22"/>
        </w:rPr>
        <w:t>43</w:t>
      </w:r>
      <w:r w:rsidRPr="00E33874">
        <w:rPr>
          <w:rFonts w:ascii="Calibri" w:hAnsi="Calibri"/>
          <w:noProof/>
          <w:sz w:val="22"/>
        </w:rPr>
        <w:t>:29–46.</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3. Ulmasov T, Liu ZB, Hagen G, Guilfoyle TJ: </w:t>
      </w:r>
      <w:r w:rsidRPr="00E33874">
        <w:rPr>
          <w:rFonts w:ascii="Calibri" w:hAnsi="Calibri"/>
          <w:b/>
          <w:bCs/>
          <w:noProof/>
          <w:sz w:val="22"/>
        </w:rPr>
        <w:t>Composite structure of auxin response elements.</w:t>
      </w:r>
      <w:r w:rsidRPr="00E33874">
        <w:rPr>
          <w:rFonts w:ascii="Calibri" w:hAnsi="Calibri"/>
          <w:noProof/>
          <w:sz w:val="22"/>
        </w:rPr>
        <w:t xml:space="preserve"> </w:t>
      </w:r>
      <w:r w:rsidRPr="00E33874">
        <w:rPr>
          <w:rFonts w:ascii="Calibri" w:hAnsi="Calibri"/>
          <w:i/>
          <w:iCs/>
          <w:noProof/>
          <w:sz w:val="22"/>
        </w:rPr>
        <w:t>Plant Cell</w:t>
      </w:r>
      <w:r w:rsidRPr="00E33874">
        <w:rPr>
          <w:rFonts w:ascii="Calibri" w:hAnsi="Calibri"/>
          <w:noProof/>
          <w:sz w:val="22"/>
        </w:rPr>
        <w:t xml:space="preserve"> 1995, </w:t>
      </w:r>
      <w:r w:rsidRPr="00E33874">
        <w:rPr>
          <w:rFonts w:ascii="Calibri" w:hAnsi="Calibri"/>
          <w:b/>
          <w:bCs/>
          <w:noProof/>
          <w:sz w:val="22"/>
        </w:rPr>
        <w:t>7</w:t>
      </w:r>
      <w:r w:rsidRPr="00E33874">
        <w:rPr>
          <w:rFonts w:ascii="Calibri" w:hAnsi="Calibri"/>
          <w:noProof/>
          <w:sz w:val="22"/>
        </w:rPr>
        <w:t>:1611–1623.</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4. Cole M, Chandler J, Weijers D, Jacobs B, Comelli P, Werr W: </w:t>
      </w:r>
      <w:r w:rsidRPr="00E33874">
        <w:rPr>
          <w:rFonts w:ascii="Calibri" w:hAnsi="Calibri"/>
          <w:b/>
          <w:bCs/>
          <w:noProof/>
          <w:sz w:val="22"/>
        </w:rPr>
        <w:t>DORNROSCHEN is a direct target of the auxin response factor MONOPTEROS in the Arabidopsis embryo.</w:t>
      </w:r>
      <w:r w:rsidRPr="00E33874">
        <w:rPr>
          <w:rFonts w:ascii="Calibri" w:hAnsi="Calibri"/>
          <w:noProof/>
          <w:sz w:val="22"/>
        </w:rPr>
        <w:t xml:space="preserve"> </w:t>
      </w:r>
      <w:r w:rsidRPr="00E33874">
        <w:rPr>
          <w:rFonts w:ascii="Calibri" w:hAnsi="Calibri"/>
          <w:i/>
          <w:iCs/>
          <w:noProof/>
          <w:sz w:val="22"/>
        </w:rPr>
        <w:t>Development</w:t>
      </w:r>
      <w:r w:rsidRPr="00E33874">
        <w:rPr>
          <w:rFonts w:ascii="Calibri" w:hAnsi="Calibri"/>
          <w:noProof/>
          <w:sz w:val="22"/>
        </w:rPr>
        <w:t xml:space="preserve"> 2009, </w:t>
      </w:r>
      <w:r w:rsidRPr="00E33874">
        <w:rPr>
          <w:rFonts w:ascii="Calibri" w:hAnsi="Calibri"/>
          <w:b/>
          <w:bCs/>
          <w:noProof/>
          <w:sz w:val="22"/>
        </w:rPr>
        <w:t>136</w:t>
      </w:r>
      <w:r w:rsidRPr="00E33874">
        <w:rPr>
          <w:rFonts w:ascii="Calibri" w:hAnsi="Calibri"/>
          <w:noProof/>
          <w:sz w:val="22"/>
        </w:rPr>
        <w:t>:1643–1651.</w:t>
      </w:r>
    </w:p>
    <w:p w:rsidR="00E33874" w:rsidRPr="00E33874" w:rsidRDefault="00E33874">
      <w:pPr>
        <w:pStyle w:val="a3"/>
        <w:divId w:val="264850328"/>
        <w:rPr>
          <w:rFonts w:ascii="Calibri" w:hAnsi="Calibri"/>
          <w:noProof/>
          <w:sz w:val="22"/>
        </w:rPr>
      </w:pPr>
      <w:r w:rsidRPr="00E33874">
        <w:rPr>
          <w:rFonts w:ascii="Calibri" w:hAnsi="Calibri"/>
          <w:noProof/>
          <w:sz w:val="22"/>
        </w:rPr>
        <w:lastRenderedPageBreak/>
        <w:t xml:space="preserve">5. Inukai Y, Sakamoto T, Ueguchi-tanaka M, Shibata Y, Gomi K, Umemura I, Hasegawa Y, Ashikari M, Kitano H, Matsuoka M: </w:t>
      </w:r>
      <w:r w:rsidRPr="00E33874">
        <w:rPr>
          <w:rFonts w:ascii="Calibri" w:hAnsi="Calibri"/>
          <w:b/>
          <w:bCs/>
          <w:noProof/>
          <w:sz w:val="22"/>
        </w:rPr>
        <w:t>Crown rootless1 , Which Is Essential for Crown Root Formation in Rice , Is a Target of an AUXIN RESPONSE FACTOR in Auxin Signaling</w:t>
      </w:r>
      <w:r w:rsidRPr="00E33874">
        <w:rPr>
          <w:rFonts w:ascii="Calibri" w:hAnsi="Calibri"/>
          <w:noProof/>
          <w:sz w:val="22"/>
        </w:rPr>
        <w:t xml:space="preserve">. </w:t>
      </w:r>
      <w:r w:rsidRPr="00E33874">
        <w:rPr>
          <w:rFonts w:ascii="Calibri" w:hAnsi="Calibri"/>
          <w:i/>
          <w:iCs/>
          <w:noProof/>
          <w:sz w:val="22"/>
        </w:rPr>
        <w:t>Plant Cell</w:t>
      </w:r>
      <w:r w:rsidRPr="00E33874">
        <w:rPr>
          <w:rFonts w:ascii="Calibri" w:hAnsi="Calibri"/>
          <w:noProof/>
          <w:sz w:val="22"/>
        </w:rPr>
        <w:t xml:space="preserve"> 2005, </w:t>
      </w:r>
      <w:r w:rsidRPr="00E33874">
        <w:rPr>
          <w:rFonts w:ascii="Calibri" w:hAnsi="Calibri"/>
          <w:b/>
          <w:bCs/>
          <w:noProof/>
          <w:sz w:val="22"/>
        </w:rPr>
        <w:t>17</w:t>
      </w:r>
      <w:r w:rsidRPr="00E33874">
        <w:rPr>
          <w:rFonts w:ascii="Calibri" w:hAnsi="Calibri"/>
          <w:noProof/>
          <w:sz w:val="22"/>
        </w:rPr>
        <w:t>:1387–1396.</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6. Ismail IO: </w:t>
      </w:r>
      <w:r w:rsidRPr="00E33874">
        <w:rPr>
          <w:rFonts w:ascii="Calibri" w:hAnsi="Calibri"/>
          <w:b/>
          <w:bCs/>
          <w:noProof/>
          <w:sz w:val="22"/>
        </w:rPr>
        <w:t>Function and Regulation of Xylem Cysteine Protease 1 and Xylem Cysteine Protease 2 in Arabidopsis. Dissertation.</w:t>
      </w:r>
      <w:r w:rsidRPr="00E33874">
        <w:rPr>
          <w:rFonts w:ascii="Calibri" w:hAnsi="Calibri"/>
          <w:noProof/>
          <w:sz w:val="22"/>
        </w:rPr>
        <w:t xml:space="preserve"> Virginia Polytechnic Institute; 2004.</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7. Donner TJ, Sherr I, Scarpella E: </w:t>
      </w:r>
      <w:r w:rsidRPr="00E33874">
        <w:rPr>
          <w:rFonts w:ascii="Calibri" w:hAnsi="Calibri"/>
          <w:b/>
          <w:bCs/>
          <w:noProof/>
          <w:sz w:val="22"/>
        </w:rPr>
        <w:t>Regulation of preprocambial cell state acquisition by auxin signaling in Arabidopsis leaves.</w:t>
      </w:r>
      <w:r w:rsidRPr="00E33874">
        <w:rPr>
          <w:rFonts w:ascii="Calibri" w:hAnsi="Calibri"/>
          <w:noProof/>
          <w:sz w:val="22"/>
        </w:rPr>
        <w:t xml:space="preserve"> </w:t>
      </w:r>
      <w:r w:rsidRPr="00E33874">
        <w:rPr>
          <w:rFonts w:ascii="Calibri" w:hAnsi="Calibri"/>
          <w:i/>
          <w:iCs/>
          <w:noProof/>
          <w:sz w:val="22"/>
        </w:rPr>
        <w:t>Development</w:t>
      </w:r>
      <w:r w:rsidRPr="00E33874">
        <w:rPr>
          <w:rFonts w:ascii="Calibri" w:hAnsi="Calibri"/>
          <w:noProof/>
          <w:sz w:val="22"/>
        </w:rPr>
        <w:t xml:space="preserve"> 2009, </w:t>
      </w:r>
      <w:r w:rsidRPr="00E33874">
        <w:rPr>
          <w:rFonts w:ascii="Calibri" w:hAnsi="Calibri"/>
          <w:b/>
          <w:bCs/>
          <w:noProof/>
          <w:sz w:val="22"/>
        </w:rPr>
        <w:t>136</w:t>
      </w:r>
      <w:r w:rsidRPr="00E33874">
        <w:rPr>
          <w:rFonts w:ascii="Calibri" w:hAnsi="Calibri"/>
          <w:noProof/>
          <w:sz w:val="22"/>
        </w:rPr>
        <w:t>:3235–3246.</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8. Scacchi E, Salinas P, Gujas B, Santuari L, Krogan N, Ragni L, Berleth T, Hardtke CS: </w:t>
      </w:r>
      <w:r w:rsidRPr="00E33874">
        <w:rPr>
          <w:rFonts w:ascii="Calibri" w:hAnsi="Calibri"/>
          <w:b/>
          <w:bCs/>
          <w:noProof/>
          <w:sz w:val="22"/>
        </w:rPr>
        <w:t>Spatio-temporal sequence of cross-regulatory events in root meristem growth.</w:t>
      </w:r>
      <w:r w:rsidRPr="00E33874">
        <w:rPr>
          <w:rFonts w:ascii="Calibri" w:hAnsi="Calibri"/>
          <w:noProof/>
          <w:sz w:val="22"/>
        </w:rPr>
        <w:t xml:space="preserve"> </w:t>
      </w:r>
      <w:r w:rsidRPr="00E33874">
        <w:rPr>
          <w:rFonts w:ascii="Calibri" w:hAnsi="Calibri"/>
          <w:i/>
          <w:iCs/>
          <w:noProof/>
          <w:sz w:val="22"/>
        </w:rPr>
        <w:t>Proc Natl Acad Sci</w:t>
      </w:r>
      <w:r w:rsidRPr="00E33874">
        <w:rPr>
          <w:rFonts w:ascii="Calibri" w:hAnsi="Calibri"/>
          <w:noProof/>
          <w:sz w:val="22"/>
        </w:rPr>
        <w:t xml:space="preserve"> 2010, </w:t>
      </w:r>
      <w:r w:rsidRPr="00E33874">
        <w:rPr>
          <w:rFonts w:ascii="Calibri" w:hAnsi="Calibri"/>
          <w:b/>
          <w:bCs/>
          <w:noProof/>
          <w:sz w:val="22"/>
        </w:rPr>
        <w:t>107</w:t>
      </w:r>
      <w:r w:rsidRPr="00E33874">
        <w:rPr>
          <w:rFonts w:ascii="Calibri" w:hAnsi="Calibri"/>
          <w:noProof/>
          <w:sz w:val="22"/>
        </w:rPr>
        <w:t>:22734–22739.</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9. Zhao Z, Andersen SU, Ljung K, Dolezal K, Miotk A, Schultheiss SJ, Lohmann JU: </w:t>
      </w:r>
      <w:r w:rsidRPr="00E33874">
        <w:rPr>
          <w:rFonts w:ascii="Calibri" w:hAnsi="Calibri"/>
          <w:b/>
          <w:bCs/>
          <w:noProof/>
          <w:sz w:val="22"/>
        </w:rPr>
        <w:t>Hormonal control of the shoot stem-cell niche</w:t>
      </w:r>
      <w:r w:rsidRPr="00E33874">
        <w:rPr>
          <w:rFonts w:ascii="Calibri" w:hAnsi="Calibri"/>
          <w:noProof/>
          <w:sz w:val="22"/>
        </w:rPr>
        <w:t xml:space="preserve">. </w:t>
      </w:r>
      <w:r w:rsidRPr="00E33874">
        <w:rPr>
          <w:rFonts w:ascii="Calibri" w:hAnsi="Calibri"/>
          <w:i/>
          <w:iCs/>
          <w:noProof/>
          <w:sz w:val="22"/>
        </w:rPr>
        <w:t>Nature</w:t>
      </w:r>
      <w:r w:rsidRPr="00E33874">
        <w:rPr>
          <w:rFonts w:ascii="Calibri" w:hAnsi="Calibri"/>
          <w:noProof/>
          <w:sz w:val="22"/>
        </w:rPr>
        <w:t xml:space="preserve"> 2010, </w:t>
      </w:r>
      <w:r w:rsidRPr="00E33874">
        <w:rPr>
          <w:rFonts w:ascii="Calibri" w:hAnsi="Calibri"/>
          <w:b/>
          <w:bCs/>
          <w:noProof/>
          <w:sz w:val="22"/>
        </w:rPr>
        <w:t>465</w:t>
      </w:r>
      <w:r w:rsidRPr="00E33874">
        <w:rPr>
          <w:rFonts w:ascii="Calibri" w:hAnsi="Calibri"/>
          <w:noProof/>
          <w:sz w:val="22"/>
        </w:rPr>
        <w:t>:1089–1092.</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10. Walcher CL, Nemhauser JL: </w:t>
      </w:r>
      <w:r w:rsidRPr="00E33874">
        <w:rPr>
          <w:rFonts w:ascii="Calibri" w:hAnsi="Calibri"/>
          <w:b/>
          <w:bCs/>
          <w:noProof/>
          <w:sz w:val="22"/>
        </w:rPr>
        <w:t>Bipartite promoter element required for auxin response.</w:t>
      </w:r>
      <w:r w:rsidRPr="00E33874">
        <w:rPr>
          <w:rFonts w:ascii="Calibri" w:hAnsi="Calibri"/>
          <w:noProof/>
          <w:sz w:val="22"/>
        </w:rPr>
        <w:t xml:space="preserve"> </w:t>
      </w:r>
      <w:r w:rsidRPr="00E33874">
        <w:rPr>
          <w:rFonts w:ascii="Calibri" w:hAnsi="Calibri"/>
          <w:i/>
          <w:iCs/>
          <w:noProof/>
          <w:sz w:val="22"/>
        </w:rPr>
        <w:t>Plant Physiol</w:t>
      </w:r>
      <w:r w:rsidRPr="00E33874">
        <w:rPr>
          <w:rFonts w:ascii="Calibri" w:hAnsi="Calibri"/>
          <w:noProof/>
          <w:sz w:val="22"/>
        </w:rPr>
        <w:t xml:space="preserve"> 2012, </w:t>
      </w:r>
      <w:r w:rsidRPr="00E33874">
        <w:rPr>
          <w:rFonts w:ascii="Calibri" w:hAnsi="Calibri"/>
          <w:b/>
          <w:bCs/>
          <w:noProof/>
          <w:sz w:val="22"/>
        </w:rPr>
        <w:t>158</w:t>
      </w:r>
      <w:r w:rsidRPr="00E33874">
        <w:rPr>
          <w:rFonts w:ascii="Calibri" w:hAnsi="Calibri"/>
          <w:noProof/>
          <w:sz w:val="22"/>
        </w:rPr>
        <w:t>:273–282.</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11. Hirota A, Kato T, Fukaki H, Aida M, Tasaka M: </w:t>
      </w:r>
      <w:r w:rsidRPr="00E33874">
        <w:rPr>
          <w:rFonts w:ascii="Calibri" w:hAnsi="Calibri"/>
          <w:b/>
          <w:bCs/>
          <w:noProof/>
          <w:sz w:val="22"/>
        </w:rPr>
        <w:t>The auxin-regulated AP2/EREBP gene PUCHI is required for morphogenesis in the early lateral root primordium of Arabidopsis.</w:t>
      </w:r>
      <w:r w:rsidRPr="00E33874">
        <w:rPr>
          <w:rFonts w:ascii="Calibri" w:hAnsi="Calibri"/>
          <w:noProof/>
          <w:sz w:val="22"/>
        </w:rPr>
        <w:t xml:space="preserve"> </w:t>
      </w:r>
      <w:r w:rsidRPr="00E33874">
        <w:rPr>
          <w:rFonts w:ascii="Calibri" w:hAnsi="Calibri"/>
          <w:i/>
          <w:iCs/>
          <w:noProof/>
          <w:sz w:val="22"/>
        </w:rPr>
        <w:t>Plant Cell</w:t>
      </w:r>
      <w:r w:rsidRPr="00E33874">
        <w:rPr>
          <w:rFonts w:ascii="Calibri" w:hAnsi="Calibri"/>
          <w:noProof/>
          <w:sz w:val="22"/>
        </w:rPr>
        <w:t xml:space="preserve"> 2007, </w:t>
      </w:r>
      <w:r w:rsidRPr="00E33874">
        <w:rPr>
          <w:rFonts w:ascii="Calibri" w:hAnsi="Calibri"/>
          <w:b/>
          <w:bCs/>
          <w:noProof/>
          <w:sz w:val="22"/>
        </w:rPr>
        <w:t>19</w:t>
      </w:r>
      <w:r w:rsidRPr="00E33874">
        <w:rPr>
          <w:rFonts w:ascii="Calibri" w:hAnsi="Calibri"/>
          <w:noProof/>
          <w:sz w:val="22"/>
        </w:rPr>
        <w:t>:2156–2168.</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12. Berendzen KW, Weiste C, Wanke D, Kilian J, Harter K, Dröge-Laser W: </w:t>
      </w:r>
      <w:r w:rsidRPr="00E33874">
        <w:rPr>
          <w:rFonts w:ascii="Calibri" w:hAnsi="Calibri"/>
          <w:b/>
          <w:bCs/>
          <w:noProof/>
          <w:sz w:val="22"/>
        </w:rPr>
        <w:t>Bioinformatic cis-element analyses performed in Arabidopsis and rice disclose bZIP- and MYB-related binding sites as potential AuxRE-coupling elements in auxin-mediated transcription.</w:t>
      </w:r>
      <w:r w:rsidRPr="00E33874">
        <w:rPr>
          <w:rFonts w:ascii="Calibri" w:hAnsi="Calibri"/>
          <w:noProof/>
          <w:sz w:val="22"/>
        </w:rPr>
        <w:t xml:space="preserve"> </w:t>
      </w:r>
      <w:r w:rsidRPr="00E33874">
        <w:rPr>
          <w:rFonts w:ascii="Calibri" w:hAnsi="Calibri"/>
          <w:i/>
          <w:iCs/>
          <w:noProof/>
          <w:sz w:val="22"/>
        </w:rPr>
        <w:t>BMC Plant Biol</w:t>
      </w:r>
      <w:r w:rsidRPr="00E33874">
        <w:rPr>
          <w:rFonts w:ascii="Calibri" w:hAnsi="Calibri"/>
          <w:noProof/>
          <w:sz w:val="22"/>
        </w:rPr>
        <w:t xml:space="preserve"> 2012, </w:t>
      </w:r>
      <w:r w:rsidRPr="00E33874">
        <w:rPr>
          <w:rFonts w:ascii="Calibri" w:hAnsi="Calibri"/>
          <w:b/>
          <w:bCs/>
          <w:noProof/>
          <w:sz w:val="22"/>
        </w:rPr>
        <w:t>12</w:t>
      </w:r>
      <w:r w:rsidRPr="00E33874">
        <w:rPr>
          <w:rFonts w:ascii="Calibri" w:hAnsi="Calibri"/>
          <w:noProof/>
          <w:sz w:val="22"/>
        </w:rPr>
        <w:t>:125.</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13. Zhu C, Perry SE: </w:t>
      </w:r>
      <w:r w:rsidRPr="00E33874">
        <w:rPr>
          <w:rFonts w:ascii="Calibri" w:hAnsi="Calibri"/>
          <w:b/>
          <w:bCs/>
          <w:noProof/>
          <w:sz w:val="22"/>
        </w:rPr>
        <w:t>Control of expression and autoregulation of AGL15, a member of the MADS-box family.</w:t>
      </w:r>
      <w:r w:rsidRPr="00E33874">
        <w:rPr>
          <w:rFonts w:ascii="Calibri" w:hAnsi="Calibri"/>
          <w:noProof/>
          <w:sz w:val="22"/>
        </w:rPr>
        <w:t xml:space="preserve"> </w:t>
      </w:r>
      <w:r w:rsidRPr="00E33874">
        <w:rPr>
          <w:rFonts w:ascii="Calibri" w:hAnsi="Calibri"/>
          <w:i/>
          <w:iCs/>
          <w:noProof/>
          <w:sz w:val="22"/>
        </w:rPr>
        <w:t>Plant J</w:t>
      </w:r>
      <w:r w:rsidRPr="00E33874">
        <w:rPr>
          <w:rFonts w:ascii="Calibri" w:hAnsi="Calibri"/>
          <w:noProof/>
          <w:sz w:val="22"/>
        </w:rPr>
        <w:t xml:space="preserve"> 2005, </w:t>
      </w:r>
      <w:r w:rsidRPr="00E33874">
        <w:rPr>
          <w:rFonts w:ascii="Calibri" w:hAnsi="Calibri"/>
          <w:b/>
          <w:bCs/>
          <w:noProof/>
          <w:sz w:val="22"/>
        </w:rPr>
        <w:t>41</w:t>
      </w:r>
      <w:r w:rsidRPr="00E33874">
        <w:rPr>
          <w:rFonts w:ascii="Calibri" w:hAnsi="Calibri"/>
          <w:noProof/>
          <w:sz w:val="22"/>
        </w:rPr>
        <w:t>:583–594.</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14. Schlereth A, Möller B, Liu W, Kientz M, Flipse J, Rademacher EH, Schmid M, Jürgens G, Weijers D, Mo B, Ju G: </w:t>
      </w:r>
      <w:r w:rsidRPr="00E33874">
        <w:rPr>
          <w:rFonts w:ascii="Calibri" w:hAnsi="Calibri"/>
          <w:b/>
          <w:bCs/>
          <w:noProof/>
          <w:sz w:val="22"/>
        </w:rPr>
        <w:t>MONOPTEROS controls embryonic root initiation by regulating a mobile transcription factor.</w:t>
      </w:r>
      <w:r w:rsidRPr="00E33874">
        <w:rPr>
          <w:rFonts w:ascii="Calibri" w:hAnsi="Calibri"/>
          <w:noProof/>
          <w:sz w:val="22"/>
        </w:rPr>
        <w:t xml:space="preserve"> </w:t>
      </w:r>
      <w:r w:rsidRPr="00E33874">
        <w:rPr>
          <w:rFonts w:ascii="Calibri" w:hAnsi="Calibri"/>
          <w:i/>
          <w:iCs/>
          <w:noProof/>
          <w:sz w:val="22"/>
        </w:rPr>
        <w:t>Nature</w:t>
      </w:r>
      <w:r w:rsidRPr="00E33874">
        <w:rPr>
          <w:rFonts w:ascii="Calibri" w:hAnsi="Calibri"/>
          <w:noProof/>
          <w:sz w:val="22"/>
        </w:rPr>
        <w:t xml:space="preserve"> 2010, </w:t>
      </w:r>
      <w:r w:rsidRPr="00E33874">
        <w:rPr>
          <w:rFonts w:ascii="Calibri" w:hAnsi="Calibri"/>
          <w:b/>
          <w:bCs/>
          <w:noProof/>
          <w:sz w:val="22"/>
        </w:rPr>
        <w:t>464</w:t>
      </w:r>
      <w:r w:rsidRPr="00E33874">
        <w:rPr>
          <w:rFonts w:ascii="Calibri" w:hAnsi="Calibri"/>
          <w:noProof/>
          <w:sz w:val="22"/>
        </w:rPr>
        <w:t>:913–916.</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15. Cheng ZJ, Wang L, Sun W, Zhang Y, Zhou C, Su YH, Li W, Sun TT, Zhao XY, Li XG, Cheng Y, Zhao Y, Xie Q, Zhang XS: </w:t>
      </w:r>
      <w:r w:rsidRPr="00E33874">
        <w:rPr>
          <w:rFonts w:ascii="Calibri" w:hAnsi="Calibri"/>
          <w:b/>
          <w:bCs/>
          <w:noProof/>
          <w:sz w:val="22"/>
        </w:rPr>
        <w:t>Pattern of auxin and cytokinin responses for shoot meristem induction results from the regulation of cytokinin biosynthesis by AUXIN RESPONSE FACTOR3.</w:t>
      </w:r>
      <w:r w:rsidRPr="00E33874">
        <w:rPr>
          <w:rFonts w:ascii="Calibri" w:hAnsi="Calibri"/>
          <w:noProof/>
          <w:sz w:val="22"/>
        </w:rPr>
        <w:t xml:space="preserve"> </w:t>
      </w:r>
      <w:r w:rsidRPr="00E33874">
        <w:rPr>
          <w:rFonts w:ascii="Calibri" w:hAnsi="Calibri"/>
          <w:i/>
          <w:iCs/>
          <w:noProof/>
          <w:sz w:val="22"/>
        </w:rPr>
        <w:t>Plant Physiol</w:t>
      </w:r>
      <w:r w:rsidRPr="00E33874">
        <w:rPr>
          <w:rFonts w:ascii="Calibri" w:hAnsi="Calibri"/>
          <w:noProof/>
          <w:sz w:val="22"/>
        </w:rPr>
        <w:t xml:space="preserve"> 2013, </w:t>
      </w:r>
      <w:r w:rsidRPr="00E33874">
        <w:rPr>
          <w:rFonts w:ascii="Calibri" w:hAnsi="Calibri"/>
          <w:b/>
          <w:bCs/>
          <w:noProof/>
          <w:sz w:val="22"/>
        </w:rPr>
        <w:t>161</w:t>
      </w:r>
      <w:r w:rsidRPr="00E33874">
        <w:rPr>
          <w:rFonts w:ascii="Calibri" w:hAnsi="Calibri"/>
          <w:noProof/>
          <w:sz w:val="22"/>
        </w:rPr>
        <w:t>:240–251.</w:t>
      </w:r>
    </w:p>
    <w:p w:rsidR="00E33874" w:rsidRPr="00E33874" w:rsidRDefault="00E33874">
      <w:pPr>
        <w:pStyle w:val="a3"/>
        <w:divId w:val="264850328"/>
        <w:rPr>
          <w:rFonts w:ascii="Calibri" w:hAnsi="Calibri"/>
          <w:noProof/>
          <w:sz w:val="22"/>
        </w:rPr>
      </w:pPr>
      <w:r w:rsidRPr="00E33874">
        <w:rPr>
          <w:rFonts w:ascii="Calibri" w:hAnsi="Calibri"/>
          <w:noProof/>
          <w:sz w:val="22"/>
        </w:rPr>
        <w:t xml:space="preserve">16. Sakamoto T, Fujioka S: </w:t>
      </w:r>
      <w:r w:rsidRPr="00E33874">
        <w:rPr>
          <w:rFonts w:ascii="Calibri" w:hAnsi="Calibri"/>
          <w:b/>
          <w:bCs/>
          <w:noProof/>
          <w:sz w:val="22"/>
        </w:rPr>
        <w:t>Auxins increase expression of the brassinosteroid receptor and brassinosteroid-responsive genes in Arabidopsis.</w:t>
      </w:r>
      <w:r w:rsidRPr="00E33874">
        <w:rPr>
          <w:rFonts w:ascii="Calibri" w:hAnsi="Calibri"/>
          <w:noProof/>
          <w:sz w:val="22"/>
        </w:rPr>
        <w:t xml:space="preserve"> </w:t>
      </w:r>
      <w:r w:rsidRPr="00E33874">
        <w:rPr>
          <w:rFonts w:ascii="Calibri" w:hAnsi="Calibri"/>
          <w:i/>
          <w:iCs/>
          <w:noProof/>
          <w:sz w:val="22"/>
        </w:rPr>
        <w:t>Plant Signal Behav</w:t>
      </w:r>
      <w:r w:rsidRPr="00E33874">
        <w:rPr>
          <w:rFonts w:ascii="Calibri" w:hAnsi="Calibri"/>
          <w:noProof/>
          <w:sz w:val="22"/>
        </w:rPr>
        <w:t xml:space="preserve"> 2013, </w:t>
      </w:r>
      <w:r w:rsidRPr="00E33874">
        <w:rPr>
          <w:rFonts w:ascii="Calibri" w:hAnsi="Calibri"/>
          <w:b/>
          <w:bCs/>
          <w:noProof/>
          <w:sz w:val="22"/>
        </w:rPr>
        <w:t>8</w:t>
      </w:r>
      <w:r w:rsidRPr="00E33874">
        <w:rPr>
          <w:rFonts w:ascii="Calibri" w:hAnsi="Calibri"/>
          <w:noProof/>
          <w:sz w:val="22"/>
        </w:rPr>
        <w:t>:e23509.</w:t>
      </w:r>
    </w:p>
    <w:p w:rsidR="00E33874" w:rsidRPr="00054298" w:rsidRDefault="00E33874" w:rsidP="00E33874">
      <w:pPr>
        <w:pStyle w:val="a3"/>
        <w:rPr>
          <w:lang w:val="en-US"/>
        </w:rPr>
      </w:pPr>
      <w:r w:rsidRPr="00E33874">
        <w:rPr>
          <w:rFonts w:ascii="Calibri" w:hAnsi="Calibri"/>
          <w:noProof/>
          <w:sz w:val="22"/>
        </w:rPr>
        <w:t xml:space="preserve">17. Khan MR, Hu J, Ali GM: </w:t>
      </w:r>
      <w:r w:rsidRPr="00E33874">
        <w:rPr>
          <w:rFonts w:ascii="Calibri" w:hAnsi="Calibri"/>
          <w:b/>
          <w:bCs/>
          <w:noProof/>
          <w:sz w:val="22"/>
        </w:rPr>
        <w:t>Reciprocal loss of CArG-boxes and auxin response elements drives expression divergence of MPF2-Like MADS-box genes controlling calyx inflation.</w:t>
      </w:r>
      <w:r w:rsidRPr="00E33874">
        <w:rPr>
          <w:rFonts w:ascii="Calibri" w:hAnsi="Calibri"/>
          <w:noProof/>
          <w:sz w:val="22"/>
        </w:rPr>
        <w:t xml:space="preserve"> </w:t>
      </w:r>
      <w:r w:rsidRPr="00E33874">
        <w:rPr>
          <w:rFonts w:ascii="Calibri" w:hAnsi="Calibri"/>
          <w:i/>
          <w:iCs/>
          <w:noProof/>
          <w:sz w:val="22"/>
        </w:rPr>
        <w:t>PLoS One</w:t>
      </w:r>
      <w:r w:rsidRPr="00E33874">
        <w:rPr>
          <w:rFonts w:ascii="Calibri" w:hAnsi="Calibri"/>
          <w:noProof/>
          <w:sz w:val="22"/>
        </w:rPr>
        <w:t xml:space="preserve"> 2012, </w:t>
      </w:r>
      <w:r w:rsidRPr="00E33874">
        <w:rPr>
          <w:rFonts w:ascii="Calibri" w:hAnsi="Calibri"/>
          <w:b/>
          <w:bCs/>
          <w:noProof/>
          <w:sz w:val="22"/>
        </w:rPr>
        <w:t>7</w:t>
      </w:r>
      <w:r w:rsidRPr="00E33874">
        <w:rPr>
          <w:rFonts w:ascii="Calibri" w:hAnsi="Calibri"/>
          <w:noProof/>
          <w:sz w:val="22"/>
        </w:rPr>
        <w:t xml:space="preserve">:e42781. </w:t>
      </w:r>
      <w:r>
        <w:rPr>
          <w:lang w:val="en-US"/>
        </w:rPr>
        <w:fldChar w:fldCharType="end"/>
      </w:r>
      <w:bookmarkStart w:id="0" w:name="_GoBack"/>
      <w:bookmarkEnd w:id="0"/>
    </w:p>
    <w:sectPr w:rsidR="00E33874" w:rsidRPr="00054298" w:rsidSect="0005429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98"/>
    <w:rsid w:val="00054298"/>
    <w:rsid w:val="00584A3A"/>
    <w:rsid w:val="00E16784"/>
    <w:rsid w:val="00E33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02823C-4835-4C5F-8EC3-D4B64C6F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429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3874"/>
    <w:pPr>
      <w:spacing w:before="100" w:beforeAutospacing="1" w:after="100" w:afterAutospacing="1" w:line="240" w:lineRule="auto"/>
    </w:pPr>
    <w:rPr>
      <w:rFonts w:ascii="Times New Roman" w:eastAsiaTheme="minorEastAsia"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556521">
      <w:bodyDiv w:val="1"/>
      <w:marLeft w:val="0"/>
      <w:marRight w:val="0"/>
      <w:marTop w:val="0"/>
      <w:marBottom w:val="0"/>
      <w:divBdr>
        <w:top w:val="none" w:sz="0" w:space="0" w:color="auto"/>
        <w:left w:val="none" w:sz="0" w:space="0" w:color="auto"/>
        <w:bottom w:val="none" w:sz="0" w:space="0" w:color="auto"/>
        <w:right w:val="none" w:sz="0" w:space="0" w:color="auto"/>
      </w:divBdr>
      <w:divsChild>
        <w:div w:id="264850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076C5-095D-4383-BB3E-0BFF5B932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8212</Words>
  <Characters>46814</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Wiebe</dc:creator>
  <cp:keywords/>
  <dc:description/>
  <cp:lastModifiedBy>kviki</cp:lastModifiedBy>
  <cp:revision>2</cp:revision>
  <dcterms:created xsi:type="dcterms:W3CDTF">2014-10-29T12:25:00Z</dcterms:created>
  <dcterms:modified xsi:type="dcterms:W3CDTF">2014-10-30T08:48:00Z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victoria.v.mironova@gmail.com@www.mendeley.com</vt:lpwstr>
  </property>
  <property fmtid="{D5CDD505-2E9C-101B-9397-08002B2CF9AE}" pid="4" name="Mendeley Citation Style_1">
    <vt:lpwstr>http://www.zotero.org/styles/bmc-genomics</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http://www.zotero.org/styles/bmc-genomics</vt:lpwstr>
  </property>
  <property fmtid="{D5CDD505-2E9C-101B-9397-08002B2CF9AE}" pid="8" name="Mendeley Recent Style Name 1_1">
    <vt:lpwstr>BMC Genomics</vt:lpwstr>
  </property>
  <property fmtid="{D5CDD505-2E9C-101B-9397-08002B2CF9AE}" pid="9" name="Mendeley Recent Style Id 2_1">
    <vt:lpwstr>http://www.zotero.org/styles/harvard-imperial-college-london</vt:lpwstr>
  </property>
  <property fmtid="{D5CDD505-2E9C-101B-9397-08002B2CF9AE}" pid="10" name="Mendeley Recent Style Name 2_1">
    <vt:lpwstr>Harvard - Imperial College London</vt:lpwstr>
  </property>
  <property fmtid="{D5CDD505-2E9C-101B-9397-08002B2CF9AE}" pid="11" name="Mendeley Recent Style Id 3_1">
    <vt:lpwstr>http://www.zotero.org/styles/harvard-oxford-brookes-university-faculty-of-health-and-life-sciences</vt:lpwstr>
  </property>
  <property fmtid="{D5CDD505-2E9C-101B-9397-08002B2CF9AE}" pid="12" name="Mendeley Recent Style Name 3_1">
    <vt:lpwstr>Harvard - Oxford Brookes University - Faculty of Health and Life Sciences</vt:lpwstr>
  </property>
  <property fmtid="{D5CDD505-2E9C-101B-9397-08002B2CF9AE}" pid="13" name="Mendeley Recent Style Id 4_1">
    <vt:lpwstr>http://www.zotero.org/styles/harvard-educational-review</vt:lpwstr>
  </property>
  <property fmtid="{D5CDD505-2E9C-101B-9397-08002B2CF9AE}" pid="14" name="Mendeley Recent Style Name 4_1">
    <vt:lpwstr>Harvard Educational Review</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http://www.zotero.org/styles/molecular-systems-biology</vt:lpwstr>
  </property>
  <property fmtid="{D5CDD505-2E9C-101B-9397-08002B2CF9AE}" pid="20" name="Mendeley Recent Style Name 7_1">
    <vt:lpwstr>Molecular Systems Biology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http://www.zotero.org/styles/nucleic-acids-research</vt:lpwstr>
  </property>
  <property fmtid="{D5CDD505-2E9C-101B-9397-08002B2CF9AE}" pid="24" name="Mendeley Recent Style Name 9_1">
    <vt:lpwstr>Nucleic Acids Research</vt:lpwstr>
  </property>
</Properties>
</file>