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F5F" w:rsidRDefault="00595F5F" w:rsidP="00595F5F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595F5F" w:rsidRDefault="00595F5F" w:rsidP="00595F5F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595F5F" w:rsidRDefault="00595F5F" w:rsidP="00595F5F">
      <w:pPr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Comparison of Gene Ontology classification between the four sets of sequences containing EST-SSRs (CR: Coding Region, NCR: Non Coding Region, 5’UTR: 5’ Un-Transcribed Region, 3’UTR: 3’ Un-Transcribed Region). </w:t>
      </w:r>
    </w:p>
    <w:p w:rsidR="00595F5F" w:rsidRPr="00DC1303" w:rsidRDefault="00595F5F" w:rsidP="00595F5F">
      <w:pPr>
        <w:jc w:val="both"/>
        <w:rPr>
          <w:rFonts w:ascii="Arial" w:hAnsi="Arial" w:cs="Arial"/>
          <w:sz w:val="20"/>
          <w:szCs w:val="20"/>
          <w:lang w:val="en-US"/>
        </w:rPr>
      </w:pPr>
      <w:r w:rsidRPr="00DC1303">
        <w:rPr>
          <w:rFonts w:ascii="Arial" w:hAnsi="Arial" w:cs="Arial"/>
          <w:sz w:val="20"/>
          <w:szCs w:val="20"/>
          <w:lang w:val="en-US"/>
        </w:rPr>
        <w:t>The relative frequencies of GO hits for oak sequences are assigned to the GO functional categories (Cellular Compounds, Molecular Function and Biological Process).</w:t>
      </w:r>
    </w:p>
    <w:p w:rsidR="00595F5F" w:rsidRDefault="00595F5F" w:rsidP="00595F5F">
      <w:pPr>
        <w:spacing w:after="200" w:line="276" w:lineRule="auto"/>
        <w:rPr>
          <w:rFonts w:ascii="Arial" w:hAnsi="Arial" w:cs="Arial"/>
          <w:sz w:val="22"/>
          <w:szCs w:val="22"/>
          <w:lang w:val="en-US"/>
        </w:rPr>
      </w:pPr>
    </w:p>
    <w:p w:rsidR="00595F5F" w:rsidRDefault="00595F5F" w:rsidP="00595F5F">
      <w:pPr>
        <w:spacing w:after="200" w:line="276" w:lineRule="auto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Cellular compounds level2</w:t>
      </w:r>
    </w:p>
    <w:p w:rsidR="00595F5F" w:rsidRDefault="00595F5F" w:rsidP="00595F5F">
      <w:pPr>
        <w:spacing w:after="200" w:line="276" w:lineRule="auto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4579620" cy="1765554"/>
            <wp:effectExtent l="12192" t="6096" r="8763" b="0"/>
            <wp:docPr id="2" name="Graphiqu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595F5F" w:rsidRDefault="00595F5F" w:rsidP="00595F5F">
      <w:pPr>
        <w:spacing w:after="200" w:line="276" w:lineRule="auto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Molecular Function level2</w:t>
      </w:r>
    </w:p>
    <w:p w:rsidR="00595F5F" w:rsidRDefault="00595F5F" w:rsidP="00595F5F">
      <w:pPr>
        <w:spacing w:after="200" w:line="276" w:lineRule="auto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4579620" cy="2241804"/>
            <wp:effectExtent l="12192" t="6096" r="8763" b="0"/>
            <wp:docPr id="3" name="Graphiqu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95F5F" w:rsidRDefault="00595F5F" w:rsidP="00595F5F">
      <w:pPr>
        <w:spacing w:after="200" w:line="276" w:lineRule="auto"/>
        <w:rPr>
          <w:rFonts w:ascii="Arial" w:hAnsi="Arial" w:cs="Arial"/>
          <w:sz w:val="22"/>
          <w:szCs w:val="22"/>
          <w:lang w:val="en-US"/>
        </w:rPr>
      </w:pPr>
    </w:p>
    <w:p w:rsidR="00595F5F" w:rsidRDefault="00595F5F">
      <w:pPr>
        <w:spacing w:after="200" w:line="276" w:lineRule="auto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br w:type="page"/>
      </w:r>
    </w:p>
    <w:p w:rsidR="00595F5F" w:rsidRDefault="00595F5F" w:rsidP="00595F5F">
      <w:pPr>
        <w:spacing w:after="200" w:line="276" w:lineRule="auto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lastRenderedPageBreak/>
        <w:t>Biological process level2</w:t>
      </w:r>
    </w:p>
    <w:p w:rsidR="00595F5F" w:rsidRDefault="00595F5F" w:rsidP="00595F5F">
      <w:pPr>
        <w:spacing w:after="200" w:line="276" w:lineRule="auto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4983480" cy="2889504"/>
            <wp:effectExtent l="12192" t="6096" r="4953" b="0"/>
            <wp:docPr id="4" name="Graphiqu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46700" w:rsidRDefault="00F46700"/>
    <w:sectPr w:rsidR="00F46700" w:rsidSect="00F467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characterSpacingControl w:val="doNotCompress"/>
  <w:compat/>
  <w:rsids>
    <w:rsidRoot w:val="00595F5F"/>
    <w:rsid w:val="00595F5F"/>
    <w:rsid w:val="00F46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F5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95F5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5F5F"/>
    <w:rPr>
      <w:rFonts w:ascii="Tahoma" w:eastAsia="MS Mincho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CATHERINE\articles%20en%20cours\Carto%20Quercus%20Catherine\oakContigV1\Blast2GO_all_sets_30081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CATHERINE\articles%20en%20cours\Carto%20Quercus%20Catherine\oakContigV1\Blast2GO_all_sets_30081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CATHERINE\articles%20en%20cours\Carto%20Quercus%20Catherine\oakContigV1\Blast2GO_all_sets_30081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bar"/>
        <c:grouping val="clustered"/>
        <c:ser>
          <c:idx val="0"/>
          <c:order val="0"/>
          <c:tx>
            <c:strRef>
              <c:f>graphCC!$C$3</c:f>
              <c:strCache>
                <c:ptCount val="1"/>
                <c:pt idx="0">
                  <c:v>NCR</c:v>
                </c:pt>
              </c:strCache>
            </c:strRef>
          </c:tx>
          <c:cat>
            <c:strRef>
              <c:f>graphCC!$B$4:$B$8</c:f>
              <c:strCache>
                <c:ptCount val="5"/>
                <c:pt idx="0">
                  <c:v>cell</c:v>
                </c:pt>
                <c:pt idx="1">
                  <c:v>organelle</c:v>
                </c:pt>
                <c:pt idx="2">
                  <c:v>macromolecular complex</c:v>
                </c:pt>
                <c:pt idx="3">
                  <c:v>extracellular region</c:v>
                </c:pt>
                <c:pt idx="4">
                  <c:v>membrane-enclosed lumen</c:v>
                </c:pt>
              </c:strCache>
            </c:strRef>
          </c:cat>
          <c:val>
            <c:numRef>
              <c:f>graphCC!$C$4:$C$8</c:f>
              <c:numCache>
                <c:formatCode>0.00</c:formatCode>
                <c:ptCount val="5"/>
                <c:pt idx="0">
                  <c:v>48.797223755816617</c:v>
                </c:pt>
                <c:pt idx="1">
                  <c:v>36.651155453900145</c:v>
                </c:pt>
                <c:pt idx="2">
                  <c:v>9.9219181323448069</c:v>
                </c:pt>
                <c:pt idx="3">
                  <c:v>1.9559902200488994</c:v>
                </c:pt>
                <c:pt idx="4">
                  <c:v>2.6737124378894235</c:v>
                </c:pt>
              </c:numCache>
            </c:numRef>
          </c:val>
        </c:ser>
        <c:ser>
          <c:idx val="1"/>
          <c:order val="1"/>
          <c:tx>
            <c:strRef>
              <c:f>graphCC!$D$3</c:f>
              <c:strCache>
                <c:ptCount val="1"/>
                <c:pt idx="0">
                  <c:v>CR</c:v>
                </c:pt>
              </c:strCache>
            </c:strRef>
          </c:tx>
          <c:cat>
            <c:strRef>
              <c:f>graphCC!$B$4:$B$8</c:f>
              <c:strCache>
                <c:ptCount val="5"/>
                <c:pt idx="0">
                  <c:v>cell</c:v>
                </c:pt>
                <c:pt idx="1">
                  <c:v>organelle</c:v>
                </c:pt>
                <c:pt idx="2">
                  <c:v>macromolecular complex</c:v>
                </c:pt>
                <c:pt idx="3">
                  <c:v>extracellular region</c:v>
                </c:pt>
                <c:pt idx="4">
                  <c:v>membrane-enclosed lumen</c:v>
                </c:pt>
              </c:strCache>
            </c:strRef>
          </c:cat>
          <c:val>
            <c:numRef>
              <c:f>graphCC!$D$4:$D$8</c:f>
              <c:numCache>
                <c:formatCode>0.00</c:formatCode>
                <c:ptCount val="5"/>
                <c:pt idx="0">
                  <c:v>49.009545314584926</c:v>
                </c:pt>
                <c:pt idx="1">
                  <c:v>37.801498511751952</c:v>
                </c:pt>
                <c:pt idx="2">
                  <c:v>9.0115980704095229</c:v>
                </c:pt>
                <c:pt idx="3">
                  <c:v>1.2521810530637381</c:v>
                </c:pt>
                <c:pt idx="4">
                  <c:v>2.9251770501898799</c:v>
                </c:pt>
              </c:numCache>
            </c:numRef>
          </c:val>
        </c:ser>
        <c:ser>
          <c:idx val="2"/>
          <c:order val="2"/>
          <c:tx>
            <c:strRef>
              <c:f>graphCC!$E$3</c:f>
              <c:strCache>
                <c:ptCount val="1"/>
                <c:pt idx="0">
                  <c:v>3'UTR</c:v>
                </c:pt>
              </c:strCache>
            </c:strRef>
          </c:tx>
          <c:cat>
            <c:strRef>
              <c:f>graphCC!$B$4:$B$8</c:f>
              <c:strCache>
                <c:ptCount val="5"/>
                <c:pt idx="0">
                  <c:v>cell</c:v>
                </c:pt>
                <c:pt idx="1">
                  <c:v>organelle</c:v>
                </c:pt>
                <c:pt idx="2">
                  <c:v>macromolecular complex</c:v>
                </c:pt>
                <c:pt idx="3">
                  <c:v>extracellular region</c:v>
                </c:pt>
                <c:pt idx="4">
                  <c:v>membrane-enclosed lumen</c:v>
                </c:pt>
              </c:strCache>
            </c:strRef>
          </c:cat>
          <c:val>
            <c:numRef>
              <c:f>graphCC!$E$4:$E$8</c:f>
              <c:numCache>
                <c:formatCode>0.00</c:formatCode>
                <c:ptCount val="5"/>
                <c:pt idx="0">
                  <c:v>50.190331176246644</c:v>
                </c:pt>
                <c:pt idx="1">
                  <c:v>37.057480015226339</c:v>
                </c:pt>
                <c:pt idx="2">
                  <c:v>8.6981347544727683</c:v>
                </c:pt>
                <c:pt idx="3">
                  <c:v>1.9223448800913601</c:v>
                </c:pt>
                <c:pt idx="4">
                  <c:v>2.1317091739626948</c:v>
                </c:pt>
              </c:numCache>
            </c:numRef>
          </c:val>
        </c:ser>
        <c:ser>
          <c:idx val="3"/>
          <c:order val="3"/>
          <c:tx>
            <c:strRef>
              <c:f>graphCC!$F$3</c:f>
              <c:strCache>
                <c:ptCount val="1"/>
                <c:pt idx="0">
                  <c:v>5'UTR</c:v>
                </c:pt>
              </c:strCache>
            </c:strRef>
          </c:tx>
          <c:cat>
            <c:strRef>
              <c:f>graphCC!$B$4:$B$8</c:f>
              <c:strCache>
                <c:ptCount val="5"/>
                <c:pt idx="0">
                  <c:v>cell</c:v>
                </c:pt>
                <c:pt idx="1">
                  <c:v>organelle</c:v>
                </c:pt>
                <c:pt idx="2">
                  <c:v>macromolecular complex</c:v>
                </c:pt>
                <c:pt idx="3">
                  <c:v>extracellular region</c:v>
                </c:pt>
                <c:pt idx="4">
                  <c:v>membrane-enclosed lumen</c:v>
                </c:pt>
              </c:strCache>
            </c:strRef>
          </c:cat>
          <c:val>
            <c:numRef>
              <c:f>graphCC!$F$4:$F$8</c:f>
              <c:numCache>
                <c:formatCode>0.00</c:formatCode>
                <c:ptCount val="5"/>
                <c:pt idx="0">
                  <c:v>47.846525219158963</c:v>
                </c:pt>
                <c:pt idx="1">
                  <c:v>36.374031253970244</c:v>
                </c:pt>
                <c:pt idx="2">
                  <c:v>10.722906873332487</c:v>
                </c:pt>
                <c:pt idx="3">
                  <c:v>2.007368822258925</c:v>
                </c:pt>
                <c:pt idx="4">
                  <c:v>3.0491678312793802</c:v>
                </c:pt>
              </c:numCache>
            </c:numRef>
          </c:val>
        </c:ser>
        <c:axId val="183729536"/>
        <c:axId val="183739136"/>
      </c:barChart>
      <c:catAx>
        <c:axId val="183729536"/>
        <c:scaling>
          <c:orientation val="minMax"/>
        </c:scaling>
        <c:axPos val="l"/>
        <c:numFmt formatCode="General" sourceLinked="1"/>
        <c:tickLblPos val="nextTo"/>
        <c:crossAx val="183739136"/>
        <c:crosses val="autoZero"/>
        <c:auto val="1"/>
        <c:lblAlgn val="ctr"/>
        <c:lblOffset val="100"/>
      </c:catAx>
      <c:valAx>
        <c:axId val="183739136"/>
        <c:scaling>
          <c:orientation val="minMax"/>
        </c:scaling>
        <c:axPos val="b"/>
        <c:majorGridlines/>
        <c:numFmt formatCode="0" sourceLinked="0"/>
        <c:tickLblPos val="nextTo"/>
        <c:crossAx val="1837295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7500000000000189"/>
          <c:y val="0.27314814814814814"/>
          <c:w val="0.10625000000000002"/>
          <c:h val="0.44444444444444448"/>
        </c:manualLayout>
      </c:layout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bar"/>
        <c:grouping val="clustered"/>
        <c:ser>
          <c:idx val="0"/>
          <c:order val="0"/>
          <c:tx>
            <c:strRef>
              <c:f>graphMF!$C$5</c:f>
              <c:strCache>
                <c:ptCount val="1"/>
                <c:pt idx="0">
                  <c:v>NCR</c:v>
                </c:pt>
              </c:strCache>
            </c:strRef>
          </c:tx>
          <c:cat>
            <c:strRef>
              <c:f>graphMF!$B$6:$B$13</c:f>
              <c:strCache>
                <c:ptCount val="8"/>
                <c:pt idx="0">
                  <c:v>binding</c:v>
                </c:pt>
                <c:pt idx="1">
                  <c:v>catalytic activity</c:v>
                </c:pt>
                <c:pt idx="2">
                  <c:v>electron carrier activity</c:v>
                </c:pt>
                <c:pt idx="3">
                  <c:v>enzyme regulator activity</c:v>
                </c:pt>
                <c:pt idx="4">
                  <c:v>molecular transducer activity</c:v>
                </c:pt>
                <c:pt idx="5">
                  <c:v>structural molecule activity</c:v>
                </c:pt>
                <c:pt idx="6">
                  <c:v>transcription regulator activity</c:v>
                </c:pt>
                <c:pt idx="7">
                  <c:v>transporter activity</c:v>
                </c:pt>
              </c:strCache>
            </c:strRef>
          </c:cat>
          <c:val>
            <c:numRef>
              <c:f>graphMF!$C$6:$C$13</c:f>
              <c:numCache>
                <c:formatCode>0.00</c:formatCode>
                <c:ptCount val="8"/>
                <c:pt idx="0">
                  <c:v>45.289001630730205</c:v>
                </c:pt>
                <c:pt idx="1">
                  <c:v>36.238448994383063</c:v>
                </c:pt>
                <c:pt idx="2">
                  <c:v>1.476716796521109</c:v>
                </c:pt>
                <c:pt idx="3">
                  <c:v>0.9603188983511507</c:v>
                </c:pt>
                <c:pt idx="4">
                  <c:v>2.3283203478891146</c:v>
                </c:pt>
                <c:pt idx="5">
                  <c:v>3.2705200217430694</c:v>
                </c:pt>
                <c:pt idx="6">
                  <c:v>5.01902518572206</c:v>
                </c:pt>
                <c:pt idx="7">
                  <c:v>5.4176481246602748</c:v>
                </c:pt>
              </c:numCache>
            </c:numRef>
          </c:val>
        </c:ser>
        <c:ser>
          <c:idx val="1"/>
          <c:order val="1"/>
          <c:tx>
            <c:strRef>
              <c:f>graphMF!$D$5</c:f>
              <c:strCache>
                <c:ptCount val="1"/>
                <c:pt idx="0">
                  <c:v>CR</c:v>
                </c:pt>
              </c:strCache>
            </c:strRef>
          </c:tx>
          <c:cat>
            <c:strRef>
              <c:f>graphMF!$B$6:$B$13</c:f>
              <c:strCache>
                <c:ptCount val="8"/>
                <c:pt idx="0">
                  <c:v>binding</c:v>
                </c:pt>
                <c:pt idx="1">
                  <c:v>catalytic activity</c:v>
                </c:pt>
                <c:pt idx="2">
                  <c:v>electron carrier activity</c:v>
                </c:pt>
                <c:pt idx="3">
                  <c:v>enzyme regulator activity</c:v>
                </c:pt>
                <c:pt idx="4">
                  <c:v>molecular transducer activity</c:v>
                </c:pt>
                <c:pt idx="5">
                  <c:v>structural molecule activity</c:v>
                </c:pt>
                <c:pt idx="6">
                  <c:v>transcription regulator activity</c:v>
                </c:pt>
                <c:pt idx="7">
                  <c:v>transporter activity</c:v>
                </c:pt>
              </c:strCache>
            </c:strRef>
          </c:cat>
          <c:val>
            <c:numRef>
              <c:f>graphMF!$D$6:$D$13</c:f>
              <c:numCache>
                <c:formatCode>0.00</c:formatCode>
                <c:ptCount val="8"/>
                <c:pt idx="0">
                  <c:v>48.888339920948617</c:v>
                </c:pt>
                <c:pt idx="1">
                  <c:v>33.843873517786427</c:v>
                </c:pt>
                <c:pt idx="2">
                  <c:v>0</c:v>
                </c:pt>
                <c:pt idx="3">
                  <c:v>0</c:v>
                </c:pt>
                <c:pt idx="4">
                  <c:v>2.1121541501976284</c:v>
                </c:pt>
                <c:pt idx="5">
                  <c:v>3.9896245059288535</c:v>
                </c:pt>
                <c:pt idx="6">
                  <c:v>6.6576086956521836</c:v>
                </c:pt>
                <c:pt idx="7">
                  <c:v>4.5083992094861713</c:v>
                </c:pt>
              </c:numCache>
            </c:numRef>
          </c:val>
        </c:ser>
        <c:ser>
          <c:idx val="2"/>
          <c:order val="2"/>
          <c:tx>
            <c:strRef>
              <c:f>graphMF!$E$5</c:f>
              <c:strCache>
                <c:ptCount val="1"/>
                <c:pt idx="0">
                  <c:v>3'UTR</c:v>
                </c:pt>
              </c:strCache>
            </c:strRef>
          </c:tx>
          <c:cat>
            <c:strRef>
              <c:f>graphMF!$B$6:$B$13</c:f>
              <c:strCache>
                <c:ptCount val="8"/>
                <c:pt idx="0">
                  <c:v>binding</c:v>
                </c:pt>
                <c:pt idx="1">
                  <c:v>catalytic activity</c:v>
                </c:pt>
                <c:pt idx="2">
                  <c:v>electron carrier activity</c:v>
                </c:pt>
                <c:pt idx="3">
                  <c:v>enzyme regulator activity</c:v>
                </c:pt>
                <c:pt idx="4">
                  <c:v>molecular transducer activity</c:v>
                </c:pt>
                <c:pt idx="5">
                  <c:v>structural molecule activity</c:v>
                </c:pt>
                <c:pt idx="6">
                  <c:v>transcription regulator activity</c:v>
                </c:pt>
                <c:pt idx="7">
                  <c:v>transporter activity</c:v>
                </c:pt>
              </c:strCache>
            </c:strRef>
          </c:cat>
          <c:val>
            <c:numRef>
              <c:f>graphMF!$E$6:$E$13</c:f>
              <c:numCache>
                <c:formatCode>0.00</c:formatCode>
                <c:ptCount val="8"/>
                <c:pt idx="0">
                  <c:v>45.433452858046827</c:v>
                </c:pt>
                <c:pt idx="1">
                  <c:v>38.683821978485547</c:v>
                </c:pt>
                <c:pt idx="2">
                  <c:v>0</c:v>
                </c:pt>
                <c:pt idx="3">
                  <c:v>0</c:v>
                </c:pt>
                <c:pt idx="4">
                  <c:v>2.7842227378190252</c:v>
                </c:pt>
                <c:pt idx="5">
                  <c:v>2.6998523518245077</c:v>
                </c:pt>
                <c:pt idx="6">
                  <c:v>5.1887787386627293</c:v>
                </c:pt>
                <c:pt idx="7">
                  <c:v>5.2098713351613677</c:v>
                </c:pt>
              </c:numCache>
            </c:numRef>
          </c:val>
        </c:ser>
        <c:ser>
          <c:idx val="3"/>
          <c:order val="3"/>
          <c:tx>
            <c:strRef>
              <c:f>graphMF!$F$5</c:f>
              <c:strCache>
                <c:ptCount val="1"/>
                <c:pt idx="0">
                  <c:v>5'UTR</c:v>
                </c:pt>
              </c:strCache>
            </c:strRef>
          </c:tx>
          <c:cat>
            <c:strRef>
              <c:f>graphMF!$B$6:$B$13</c:f>
              <c:strCache>
                <c:ptCount val="8"/>
                <c:pt idx="0">
                  <c:v>binding</c:v>
                </c:pt>
                <c:pt idx="1">
                  <c:v>catalytic activity</c:v>
                </c:pt>
                <c:pt idx="2">
                  <c:v>electron carrier activity</c:v>
                </c:pt>
                <c:pt idx="3">
                  <c:v>enzyme regulator activity</c:v>
                </c:pt>
                <c:pt idx="4">
                  <c:v>molecular transducer activity</c:v>
                </c:pt>
                <c:pt idx="5">
                  <c:v>structural molecule activity</c:v>
                </c:pt>
                <c:pt idx="6">
                  <c:v>transcription regulator activity</c:v>
                </c:pt>
                <c:pt idx="7">
                  <c:v>transporter activity</c:v>
                </c:pt>
              </c:strCache>
            </c:strRef>
          </c:cat>
          <c:val>
            <c:numRef>
              <c:f>graphMF!$F$6:$F$13</c:f>
              <c:numCache>
                <c:formatCode>0.00</c:formatCode>
                <c:ptCount val="8"/>
                <c:pt idx="0">
                  <c:v>47.248488606417595</c:v>
                </c:pt>
                <c:pt idx="1">
                  <c:v>35.668888544411779</c:v>
                </c:pt>
                <c:pt idx="2">
                  <c:v>0</c:v>
                </c:pt>
                <c:pt idx="3">
                  <c:v>0</c:v>
                </c:pt>
                <c:pt idx="4">
                  <c:v>2.1547046969462098</c:v>
                </c:pt>
                <c:pt idx="5">
                  <c:v>3.8288637420554994</c:v>
                </c:pt>
                <c:pt idx="6">
                  <c:v>5.3945124786854599</c:v>
                </c:pt>
                <c:pt idx="7">
                  <c:v>5.7045419314834875</c:v>
                </c:pt>
              </c:numCache>
            </c:numRef>
          </c:val>
        </c:ser>
        <c:axId val="183761152"/>
        <c:axId val="184094720"/>
      </c:barChart>
      <c:catAx>
        <c:axId val="183761152"/>
        <c:scaling>
          <c:orientation val="minMax"/>
        </c:scaling>
        <c:axPos val="l"/>
        <c:numFmt formatCode="General" sourceLinked="1"/>
        <c:tickLblPos val="nextTo"/>
        <c:crossAx val="184094720"/>
        <c:crosses val="autoZero"/>
        <c:auto val="1"/>
        <c:lblAlgn val="ctr"/>
        <c:lblOffset val="100"/>
      </c:catAx>
      <c:valAx>
        <c:axId val="184094720"/>
        <c:scaling>
          <c:orientation val="minMax"/>
        </c:scaling>
        <c:axPos val="b"/>
        <c:majorGridlines/>
        <c:numFmt formatCode="0" sourceLinked="0"/>
        <c:tickLblPos val="nextTo"/>
        <c:crossAx val="1837611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7500000000000189"/>
          <c:y val="0.32986111111111138"/>
          <c:w val="0.10624999999999984"/>
          <c:h val="0.33333333333333348"/>
        </c:manualLayout>
      </c:layout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plotArea>
      <c:layout/>
      <c:barChart>
        <c:barDir val="bar"/>
        <c:grouping val="clustered"/>
        <c:ser>
          <c:idx val="0"/>
          <c:order val="0"/>
          <c:tx>
            <c:strRef>
              <c:f>graphBP!$C$2</c:f>
              <c:strCache>
                <c:ptCount val="1"/>
                <c:pt idx="0">
                  <c:v>NCR</c:v>
                </c:pt>
              </c:strCache>
            </c:strRef>
          </c:tx>
          <c:cat>
            <c:strRef>
              <c:f>graphBP!$B$3:$B$15</c:f>
              <c:strCache>
                <c:ptCount val="13"/>
                <c:pt idx="0">
                  <c:v>biological regulation</c:v>
                </c:pt>
                <c:pt idx="1">
                  <c:v>cellular component biogenesis</c:v>
                </c:pt>
                <c:pt idx="2">
                  <c:v>cellular component organization</c:v>
                </c:pt>
                <c:pt idx="3">
                  <c:v>cellular process</c:v>
                </c:pt>
                <c:pt idx="4">
                  <c:v>developmental process</c:v>
                </c:pt>
                <c:pt idx="5">
                  <c:v>growth</c:v>
                </c:pt>
                <c:pt idx="6">
                  <c:v>localization</c:v>
                </c:pt>
                <c:pt idx="7">
                  <c:v>metabolic process</c:v>
                </c:pt>
                <c:pt idx="8">
                  <c:v>multicellular organismal process</c:v>
                </c:pt>
                <c:pt idx="9">
                  <c:v>multi-organism process</c:v>
                </c:pt>
                <c:pt idx="10">
                  <c:v>reproduction</c:v>
                </c:pt>
                <c:pt idx="11">
                  <c:v>response to stimulus</c:v>
                </c:pt>
                <c:pt idx="12">
                  <c:v>signaling</c:v>
                </c:pt>
              </c:strCache>
            </c:strRef>
          </c:cat>
          <c:val>
            <c:numRef>
              <c:f>graphBP!$C$3:$C$15</c:f>
              <c:numCache>
                <c:formatCode>0.00</c:formatCode>
                <c:ptCount val="13"/>
                <c:pt idx="0">
                  <c:v>10.054823941671831</c:v>
                </c:pt>
                <c:pt idx="1">
                  <c:v>1.718193635901204</c:v>
                </c:pt>
                <c:pt idx="2">
                  <c:v>3.2611767365624877</c:v>
                </c:pt>
                <c:pt idx="3">
                  <c:v>26.880687277454335</c:v>
                </c:pt>
                <c:pt idx="4">
                  <c:v>4.6232973492341598</c:v>
                </c:pt>
                <c:pt idx="5">
                  <c:v>0.73475385745775268</c:v>
                </c:pt>
                <c:pt idx="6">
                  <c:v>5.8328152376646054</c:v>
                </c:pt>
                <c:pt idx="7">
                  <c:v>25.49030690103427</c:v>
                </c:pt>
                <c:pt idx="8">
                  <c:v>4.4537387667439106</c:v>
                </c:pt>
                <c:pt idx="9">
                  <c:v>1.9838354151359296</c:v>
                </c:pt>
                <c:pt idx="10">
                  <c:v>2.4472955406092805</c:v>
                </c:pt>
                <c:pt idx="11">
                  <c:v>9.5518001469507681</c:v>
                </c:pt>
                <c:pt idx="12">
                  <c:v>2.9672751935793782</c:v>
                </c:pt>
              </c:numCache>
            </c:numRef>
          </c:val>
        </c:ser>
        <c:ser>
          <c:idx val="1"/>
          <c:order val="1"/>
          <c:tx>
            <c:strRef>
              <c:f>graphBP!$D$2</c:f>
              <c:strCache>
                <c:ptCount val="1"/>
                <c:pt idx="0">
                  <c:v>CR</c:v>
                </c:pt>
              </c:strCache>
            </c:strRef>
          </c:tx>
          <c:cat>
            <c:strRef>
              <c:f>graphBP!$B$3:$B$15</c:f>
              <c:strCache>
                <c:ptCount val="13"/>
                <c:pt idx="0">
                  <c:v>biological regulation</c:v>
                </c:pt>
                <c:pt idx="1">
                  <c:v>cellular component biogenesis</c:v>
                </c:pt>
                <c:pt idx="2">
                  <c:v>cellular component organization</c:v>
                </c:pt>
                <c:pt idx="3">
                  <c:v>cellular process</c:v>
                </c:pt>
                <c:pt idx="4">
                  <c:v>developmental process</c:v>
                </c:pt>
                <c:pt idx="5">
                  <c:v>growth</c:v>
                </c:pt>
                <c:pt idx="6">
                  <c:v>localization</c:v>
                </c:pt>
                <c:pt idx="7">
                  <c:v>metabolic process</c:v>
                </c:pt>
                <c:pt idx="8">
                  <c:v>multicellular organismal process</c:v>
                </c:pt>
                <c:pt idx="9">
                  <c:v>multi-organism process</c:v>
                </c:pt>
                <c:pt idx="10">
                  <c:v>reproduction</c:v>
                </c:pt>
                <c:pt idx="11">
                  <c:v>response to stimulus</c:v>
                </c:pt>
                <c:pt idx="12">
                  <c:v>signaling</c:v>
                </c:pt>
              </c:strCache>
            </c:strRef>
          </c:cat>
          <c:val>
            <c:numRef>
              <c:f>graphBP!$D$3:$D$15</c:f>
              <c:numCache>
                <c:formatCode>0.00</c:formatCode>
                <c:ptCount val="13"/>
                <c:pt idx="0">
                  <c:v>11.146352514725873</c:v>
                </c:pt>
                <c:pt idx="1">
                  <c:v>2.0918290288476062</c:v>
                </c:pt>
                <c:pt idx="2">
                  <c:v>3.4133816644011481</c:v>
                </c:pt>
                <c:pt idx="3">
                  <c:v>27.216432563056927</c:v>
                </c:pt>
                <c:pt idx="4">
                  <c:v>4.6518652771484561</c:v>
                </c:pt>
                <c:pt idx="5">
                  <c:v>0</c:v>
                </c:pt>
                <c:pt idx="6">
                  <c:v>4.8557619694910095</c:v>
                </c:pt>
                <c:pt idx="7">
                  <c:v>25.683431505814827</c:v>
                </c:pt>
                <c:pt idx="8">
                  <c:v>4.6292100891104058</c:v>
                </c:pt>
                <c:pt idx="9">
                  <c:v>1.8426219604289382</c:v>
                </c:pt>
                <c:pt idx="10">
                  <c:v>2.582691436338922</c:v>
                </c:pt>
                <c:pt idx="11">
                  <c:v>9.3641443890651068</c:v>
                </c:pt>
                <c:pt idx="12">
                  <c:v>2.5222776015707598</c:v>
                </c:pt>
              </c:numCache>
            </c:numRef>
          </c:val>
        </c:ser>
        <c:ser>
          <c:idx val="2"/>
          <c:order val="2"/>
          <c:tx>
            <c:strRef>
              <c:f>graphBP!$E$2</c:f>
              <c:strCache>
                <c:ptCount val="1"/>
                <c:pt idx="0">
                  <c:v>3'UTR</c:v>
                </c:pt>
              </c:strCache>
            </c:strRef>
          </c:tx>
          <c:cat>
            <c:strRef>
              <c:f>graphBP!$B$3:$B$15</c:f>
              <c:strCache>
                <c:ptCount val="13"/>
                <c:pt idx="0">
                  <c:v>biological regulation</c:v>
                </c:pt>
                <c:pt idx="1">
                  <c:v>cellular component biogenesis</c:v>
                </c:pt>
                <c:pt idx="2">
                  <c:v>cellular component organization</c:v>
                </c:pt>
                <c:pt idx="3">
                  <c:v>cellular process</c:v>
                </c:pt>
                <c:pt idx="4">
                  <c:v>developmental process</c:v>
                </c:pt>
                <c:pt idx="5">
                  <c:v>growth</c:v>
                </c:pt>
                <c:pt idx="6">
                  <c:v>localization</c:v>
                </c:pt>
                <c:pt idx="7">
                  <c:v>metabolic process</c:v>
                </c:pt>
                <c:pt idx="8">
                  <c:v>multicellular organismal process</c:v>
                </c:pt>
                <c:pt idx="9">
                  <c:v>multi-organism process</c:v>
                </c:pt>
                <c:pt idx="10">
                  <c:v>reproduction</c:v>
                </c:pt>
                <c:pt idx="11">
                  <c:v>response to stimulus</c:v>
                </c:pt>
                <c:pt idx="12">
                  <c:v>signaling</c:v>
                </c:pt>
              </c:strCache>
            </c:strRef>
          </c:cat>
          <c:val>
            <c:numRef>
              <c:f>graphBP!$E$3:$E$15</c:f>
              <c:numCache>
                <c:formatCode>0.00</c:formatCode>
                <c:ptCount val="13"/>
                <c:pt idx="0">
                  <c:v>10.177108115252445</c:v>
                </c:pt>
                <c:pt idx="1">
                  <c:v>1.5728257996299218</c:v>
                </c:pt>
                <c:pt idx="2">
                  <c:v>3.1985196933650539</c:v>
                </c:pt>
                <c:pt idx="3">
                  <c:v>27.160983346550356</c:v>
                </c:pt>
                <c:pt idx="4">
                  <c:v>4.652392281258261</c:v>
                </c:pt>
                <c:pt idx="5">
                  <c:v>0</c:v>
                </c:pt>
                <c:pt idx="6">
                  <c:v>5.8683584456780329</c:v>
                </c:pt>
                <c:pt idx="7">
                  <c:v>26.103621464446231</c:v>
                </c:pt>
                <c:pt idx="8">
                  <c:v>4.5863071636267509</c:v>
                </c:pt>
                <c:pt idx="9">
                  <c:v>1.9957705524715841</c:v>
                </c:pt>
                <c:pt idx="10">
                  <c:v>2.4715833994184475</c:v>
                </c:pt>
                <c:pt idx="11">
                  <c:v>9.1461802802008982</c:v>
                </c:pt>
                <c:pt idx="12">
                  <c:v>3.0663494581020352</c:v>
                </c:pt>
              </c:numCache>
            </c:numRef>
          </c:val>
        </c:ser>
        <c:ser>
          <c:idx val="3"/>
          <c:order val="3"/>
          <c:tx>
            <c:strRef>
              <c:f>graphBP!$F$2</c:f>
              <c:strCache>
                <c:ptCount val="1"/>
                <c:pt idx="0">
                  <c:v>5'UTR</c:v>
                </c:pt>
              </c:strCache>
            </c:strRef>
          </c:tx>
          <c:cat>
            <c:strRef>
              <c:f>graphBP!$B$3:$B$15</c:f>
              <c:strCache>
                <c:ptCount val="13"/>
                <c:pt idx="0">
                  <c:v>biological regulation</c:v>
                </c:pt>
                <c:pt idx="1">
                  <c:v>cellular component biogenesis</c:v>
                </c:pt>
                <c:pt idx="2">
                  <c:v>cellular component organization</c:v>
                </c:pt>
                <c:pt idx="3">
                  <c:v>cellular process</c:v>
                </c:pt>
                <c:pt idx="4">
                  <c:v>developmental process</c:v>
                </c:pt>
                <c:pt idx="5">
                  <c:v>growth</c:v>
                </c:pt>
                <c:pt idx="6">
                  <c:v>localization</c:v>
                </c:pt>
                <c:pt idx="7">
                  <c:v>metabolic process</c:v>
                </c:pt>
                <c:pt idx="8">
                  <c:v>multicellular organismal process</c:v>
                </c:pt>
                <c:pt idx="9">
                  <c:v>multi-organism process</c:v>
                </c:pt>
                <c:pt idx="10">
                  <c:v>reproduction</c:v>
                </c:pt>
                <c:pt idx="11">
                  <c:v>response to stimulus</c:v>
                </c:pt>
                <c:pt idx="12">
                  <c:v>signaling</c:v>
                </c:pt>
              </c:strCache>
            </c:strRef>
          </c:cat>
          <c:val>
            <c:numRef>
              <c:f>graphBP!$F$3:$F$15</c:f>
              <c:numCache>
                <c:formatCode>0.00</c:formatCode>
                <c:ptCount val="13"/>
                <c:pt idx="0">
                  <c:v>10.19530884964022</c:v>
                </c:pt>
                <c:pt idx="1">
                  <c:v>1.8129146808709458</c:v>
                </c:pt>
                <c:pt idx="2">
                  <c:v>3.3828614148210407</c:v>
                </c:pt>
                <c:pt idx="3">
                  <c:v>26.988131950284984</c:v>
                </c:pt>
                <c:pt idx="4">
                  <c:v>4.6070460704606973</c:v>
                </c:pt>
                <c:pt idx="5">
                  <c:v>0</c:v>
                </c:pt>
                <c:pt idx="6">
                  <c:v>5.8405756471357684</c:v>
                </c:pt>
                <c:pt idx="7">
                  <c:v>25.343425848051581</c:v>
                </c:pt>
                <c:pt idx="8">
                  <c:v>4.3921128866460979</c:v>
                </c:pt>
                <c:pt idx="9">
                  <c:v>1.9811232595084558</c:v>
                </c:pt>
                <c:pt idx="10">
                  <c:v>2.4390243902439024</c:v>
                </c:pt>
                <c:pt idx="11">
                  <c:v>10.00841042893186</c:v>
                </c:pt>
                <c:pt idx="12">
                  <c:v>3.0090645734043546</c:v>
                </c:pt>
              </c:numCache>
            </c:numRef>
          </c:val>
        </c:ser>
        <c:axId val="184108544"/>
        <c:axId val="184110080"/>
      </c:barChart>
      <c:catAx>
        <c:axId val="184108544"/>
        <c:scaling>
          <c:orientation val="minMax"/>
        </c:scaling>
        <c:axPos val="l"/>
        <c:numFmt formatCode="General" sourceLinked="1"/>
        <c:tickLblPos val="nextTo"/>
        <c:crossAx val="184110080"/>
        <c:crosses val="autoZero"/>
        <c:auto val="1"/>
        <c:lblAlgn val="ctr"/>
        <c:lblOffset val="100"/>
      </c:catAx>
      <c:valAx>
        <c:axId val="184110080"/>
        <c:scaling>
          <c:orientation val="minMax"/>
        </c:scaling>
        <c:axPos val="b"/>
        <c:majorGridlines/>
        <c:numFmt formatCode="0" sourceLinked="0"/>
        <c:tickLblPos val="nextTo"/>
        <c:crossAx val="1841085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8700564971751417"/>
          <c:y val="0.35416666666666785"/>
          <c:w val="9.6045197740112997E-2"/>
          <c:h val="0.28571428571428698"/>
        </c:manualLayout>
      </c:layout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</Words>
  <Characters>394</Characters>
  <Application>Microsoft Office Word</Application>
  <DocSecurity>0</DocSecurity>
  <Lines>3</Lines>
  <Paragraphs>1</Paragraphs>
  <ScaleCrop>false</ScaleCrop>
  <Company>INRA</Company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</dc:creator>
  <cp:keywords/>
  <dc:description/>
  <cp:lastModifiedBy>Catherine</cp:lastModifiedBy>
  <cp:revision>1</cp:revision>
  <dcterms:created xsi:type="dcterms:W3CDTF">2012-03-27T13:04:00Z</dcterms:created>
  <dcterms:modified xsi:type="dcterms:W3CDTF">2012-03-27T13:05:00Z</dcterms:modified>
</cp:coreProperties>
</file>