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72" w:rsidRPr="00533972" w:rsidRDefault="00533972" w:rsidP="0053397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3972" w:rsidRPr="00533972" w:rsidRDefault="00533972" w:rsidP="0053397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5</w:t>
      </w:r>
      <w:bookmarkStart w:id="0" w:name="_GoBack"/>
      <w:bookmarkEnd w:id="0"/>
      <w:r w:rsidRPr="005339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Level of knowledge on hypertension among health workers in Mazowe District</w:t>
      </w:r>
      <w:r w:rsidRPr="00533972">
        <w:rPr>
          <w:rFonts w:ascii="Times New Roman" w:eastAsia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 wp14:anchorId="2009F325" wp14:editId="38C19341">
            <wp:extent cx="5963055" cy="4163439"/>
            <wp:effectExtent l="0" t="0" r="0" b="8890"/>
            <wp:docPr id="1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33972" w:rsidRPr="00533972" w:rsidRDefault="00533972" w:rsidP="0053397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</w:pPr>
    </w:p>
    <w:p w:rsidR="00533972" w:rsidRPr="00533972" w:rsidRDefault="00533972" w:rsidP="0053397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3972" w:rsidRPr="00533972" w:rsidRDefault="00533972" w:rsidP="0053397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3972" w:rsidRPr="00533972" w:rsidRDefault="00533972" w:rsidP="0053397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</w:pPr>
    </w:p>
    <w:p w:rsidR="00533972" w:rsidRPr="00533972" w:rsidRDefault="00533972" w:rsidP="0053397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</w:pPr>
    </w:p>
    <w:p w:rsidR="00533972" w:rsidRPr="00533972" w:rsidRDefault="00533972" w:rsidP="0053397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</w:pPr>
    </w:p>
    <w:p w:rsidR="00533972" w:rsidRPr="00533972" w:rsidRDefault="00533972" w:rsidP="0053397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</w:pPr>
    </w:p>
    <w:p w:rsidR="00B6659F" w:rsidRDefault="00533972"/>
    <w:sectPr w:rsidR="00B66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72"/>
    <w:rsid w:val="00466474"/>
    <w:rsid w:val="00533972"/>
    <w:rsid w:val="009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24947225633522"/>
          <c:y val="0.24306735910604219"/>
          <c:w val="0.66876271200045223"/>
          <c:h val="0.455928140174504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HCW!$B$16</c:f>
              <c:strCache>
                <c:ptCount val="1"/>
                <c:pt idx="0">
                  <c:v>Causes</c:v>
                </c:pt>
              </c:strCache>
            </c:strRef>
          </c:tx>
          <c:invertIfNegative val="0"/>
          <c:trendline>
            <c:spPr>
              <a:ln w="25400" cap="flat" cmpd="sng" algn="ctr">
                <a:solidFill>
                  <a:schemeClr val="accen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rendlineType val="linear"/>
            <c:dispRSqr val="0"/>
            <c:dispEq val="0"/>
          </c:trendline>
          <c:cat>
            <c:strRef>
              <c:f>HCW!$C$15:$E$15</c:f>
              <c:strCache>
                <c:ptCount val="3"/>
                <c:pt idx="0">
                  <c:v>Poor</c:v>
                </c:pt>
                <c:pt idx="1">
                  <c:v>Average</c:v>
                </c:pt>
                <c:pt idx="2">
                  <c:v>Good</c:v>
                </c:pt>
              </c:strCache>
            </c:strRef>
          </c:cat>
          <c:val>
            <c:numRef>
              <c:f>HCW!$C$16:$E$16</c:f>
              <c:numCache>
                <c:formatCode>General</c:formatCode>
                <c:ptCount val="3"/>
                <c:pt idx="0">
                  <c:v>47.8</c:v>
                </c:pt>
                <c:pt idx="1">
                  <c:v>26.1</c:v>
                </c:pt>
                <c:pt idx="2">
                  <c:v>26.1</c:v>
                </c:pt>
              </c:numCache>
            </c:numRef>
          </c:val>
        </c:ser>
        <c:ser>
          <c:idx val="1"/>
          <c:order val="1"/>
          <c:tx>
            <c:strRef>
              <c:f>HCW!$B$17</c:f>
              <c:strCache>
                <c:ptCount val="1"/>
                <c:pt idx="0">
                  <c:v>Symptoms</c:v>
                </c:pt>
              </c:strCache>
            </c:strRef>
          </c:tx>
          <c:invertIfNegative val="0"/>
          <c:trendline>
            <c:spPr>
              <a:ln w="25400" cap="flat" cmpd="sng" algn="ctr">
                <a:solidFill>
                  <a:schemeClr val="accent2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rendlineType val="linear"/>
            <c:dispRSqr val="0"/>
            <c:dispEq val="0"/>
          </c:trendline>
          <c:cat>
            <c:strRef>
              <c:f>HCW!$C$15:$E$15</c:f>
              <c:strCache>
                <c:ptCount val="3"/>
                <c:pt idx="0">
                  <c:v>Poor</c:v>
                </c:pt>
                <c:pt idx="1">
                  <c:v>Average</c:v>
                </c:pt>
                <c:pt idx="2">
                  <c:v>Good</c:v>
                </c:pt>
              </c:strCache>
            </c:strRef>
          </c:cat>
          <c:val>
            <c:numRef>
              <c:f>HCW!$C$17:$E$17</c:f>
              <c:numCache>
                <c:formatCode>General</c:formatCode>
                <c:ptCount val="3"/>
                <c:pt idx="0">
                  <c:v>30.4</c:v>
                </c:pt>
                <c:pt idx="1">
                  <c:v>39.1</c:v>
                </c:pt>
                <c:pt idx="2">
                  <c:v>30.4</c:v>
                </c:pt>
              </c:numCache>
            </c:numRef>
          </c:val>
        </c:ser>
        <c:ser>
          <c:idx val="2"/>
          <c:order val="2"/>
          <c:tx>
            <c:strRef>
              <c:f>HCW!$B$18</c:f>
              <c:strCache>
                <c:ptCount val="1"/>
                <c:pt idx="0">
                  <c:v>Complications</c:v>
                </c:pt>
              </c:strCache>
            </c:strRef>
          </c:tx>
          <c:invertIfNegative val="0"/>
          <c:trendline>
            <c:spPr>
              <a:ln w="25400" cap="flat" cmpd="sng" algn="ctr">
                <a:solidFill>
                  <a:schemeClr val="accent3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rendlineType val="linear"/>
            <c:dispRSqr val="0"/>
            <c:dispEq val="0"/>
          </c:trendline>
          <c:cat>
            <c:strRef>
              <c:f>HCW!$C$15:$E$15</c:f>
              <c:strCache>
                <c:ptCount val="3"/>
                <c:pt idx="0">
                  <c:v>Poor</c:v>
                </c:pt>
                <c:pt idx="1">
                  <c:v>Average</c:v>
                </c:pt>
                <c:pt idx="2">
                  <c:v>Good</c:v>
                </c:pt>
              </c:strCache>
            </c:strRef>
          </c:cat>
          <c:val>
            <c:numRef>
              <c:f>HCW!$C$18:$E$18</c:f>
              <c:numCache>
                <c:formatCode>General</c:formatCode>
                <c:ptCount val="3"/>
                <c:pt idx="0">
                  <c:v>60.9</c:v>
                </c:pt>
                <c:pt idx="1">
                  <c:v>34.800000000000004</c:v>
                </c:pt>
                <c:pt idx="2">
                  <c:v>4.3</c:v>
                </c:pt>
              </c:numCache>
            </c:numRef>
          </c:val>
        </c:ser>
        <c:ser>
          <c:idx val="3"/>
          <c:order val="3"/>
          <c:tx>
            <c:strRef>
              <c:f>HCW!$B$19</c:f>
              <c:strCache>
                <c:ptCount val="1"/>
                <c:pt idx="0">
                  <c:v>Risks</c:v>
                </c:pt>
              </c:strCache>
            </c:strRef>
          </c:tx>
          <c:invertIfNegative val="0"/>
          <c:trendline>
            <c:spPr>
              <a:ln w="25400" cap="flat" cmpd="sng" algn="ctr">
                <a:solidFill>
                  <a:schemeClr val="accent4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rendlineType val="linear"/>
            <c:dispRSqr val="0"/>
            <c:dispEq val="0"/>
          </c:trendline>
          <c:cat>
            <c:strRef>
              <c:f>HCW!$C$15:$E$15</c:f>
              <c:strCache>
                <c:ptCount val="3"/>
                <c:pt idx="0">
                  <c:v>Poor</c:v>
                </c:pt>
                <c:pt idx="1">
                  <c:v>Average</c:v>
                </c:pt>
                <c:pt idx="2">
                  <c:v>Good</c:v>
                </c:pt>
              </c:strCache>
            </c:strRef>
          </c:cat>
          <c:val>
            <c:numRef>
              <c:f>HCW!$C$19:$E$19</c:f>
              <c:numCache>
                <c:formatCode>General</c:formatCode>
                <c:ptCount val="3"/>
                <c:pt idx="0">
                  <c:v>52.2</c:v>
                </c:pt>
                <c:pt idx="1">
                  <c:v>26.1</c:v>
                </c:pt>
                <c:pt idx="2">
                  <c:v>21.7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041408"/>
        <c:axId val="91468544"/>
      </c:barChart>
      <c:catAx>
        <c:axId val="730414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Grading of knowledge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91468544"/>
        <c:crosses val="autoZero"/>
        <c:auto val="1"/>
        <c:lblAlgn val="ctr"/>
        <c:lblOffset val="100"/>
        <c:noMultiLvlLbl val="0"/>
      </c:catAx>
      <c:valAx>
        <c:axId val="914685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Proportion of workers</a:t>
                </a:r>
              </a:p>
            </c:rich>
          </c:tx>
          <c:layout>
            <c:manualLayout>
              <c:xMode val="edge"/>
              <c:yMode val="edge"/>
              <c:x val="1.4257121559334939E-2"/>
              <c:y val="0.2492176427916004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73041408"/>
        <c:crosses val="autoZero"/>
        <c:crossBetween val="between"/>
      </c:valAx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.70685159731135272"/>
          <c:y val="0.14289392898492936"/>
          <c:w val="0.18969048847200315"/>
          <c:h val="0.20813081998277927"/>
        </c:manualLayout>
      </c:layout>
      <c:overlay val="0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4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>HP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Mungati</dc:creator>
  <cp:lastModifiedBy>Mungati</cp:lastModifiedBy>
  <cp:revision>1</cp:revision>
  <dcterms:created xsi:type="dcterms:W3CDTF">2013-12-03T11:08:00Z</dcterms:created>
  <dcterms:modified xsi:type="dcterms:W3CDTF">2013-12-03T11:10:00Z</dcterms:modified>
</cp:coreProperties>
</file>