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A63" w:rsidRDefault="008C4A63" w:rsidP="008C4A63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Additional file 1</w:t>
      </w:r>
    </w:p>
    <w:p w:rsidR="008C4A63" w:rsidRPr="009D582E" w:rsidRDefault="008C4A63" w:rsidP="008C4A63">
      <w:pPr>
        <w:spacing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9D582E">
        <w:rPr>
          <w:rFonts w:ascii="Arial" w:hAnsi="Arial" w:cs="Arial"/>
          <w:b/>
          <w:sz w:val="20"/>
          <w:szCs w:val="20"/>
        </w:rPr>
        <w:t>Table 6.</w:t>
      </w:r>
      <w:proofErr w:type="gramEnd"/>
      <w:r w:rsidRPr="009D582E">
        <w:rPr>
          <w:rFonts w:ascii="Arial" w:hAnsi="Arial" w:cs="Arial"/>
          <w:b/>
          <w:sz w:val="20"/>
          <w:szCs w:val="20"/>
        </w:rPr>
        <w:t xml:space="preserve"> </w:t>
      </w:r>
      <w:r w:rsidRPr="009D582E">
        <w:rPr>
          <w:rFonts w:ascii="Arial" w:hAnsi="Arial" w:cs="Arial"/>
          <w:bCs/>
          <w:sz w:val="20"/>
          <w:szCs w:val="20"/>
        </w:rPr>
        <w:t xml:space="preserve">Changes of prevalence, covariate-exposure and covariate-outcome relations when we aggregated potential confounders, ICD-9 codes 53011 (reflux </w:t>
      </w:r>
      <w:proofErr w:type="spellStart"/>
      <w:r w:rsidRPr="009D582E">
        <w:rPr>
          <w:rFonts w:ascii="Arial" w:hAnsi="Arial" w:cs="Arial"/>
          <w:bCs/>
          <w:sz w:val="20"/>
          <w:szCs w:val="20"/>
        </w:rPr>
        <w:t>esophagitis</w:t>
      </w:r>
      <w:proofErr w:type="spellEnd"/>
      <w:r w:rsidRPr="009D582E">
        <w:rPr>
          <w:rFonts w:ascii="Arial" w:hAnsi="Arial" w:cs="Arial"/>
          <w:bCs/>
          <w:sz w:val="20"/>
          <w:szCs w:val="20"/>
        </w:rPr>
        <w:t>) and 53081 (esophageal reflux) from 5-digit ICD-9 into 4-, 3-digit ICD-9, and levels 4, 3, 2 and 1 of the Clinical Classification Software (CCS)</w:t>
      </w:r>
    </w:p>
    <w:p w:rsidR="008C4A63" w:rsidRPr="001A1969" w:rsidRDefault="008C4A63" w:rsidP="008C4A63">
      <w:pPr>
        <w:spacing w:after="200"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D582E">
        <w:rPr>
          <w:noProof/>
          <w:szCs w:val="20"/>
        </w:rPr>
        <w:drawing>
          <wp:inline distT="0" distB="0" distL="0" distR="0">
            <wp:extent cx="6019800" cy="7058025"/>
            <wp:effectExtent l="19050" t="0" r="0" b="0"/>
            <wp:docPr id="2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531" cy="7065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A63" w:rsidRPr="001A1969" w:rsidRDefault="008C4A63" w:rsidP="008C4A63">
      <w:p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rFonts w:ascii="Arial" w:hAnsi="Arial" w:cs="Arial"/>
          <w:sz w:val="22"/>
          <w:szCs w:val="22"/>
        </w:rPr>
      </w:pPr>
    </w:p>
    <w:sectPr w:rsidR="008C4A63" w:rsidRPr="001A1969" w:rsidSect="0075643F">
      <w:footerReference w:type="default" r:id="rId7"/>
      <w:pgSz w:w="12240" w:h="15840" w:code="1"/>
      <w:pgMar w:top="1440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106" w:rsidRDefault="000D3106" w:rsidP="002B1090">
      <w:r>
        <w:separator/>
      </w:r>
    </w:p>
  </w:endnote>
  <w:endnote w:type="continuationSeparator" w:id="0">
    <w:p w:rsidR="000D3106" w:rsidRDefault="000D3106" w:rsidP="002B1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542" w:rsidRDefault="000D3106">
    <w:pPr>
      <w:pStyle w:val="Footer"/>
      <w:jc w:val="right"/>
    </w:pPr>
  </w:p>
  <w:p w:rsidR="00330542" w:rsidRDefault="000D31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106" w:rsidRDefault="000D3106" w:rsidP="002B1090">
      <w:r>
        <w:separator/>
      </w:r>
    </w:p>
  </w:footnote>
  <w:footnote w:type="continuationSeparator" w:id="0">
    <w:p w:rsidR="000D3106" w:rsidRDefault="000D3106" w:rsidP="002B10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4A63"/>
    <w:rsid w:val="000D3106"/>
    <w:rsid w:val="002B1090"/>
    <w:rsid w:val="008C4A63"/>
    <w:rsid w:val="00D25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A63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A63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8C4A6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4A63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8C4A6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2B10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10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>GlaxoSmithKline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 Van Le</dc:creator>
  <cp:lastModifiedBy>Hoa Van Le</cp:lastModifiedBy>
  <cp:revision>2</cp:revision>
  <cp:lastPrinted>2013-10-26T20:18:00Z</cp:lastPrinted>
  <dcterms:created xsi:type="dcterms:W3CDTF">2013-10-26T20:22:00Z</dcterms:created>
  <dcterms:modified xsi:type="dcterms:W3CDTF">2013-10-26T20:22:00Z</dcterms:modified>
</cp:coreProperties>
</file>