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F61" w:rsidRPr="005F4F72" w:rsidRDefault="00546F61" w:rsidP="005F4F72">
      <w:pPr>
        <w:shd w:val="clear" w:color="auto" w:fill="FFFFFF"/>
        <w:spacing w:before="100" w:beforeAutospacing="1" w:after="75" w:line="480" w:lineRule="auto"/>
        <w:outlineLvl w:val="3"/>
        <w:rPr>
          <w:rFonts w:asciiTheme="minorHAnsi" w:hAnsiTheme="minorHAnsi" w:cs="Arial"/>
          <w:bCs/>
          <w:lang w:eastAsia="en-GB"/>
        </w:rPr>
      </w:pPr>
      <w:r w:rsidRPr="005F4F72">
        <w:rPr>
          <w:rFonts w:asciiTheme="minorHAnsi" w:hAnsiTheme="minorHAnsi" w:cs="Arial"/>
          <w:bCs/>
          <w:lang w:eastAsia="en-GB"/>
        </w:rPr>
        <w:t>Table 1: How an application used a systematic review to estimate the control group event rate.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0"/>
        <w:gridCol w:w="7087"/>
      </w:tblGrid>
      <w:tr w:rsidR="00546F61" w:rsidRPr="005F4F72" w:rsidTr="000830FE">
        <w:tc>
          <w:tcPr>
            <w:tcW w:w="1320" w:type="dxa"/>
          </w:tcPr>
          <w:p w:rsidR="00546F61" w:rsidRPr="005F4F72" w:rsidRDefault="00546F61" w:rsidP="005F4F72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5F4F72">
              <w:rPr>
                <w:rFonts w:asciiTheme="minorHAnsi" w:hAnsiTheme="minorHAnsi" w:cs="Arial"/>
                <w:bCs/>
                <w:lang w:eastAsia="en-GB"/>
              </w:rPr>
              <w:t>Application</w:t>
            </w:r>
          </w:p>
        </w:tc>
        <w:tc>
          <w:tcPr>
            <w:tcW w:w="7087" w:type="dxa"/>
          </w:tcPr>
          <w:p w:rsidR="00546F61" w:rsidRPr="005F4F72" w:rsidRDefault="00546F61" w:rsidP="005F4F72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5F4F72">
              <w:rPr>
                <w:rFonts w:asciiTheme="minorHAnsi" w:hAnsiTheme="minorHAnsi" w:cs="Arial"/>
                <w:bCs/>
                <w:lang w:eastAsia="en-GB"/>
              </w:rPr>
              <w:t>Statement</w:t>
            </w:r>
          </w:p>
        </w:tc>
      </w:tr>
      <w:tr w:rsidR="005F4F72" w:rsidRPr="005F4F72" w:rsidTr="000830FE">
        <w:tc>
          <w:tcPr>
            <w:tcW w:w="1320" w:type="dxa"/>
          </w:tcPr>
          <w:p w:rsidR="005F4F72" w:rsidRPr="005F4F72" w:rsidRDefault="005F4F72" w:rsidP="008D24E5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5F4F72">
              <w:rPr>
                <w:rFonts w:asciiTheme="minorHAnsi" w:hAnsiTheme="minorHAnsi" w:cs="Arial"/>
                <w:bCs/>
                <w:lang w:eastAsia="en-GB"/>
              </w:rPr>
              <w:t>3</w:t>
            </w:r>
          </w:p>
        </w:tc>
        <w:tc>
          <w:tcPr>
            <w:tcW w:w="7087" w:type="dxa"/>
          </w:tcPr>
          <w:p w:rsidR="005F4F72" w:rsidRPr="005F4F72" w:rsidRDefault="005F4F72" w:rsidP="008D24E5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5F4F72">
              <w:rPr>
                <w:rFonts w:asciiTheme="minorHAnsi" w:hAnsiTheme="minorHAnsi" w:cs="TimesNewRomanPSMT"/>
              </w:rPr>
              <w:t xml:space="preserve">The overall cure rates from this study are smaller than those observed in two placebo controlled trials of </w:t>
            </w:r>
            <w:r w:rsidRPr="005F4F72">
              <w:rPr>
                <w:rFonts w:asciiTheme="minorHAnsi" w:hAnsiTheme="minorHAnsi" w:cs="TimesNewRomanPSMT"/>
                <w:i/>
              </w:rPr>
              <w:t>[treatment</w:t>
            </w:r>
            <w:r>
              <w:rPr>
                <w:rFonts w:asciiTheme="minorHAnsi" w:hAnsiTheme="minorHAnsi" w:cs="TimesNewRomanPSMT"/>
                <w:i/>
              </w:rPr>
              <w:t xml:space="preserve"> </w:t>
            </w:r>
            <w:bookmarkStart w:id="0" w:name="_GoBack"/>
            <w:bookmarkEnd w:id="0"/>
            <w:r w:rsidRPr="005F4F72">
              <w:rPr>
                <w:rFonts w:asciiTheme="minorHAnsi" w:hAnsiTheme="minorHAnsi" w:cs="TimesNewRomanPSMT"/>
                <w:i/>
              </w:rPr>
              <w:t>1]</w:t>
            </w:r>
            <w:r w:rsidRPr="005F4F72">
              <w:rPr>
                <w:rFonts w:asciiTheme="minorHAnsi" w:hAnsiTheme="minorHAnsi" w:cs="TimesNewRomanPSMT"/>
              </w:rPr>
              <w:t xml:space="preserve">, both of which reported cure rates of 85% for active treatment, possibly because more resistant </w:t>
            </w:r>
            <w:r w:rsidRPr="005F4F72">
              <w:rPr>
                <w:rFonts w:asciiTheme="minorHAnsi" w:hAnsiTheme="minorHAnsi" w:cs="TimesNewRomanPSMT"/>
                <w:i/>
              </w:rPr>
              <w:t>[conditions]</w:t>
            </w:r>
            <w:r w:rsidRPr="005F4F72">
              <w:rPr>
                <w:rFonts w:asciiTheme="minorHAnsi" w:hAnsiTheme="minorHAnsi" w:cs="TimesNewRomanPSMT"/>
              </w:rPr>
              <w:t xml:space="preserve"> were included in the study comparing </w:t>
            </w:r>
            <w:r w:rsidRPr="005F4F72">
              <w:rPr>
                <w:rFonts w:asciiTheme="minorHAnsi" w:hAnsiTheme="minorHAnsi" w:cs="TimesNewRomanPSMT"/>
                <w:i/>
              </w:rPr>
              <w:t>[treatment</w:t>
            </w:r>
            <w:r>
              <w:rPr>
                <w:rFonts w:asciiTheme="minorHAnsi" w:hAnsiTheme="minorHAnsi" w:cs="TimesNewRomanPSMT"/>
                <w:i/>
              </w:rPr>
              <w:t xml:space="preserve"> </w:t>
            </w:r>
            <w:r w:rsidRPr="005F4F72">
              <w:rPr>
                <w:rFonts w:asciiTheme="minorHAnsi" w:hAnsiTheme="minorHAnsi" w:cs="TimesNewRomanPSMT"/>
                <w:i/>
              </w:rPr>
              <w:t>2]</w:t>
            </w:r>
            <w:r w:rsidRPr="005F4F72">
              <w:rPr>
                <w:rFonts w:asciiTheme="minorHAnsi" w:hAnsiTheme="minorHAnsi" w:cs="TimesNewRomanPSMT"/>
              </w:rPr>
              <w:t xml:space="preserve"> with </w:t>
            </w:r>
            <w:r w:rsidRPr="005F4F72">
              <w:rPr>
                <w:rFonts w:asciiTheme="minorHAnsi" w:hAnsiTheme="minorHAnsi" w:cs="TimesNewRomanPSMT"/>
                <w:i/>
              </w:rPr>
              <w:t>[treatment 1]</w:t>
            </w:r>
            <w:r w:rsidRPr="005F4F72">
              <w:rPr>
                <w:rFonts w:asciiTheme="minorHAnsi" w:hAnsiTheme="minorHAnsi" w:cs="TimesNewRomanPSMT"/>
              </w:rPr>
              <w:t>. In this study we have decided to power the trial to show a 15% difference in effectiveness. We therefore, will recruit sufficient patients to give us 80% power (5% two sided significance) to show a difference i</w:t>
            </w:r>
            <w:r>
              <w:rPr>
                <w:rFonts w:asciiTheme="minorHAnsi" w:hAnsiTheme="minorHAnsi" w:cs="TimesNewRomanPSMT"/>
              </w:rPr>
              <w:t>n cure rates of 70% versus 85%.</w:t>
            </w:r>
          </w:p>
        </w:tc>
      </w:tr>
      <w:tr w:rsidR="005F4F72" w:rsidRPr="005F4F72" w:rsidTr="000830FE">
        <w:tc>
          <w:tcPr>
            <w:tcW w:w="1320" w:type="dxa"/>
          </w:tcPr>
          <w:p w:rsidR="005F4F72" w:rsidRPr="005F4F72" w:rsidRDefault="005F4F72" w:rsidP="005F4F72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5F4F72">
              <w:rPr>
                <w:rFonts w:asciiTheme="minorHAnsi" w:hAnsiTheme="minorHAnsi" w:cs="Arial"/>
                <w:bCs/>
                <w:lang w:eastAsia="en-GB"/>
              </w:rPr>
              <w:t>9</w:t>
            </w:r>
          </w:p>
        </w:tc>
        <w:tc>
          <w:tcPr>
            <w:tcW w:w="7087" w:type="dxa"/>
          </w:tcPr>
          <w:p w:rsidR="005F4F72" w:rsidRPr="005F4F72" w:rsidRDefault="005F4F72" w:rsidP="005F4F72">
            <w:pPr>
              <w:spacing w:after="0" w:line="480" w:lineRule="auto"/>
              <w:rPr>
                <w:rFonts w:asciiTheme="minorHAnsi" w:hAnsiTheme="minorHAnsi"/>
              </w:rPr>
            </w:pPr>
            <w:r w:rsidRPr="005F4F72">
              <w:rPr>
                <w:rFonts w:asciiTheme="minorHAnsi" w:hAnsiTheme="minorHAnsi" w:cs="Arial"/>
                <w:bCs/>
                <w:lang w:eastAsia="en-GB"/>
              </w:rPr>
              <w:t xml:space="preserve">Based on the Cochrane review and other data, the anticipated incidence of </w:t>
            </w:r>
            <w:r w:rsidRPr="005F4F72">
              <w:rPr>
                <w:rFonts w:asciiTheme="minorHAnsi" w:hAnsiTheme="minorHAnsi" w:cs="Arial"/>
                <w:bCs/>
                <w:i/>
                <w:lang w:eastAsia="en-GB"/>
              </w:rPr>
              <w:t>[outcome</w:t>
            </w:r>
            <w:r>
              <w:rPr>
                <w:rFonts w:asciiTheme="minorHAnsi" w:hAnsiTheme="minorHAnsi" w:cs="Arial"/>
                <w:bCs/>
                <w:i/>
                <w:lang w:eastAsia="en-GB"/>
              </w:rPr>
              <w:t xml:space="preserve"> </w:t>
            </w:r>
            <w:r w:rsidRPr="005F4F72">
              <w:rPr>
                <w:rFonts w:asciiTheme="minorHAnsi" w:hAnsiTheme="minorHAnsi" w:cs="Arial"/>
                <w:bCs/>
                <w:i/>
                <w:lang w:eastAsia="en-GB"/>
              </w:rPr>
              <w:t>1]</w:t>
            </w:r>
            <w:r w:rsidRPr="005F4F72">
              <w:rPr>
                <w:rFonts w:asciiTheme="minorHAnsi" w:hAnsiTheme="minorHAnsi" w:cs="Arial"/>
                <w:bCs/>
                <w:lang w:eastAsia="en-GB"/>
              </w:rPr>
              <w:t xml:space="preserve"> in the standard control group is 7% and it is reasonable to hypothesise that [</w:t>
            </w:r>
            <w:r w:rsidRPr="005F4F72">
              <w:rPr>
                <w:rFonts w:asciiTheme="minorHAnsi" w:hAnsiTheme="minorHAnsi" w:cs="Arial"/>
                <w:bCs/>
                <w:i/>
                <w:lang w:eastAsia="en-GB"/>
              </w:rPr>
              <w:t>treatment</w:t>
            </w:r>
            <w:r>
              <w:rPr>
                <w:rFonts w:asciiTheme="minorHAnsi" w:hAnsiTheme="minorHAnsi" w:cs="Arial"/>
                <w:bCs/>
                <w:i/>
                <w:lang w:eastAsia="en-GB"/>
              </w:rPr>
              <w:t xml:space="preserve"> </w:t>
            </w:r>
            <w:r w:rsidRPr="005F4F72">
              <w:rPr>
                <w:rFonts w:asciiTheme="minorHAnsi" w:hAnsiTheme="minorHAnsi" w:cs="Arial"/>
                <w:bCs/>
                <w:i/>
                <w:lang w:eastAsia="en-GB"/>
              </w:rPr>
              <w:t>1</w:t>
            </w:r>
            <w:r>
              <w:rPr>
                <w:rFonts w:asciiTheme="minorHAnsi" w:hAnsiTheme="minorHAnsi" w:cs="Arial"/>
                <w:bCs/>
                <w:lang w:eastAsia="en-GB"/>
              </w:rPr>
              <w:t>] will reduce this to about 4%.</w:t>
            </w:r>
          </w:p>
        </w:tc>
      </w:tr>
      <w:tr w:rsidR="005F4F72" w:rsidRPr="005F4F72" w:rsidTr="000830FE">
        <w:tc>
          <w:tcPr>
            <w:tcW w:w="1320" w:type="dxa"/>
          </w:tcPr>
          <w:p w:rsidR="005F4F72" w:rsidRPr="005F4F72" w:rsidRDefault="005F4F72" w:rsidP="008D24E5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5F4F72">
              <w:rPr>
                <w:rFonts w:asciiTheme="minorHAnsi" w:hAnsiTheme="minorHAnsi" w:cs="Arial"/>
                <w:bCs/>
                <w:lang w:eastAsia="en-GB"/>
              </w:rPr>
              <w:t>14</w:t>
            </w:r>
          </w:p>
        </w:tc>
        <w:tc>
          <w:tcPr>
            <w:tcW w:w="7087" w:type="dxa"/>
          </w:tcPr>
          <w:p w:rsidR="005F4F72" w:rsidRPr="005F4F72" w:rsidRDefault="005F4F72" w:rsidP="008D24E5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5F4F72">
              <w:rPr>
                <w:rFonts w:asciiTheme="minorHAnsi" w:hAnsiTheme="minorHAnsi"/>
              </w:rPr>
              <w:t xml:space="preserve">A combined event rate </w:t>
            </w:r>
            <w:r w:rsidRPr="005F4F72">
              <w:rPr>
                <w:rFonts w:asciiTheme="minorHAnsi" w:hAnsiTheme="minorHAnsi"/>
                <w:i/>
              </w:rPr>
              <w:t>[outcome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5F4F72">
              <w:rPr>
                <w:rFonts w:asciiTheme="minorHAnsi" w:hAnsiTheme="minorHAnsi"/>
                <w:i/>
              </w:rPr>
              <w:t>1]</w:t>
            </w:r>
            <w:r w:rsidRPr="005F4F72">
              <w:rPr>
                <w:rFonts w:asciiTheme="minorHAnsi" w:hAnsiTheme="minorHAnsi"/>
              </w:rPr>
              <w:t xml:space="preserve"> (21.5%) was used to estimate the occurrence </w:t>
            </w:r>
            <w:r w:rsidRPr="005F4F72">
              <w:rPr>
                <w:rFonts w:asciiTheme="minorHAnsi" w:hAnsiTheme="minorHAnsi"/>
                <w:i/>
              </w:rPr>
              <w:t>[of outcome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Pr="005F4F72">
              <w:rPr>
                <w:rFonts w:asciiTheme="minorHAnsi" w:hAnsiTheme="minorHAnsi"/>
                <w:i/>
              </w:rPr>
              <w:t>2]</w:t>
            </w:r>
            <w:r w:rsidRPr="005F4F72">
              <w:rPr>
                <w:rFonts w:asciiTheme="minorHAnsi" w:hAnsiTheme="minorHAnsi"/>
              </w:rPr>
              <w:t xml:space="preserve"> as 20% f</w:t>
            </w:r>
            <w:r>
              <w:rPr>
                <w:rFonts w:asciiTheme="minorHAnsi" w:hAnsiTheme="minorHAnsi"/>
              </w:rPr>
              <w:t>or the sample size calculation.</w:t>
            </w:r>
          </w:p>
        </w:tc>
      </w:tr>
    </w:tbl>
    <w:p w:rsidR="00DA3227" w:rsidRDefault="005F4F72"/>
    <w:sectPr w:rsidR="00DA3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61"/>
    <w:rsid w:val="001317D4"/>
    <w:rsid w:val="00343FDA"/>
    <w:rsid w:val="00546F61"/>
    <w:rsid w:val="005F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F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F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Ashley</dc:creator>
  <cp:lastModifiedBy>Jones, Ashley</cp:lastModifiedBy>
  <cp:revision>2</cp:revision>
  <dcterms:created xsi:type="dcterms:W3CDTF">2013-03-06T11:14:00Z</dcterms:created>
  <dcterms:modified xsi:type="dcterms:W3CDTF">2013-03-06T15:30:00Z</dcterms:modified>
</cp:coreProperties>
</file>