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7C3" w:rsidRPr="00DC5E56" w:rsidRDefault="000717C3" w:rsidP="00DC5E56">
      <w:pPr>
        <w:spacing w:line="480" w:lineRule="auto"/>
        <w:rPr>
          <w:rFonts w:asciiTheme="minorHAnsi" w:hAnsiTheme="minorHAnsi" w:cs="Arial"/>
          <w:bCs/>
          <w:lang w:eastAsia="en-GB"/>
        </w:rPr>
      </w:pPr>
      <w:r w:rsidRPr="00DC5E56">
        <w:rPr>
          <w:rFonts w:asciiTheme="minorHAnsi" w:hAnsiTheme="minorHAnsi" w:cs="Arial"/>
          <w:bCs/>
          <w:lang w:eastAsia="en-GB"/>
        </w:rPr>
        <w:t>Table 1: How an application used a systematic review to justify the duration of follow up.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20"/>
        <w:gridCol w:w="7087"/>
      </w:tblGrid>
      <w:tr w:rsidR="000717C3" w:rsidRPr="00DC5E56" w:rsidTr="000830FE">
        <w:tc>
          <w:tcPr>
            <w:tcW w:w="1320" w:type="dxa"/>
          </w:tcPr>
          <w:p w:rsidR="000717C3" w:rsidRPr="00DC5E56" w:rsidRDefault="000717C3" w:rsidP="00DC5E56">
            <w:pPr>
              <w:spacing w:after="0" w:line="480" w:lineRule="auto"/>
              <w:rPr>
                <w:rFonts w:asciiTheme="minorHAnsi" w:hAnsiTheme="minorHAnsi" w:cs="Arial"/>
                <w:bCs/>
                <w:lang w:eastAsia="en-GB"/>
              </w:rPr>
            </w:pPr>
            <w:r w:rsidRPr="00DC5E56">
              <w:rPr>
                <w:rFonts w:asciiTheme="minorHAnsi" w:hAnsiTheme="minorHAnsi" w:cs="Arial"/>
                <w:bCs/>
                <w:lang w:eastAsia="en-GB"/>
              </w:rPr>
              <w:t>Application</w:t>
            </w:r>
          </w:p>
        </w:tc>
        <w:tc>
          <w:tcPr>
            <w:tcW w:w="7087" w:type="dxa"/>
          </w:tcPr>
          <w:p w:rsidR="000717C3" w:rsidRPr="00DC5E56" w:rsidRDefault="000717C3" w:rsidP="00DC5E56">
            <w:pPr>
              <w:spacing w:after="0" w:line="480" w:lineRule="auto"/>
              <w:rPr>
                <w:rFonts w:asciiTheme="minorHAnsi" w:hAnsiTheme="minorHAnsi" w:cs="Arial"/>
                <w:bCs/>
                <w:lang w:eastAsia="en-GB"/>
              </w:rPr>
            </w:pPr>
            <w:r w:rsidRPr="00DC5E56">
              <w:rPr>
                <w:rFonts w:asciiTheme="minorHAnsi" w:hAnsiTheme="minorHAnsi" w:cs="Arial"/>
                <w:bCs/>
                <w:lang w:eastAsia="en-GB"/>
              </w:rPr>
              <w:t>Statement</w:t>
            </w:r>
          </w:p>
        </w:tc>
      </w:tr>
      <w:tr w:rsidR="00E57735" w:rsidRPr="00DC5E56" w:rsidTr="000830FE">
        <w:tc>
          <w:tcPr>
            <w:tcW w:w="1320" w:type="dxa"/>
          </w:tcPr>
          <w:p w:rsidR="00E57735" w:rsidRPr="00DC5E56" w:rsidRDefault="00E57735" w:rsidP="00CA2458">
            <w:pPr>
              <w:spacing w:after="0" w:line="480" w:lineRule="auto"/>
              <w:rPr>
                <w:rFonts w:asciiTheme="minorHAnsi" w:hAnsiTheme="minorHAnsi" w:cs="Arial"/>
                <w:bCs/>
                <w:lang w:eastAsia="en-GB"/>
              </w:rPr>
            </w:pPr>
            <w:r w:rsidRPr="00DC5E56">
              <w:rPr>
                <w:rFonts w:asciiTheme="minorHAnsi" w:hAnsiTheme="minorHAnsi" w:cs="Arial"/>
                <w:bCs/>
                <w:lang w:eastAsia="en-GB"/>
              </w:rPr>
              <w:t>2</w:t>
            </w:r>
          </w:p>
        </w:tc>
        <w:tc>
          <w:tcPr>
            <w:tcW w:w="7087" w:type="dxa"/>
          </w:tcPr>
          <w:p w:rsidR="00E57735" w:rsidRPr="00DC5E56" w:rsidRDefault="00E57735" w:rsidP="00CA2458">
            <w:pPr>
              <w:shd w:val="clear" w:color="auto" w:fill="FFFFFF"/>
              <w:spacing w:before="100" w:beforeAutospacing="1" w:after="75" w:line="480" w:lineRule="auto"/>
              <w:outlineLvl w:val="3"/>
              <w:rPr>
                <w:rFonts w:asciiTheme="minorHAnsi" w:hAnsiTheme="minorHAnsi" w:cs="Arial"/>
                <w:bCs/>
                <w:lang w:eastAsia="en-GB"/>
              </w:rPr>
            </w:pPr>
            <w:r w:rsidRPr="00DC5E56">
              <w:rPr>
                <w:rFonts w:asciiTheme="minorHAnsi" w:hAnsiTheme="minorHAnsi" w:cs="Arial"/>
                <w:bCs/>
                <w:lang w:eastAsia="en-GB"/>
              </w:rPr>
              <w:t>The absence of long term follow-up and the tendency for post-intervention effects</w:t>
            </w:r>
            <w:r w:rsidRPr="00DC5E56">
              <w:rPr>
                <w:rFonts w:asciiTheme="minorHAnsi" w:hAnsiTheme="minorHAnsi" w:cs="Arial"/>
                <w:bCs/>
                <w:i/>
                <w:lang w:eastAsia="en-GB"/>
              </w:rPr>
              <w:t xml:space="preserve"> [...]</w:t>
            </w:r>
            <w:r w:rsidRPr="00DC5E56">
              <w:rPr>
                <w:rFonts w:asciiTheme="minorHAnsi" w:hAnsiTheme="minorHAnsi" w:cs="Arial"/>
                <w:bCs/>
                <w:lang w:eastAsia="en-GB"/>
              </w:rPr>
              <w:t xml:space="preserve"> to diminish af</w:t>
            </w:r>
            <w:r>
              <w:rPr>
                <w:rFonts w:asciiTheme="minorHAnsi" w:hAnsiTheme="minorHAnsi" w:cs="Arial"/>
                <w:bCs/>
                <w:lang w:eastAsia="en-GB"/>
              </w:rPr>
              <w:t>ter 6 months have been noted.</w:t>
            </w:r>
          </w:p>
        </w:tc>
      </w:tr>
      <w:tr w:rsidR="00E57735" w:rsidRPr="00DC5E56" w:rsidTr="000830FE">
        <w:tc>
          <w:tcPr>
            <w:tcW w:w="1320" w:type="dxa"/>
          </w:tcPr>
          <w:p w:rsidR="00E57735" w:rsidRPr="00DC5E56" w:rsidRDefault="00E57735" w:rsidP="00DC5E56">
            <w:pPr>
              <w:spacing w:after="0" w:line="480" w:lineRule="auto"/>
              <w:rPr>
                <w:rFonts w:asciiTheme="minorHAnsi" w:hAnsiTheme="minorHAnsi" w:cs="Arial"/>
                <w:bCs/>
                <w:lang w:eastAsia="en-GB"/>
              </w:rPr>
            </w:pPr>
            <w:r w:rsidRPr="00DC5E56">
              <w:rPr>
                <w:rFonts w:asciiTheme="minorHAnsi" w:hAnsiTheme="minorHAnsi" w:cs="Arial"/>
                <w:bCs/>
                <w:lang w:eastAsia="en-GB"/>
              </w:rPr>
              <w:t>5</w:t>
            </w:r>
          </w:p>
        </w:tc>
        <w:tc>
          <w:tcPr>
            <w:tcW w:w="7087" w:type="dxa"/>
          </w:tcPr>
          <w:p w:rsidR="00E57735" w:rsidRPr="00DC5E56" w:rsidRDefault="00E57735" w:rsidP="00DC5E56">
            <w:pPr>
              <w:spacing w:after="0" w:line="480" w:lineRule="auto"/>
              <w:rPr>
                <w:rFonts w:asciiTheme="minorHAnsi" w:hAnsiTheme="minorHAnsi"/>
              </w:rPr>
            </w:pPr>
            <w:r w:rsidRPr="00DC5E56">
              <w:rPr>
                <w:rFonts w:asciiTheme="minorHAnsi" w:hAnsiTheme="minorHAnsi" w:cs="Arial"/>
                <w:bCs/>
                <w:lang w:eastAsia="en-GB"/>
              </w:rPr>
              <w:t>Based on existing evidence there is a need for sufficiently long term follow up</w:t>
            </w:r>
            <w:r>
              <w:rPr>
                <w:rFonts w:asciiTheme="minorHAnsi" w:hAnsiTheme="minorHAnsi" w:cs="Arial"/>
                <w:b/>
                <w:bCs/>
                <w:lang w:eastAsia="en-GB"/>
              </w:rPr>
              <w:t>.</w:t>
            </w:r>
          </w:p>
        </w:tc>
      </w:tr>
      <w:tr w:rsidR="00E57735" w:rsidRPr="00DC5E56" w:rsidTr="000830FE">
        <w:tc>
          <w:tcPr>
            <w:tcW w:w="1320" w:type="dxa"/>
          </w:tcPr>
          <w:p w:rsidR="00E57735" w:rsidRPr="00DC5E56" w:rsidRDefault="00E57735" w:rsidP="00DC5E56">
            <w:pPr>
              <w:tabs>
                <w:tab w:val="left" w:pos="574"/>
              </w:tabs>
              <w:spacing w:after="0" w:line="480" w:lineRule="auto"/>
              <w:rPr>
                <w:rFonts w:asciiTheme="minorHAnsi" w:hAnsiTheme="minorHAnsi" w:cs="Arial"/>
                <w:bCs/>
                <w:lang w:eastAsia="en-GB"/>
              </w:rPr>
            </w:pPr>
            <w:r w:rsidRPr="00DC5E56">
              <w:rPr>
                <w:rFonts w:asciiTheme="minorHAnsi" w:hAnsiTheme="minorHAnsi" w:cs="Arial"/>
                <w:bCs/>
                <w:lang w:eastAsia="en-GB"/>
              </w:rPr>
              <w:t>11</w:t>
            </w:r>
          </w:p>
        </w:tc>
        <w:tc>
          <w:tcPr>
            <w:tcW w:w="7087" w:type="dxa"/>
          </w:tcPr>
          <w:p w:rsidR="00E57735" w:rsidRPr="00DC5E56" w:rsidRDefault="00E57735" w:rsidP="00DC5E56">
            <w:pPr>
              <w:shd w:val="clear" w:color="auto" w:fill="FFFFFF"/>
              <w:spacing w:before="100" w:beforeAutospacing="1" w:after="75" w:line="480" w:lineRule="auto"/>
              <w:outlineLvl w:val="3"/>
              <w:rPr>
                <w:rFonts w:asciiTheme="minorHAnsi" w:hAnsiTheme="minorHAnsi" w:cs="Arial"/>
                <w:bCs/>
                <w:lang w:eastAsia="en-GB"/>
              </w:rPr>
            </w:pPr>
            <w:r w:rsidRPr="00DC5E56">
              <w:rPr>
                <w:rFonts w:asciiTheme="minorHAnsi" w:hAnsiTheme="minorHAnsi" w:cs="Arial"/>
                <w:bCs/>
                <w:lang w:eastAsia="en-GB"/>
              </w:rPr>
              <w:t xml:space="preserve">A recent Cochrane review concluded that there was limited evidence that </w:t>
            </w:r>
            <w:r w:rsidRPr="00DC5E56">
              <w:rPr>
                <w:rFonts w:asciiTheme="minorHAnsi" w:hAnsiTheme="minorHAnsi" w:cs="Arial"/>
                <w:bCs/>
                <w:i/>
                <w:lang w:eastAsia="en-GB"/>
              </w:rPr>
              <w:t>[treatment</w:t>
            </w:r>
            <w:r>
              <w:rPr>
                <w:rFonts w:asciiTheme="minorHAnsi" w:hAnsiTheme="minorHAnsi" w:cs="Arial"/>
                <w:bCs/>
                <w:i/>
                <w:lang w:eastAsia="en-GB"/>
              </w:rPr>
              <w:t xml:space="preserve"> </w:t>
            </w:r>
            <w:r w:rsidRPr="00DC5E56">
              <w:rPr>
                <w:rFonts w:asciiTheme="minorHAnsi" w:hAnsiTheme="minorHAnsi" w:cs="Arial"/>
                <w:bCs/>
                <w:i/>
                <w:lang w:eastAsia="en-GB"/>
              </w:rPr>
              <w:t>1]</w:t>
            </w:r>
            <w:r w:rsidRPr="00DC5E56">
              <w:rPr>
                <w:rFonts w:asciiTheme="minorHAnsi" w:hAnsiTheme="minorHAnsi" w:cs="Arial"/>
                <w:bCs/>
                <w:lang w:eastAsia="en-GB"/>
              </w:rPr>
              <w:t xml:space="preserve"> was more effective than standard treatment </w:t>
            </w:r>
            <w:r w:rsidRPr="00DC5E56">
              <w:rPr>
                <w:rFonts w:asciiTheme="minorHAnsi" w:hAnsiTheme="minorHAnsi" w:cs="Arial"/>
                <w:bCs/>
                <w:i/>
                <w:lang w:eastAsia="en-GB"/>
              </w:rPr>
              <w:t>[...]</w:t>
            </w:r>
            <w:r w:rsidRPr="00DC5E56">
              <w:rPr>
                <w:rFonts w:asciiTheme="minorHAnsi" w:hAnsiTheme="minorHAnsi" w:cs="Arial"/>
                <w:bCs/>
                <w:lang w:eastAsia="en-GB"/>
              </w:rPr>
              <w:t xml:space="preserve"> and that l</w:t>
            </w:r>
            <w:r>
              <w:rPr>
                <w:rFonts w:asciiTheme="minorHAnsi" w:hAnsiTheme="minorHAnsi" w:cs="Arial"/>
                <w:bCs/>
                <w:lang w:eastAsia="en-GB"/>
              </w:rPr>
              <w:t>ong term benefits were unclear.</w:t>
            </w:r>
          </w:p>
        </w:tc>
      </w:tr>
      <w:tr w:rsidR="00E57735" w:rsidRPr="00DC5E56" w:rsidTr="000830FE">
        <w:tc>
          <w:tcPr>
            <w:tcW w:w="1320" w:type="dxa"/>
          </w:tcPr>
          <w:p w:rsidR="00E57735" w:rsidRPr="00DC5E56" w:rsidRDefault="00E57735" w:rsidP="00CA2458">
            <w:pPr>
              <w:spacing w:after="0" w:line="480" w:lineRule="auto"/>
              <w:rPr>
                <w:rFonts w:asciiTheme="minorHAnsi" w:hAnsiTheme="minorHAnsi" w:cs="Arial"/>
                <w:bCs/>
                <w:lang w:eastAsia="en-GB"/>
              </w:rPr>
            </w:pPr>
            <w:r w:rsidRPr="00DC5E56">
              <w:rPr>
                <w:rFonts w:asciiTheme="minorHAnsi" w:hAnsiTheme="minorHAnsi" w:cs="Arial"/>
                <w:bCs/>
                <w:lang w:eastAsia="en-GB"/>
              </w:rPr>
              <w:t>12</w:t>
            </w:r>
          </w:p>
        </w:tc>
        <w:tc>
          <w:tcPr>
            <w:tcW w:w="7087" w:type="dxa"/>
          </w:tcPr>
          <w:p w:rsidR="00E57735" w:rsidRPr="00DC5E56" w:rsidRDefault="00E57735" w:rsidP="00CA2458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inorHAnsi" w:hAnsiTheme="minorHAnsi" w:cs="Tahoma"/>
              </w:rPr>
            </w:pPr>
            <w:r w:rsidRPr="00DC5E56">
              <w:rPr>
                <w:rFonts w:asciiTheme="minorHAnsi" w:hAnsiTheme="minorHAnsi" w:cs="Tahoma"/>
                <w:i/>
              </w:rPr>
              <w:t xml:space="preserve"> [</w:t>
            </w:r>
            <w:proofErr w:type="gramStart"/>
            <w:r w:rsidRPr="00DC5E56">
              <w:rPr>
                <w:rFonts w:asciiTheme="minorHAnsi" w:hAnsiTheme="minorHAnsi" w:cs="Tahoma"/>
                <w:i/>
              </w:rPr>
              <w:t>the</w:t>
            </w:r>
            <w:proofErr w:type="gramEnd"/>
            <w:r w:rsidRPr="00DC5E56">
              <w:rPr>
                <w:rFonts w:asciiTheme="minorHAnsi" w:hAnsiTheme="minorHAnsi" w:cs="Tahoma"/>
                <w:i/>
              </w:rPr>
              <w:t xml:space="preserve"> authors of a trial included in the systematic review]</w:t>
            </w:r>
            <w:r w:rsidRPr="00DC5E56">
              <w:rPr>
                <w:rFonts w:asciiTheme="minorHAnsi" w:hAnsiTheme="minorHAnsi" w:cs="Tahoma"/>
              </w:rPr>
              <w:t xml:space="preserve"> acknowledged the need for research into</w:t>
            </w:r>
            <w:r w:rsidRPr="00DC5E56">
              <w:rPr>
                <w:rFonts w:asciiTheme="minorHAnsi" w:hAnsiTheme="minorHAnsi" w:cs="Tahoma"/>
                <w:i/>
              </w:rPr>
              <w:t xml:space="preserve"> [...]</w:t>
            </w:r>
            <w:r>
              <w:rPr>
                <w:rFonts w:asciiTheme="minorHAnsi" w:hAnsiTheme="minorHAnsi" w:cs="Tahoma"/>
              </w:rPr>
              <w:t xml:space="preserve"> longer-term treatment.</w:t>
            </w:r>
          </w:p>
        </w:tc>
      </w:tr>
      <w:tr w:rsidR="00E57735" w:rsidRPr="00DC5E56" w:rsidTr="000830FE">
        <w:tc>
          <w:tcPr>
            <w:tcW w:w="1320" w:type="dxa"/>
          </w:tcPr>
          <w:p w:rsidR="00E57735" w:rsidRPr="00DC5E56" w:rsidRDefault="00E57735" w:rsidP="00CA2458">
            <w:pPr>
              <w:spacing w:after="0" w:line="480" w:lineRule="auto"/>
              <w:rPr>
                <w:rFonts w:asciiTheme="minorHAnsi" w:hAnsiTheme="minorHAnsi" w:cs="Arial"/>
                <w:bCs/>
                <w:lang w:eastAsia="en-GB"/>
              </w:rPr>
            </w:pPr>
            <w:r w:rsidRPr="00DC5E56">
              <w:rPr>
                <w:rFonts w:asciiTheme="minorHAnsi" w:hAnsiTheme="minorHAnsi" w:cs="Arial"/>
                <w:bCs/>
                <w:lang w:eastAsia="en-GB"/>
              </w:rPr>
              <w:t>16</w:t>
            </w:r>
          </w:p>
        </w:tc>
        <w:tc>
          <w:tcPr>
            <w:tcW w:w="7087" w:type="dxa"/>
          </w:tcPr>
          <w:p w:rsidR="00E57735" w:rsidRPr="00DC5E56" w:rsidRDefault="00E57735" w:rsidP="00CA2458">
            <w:pPr>
              <w:shd w:val="clear" w:color="auto" w:fill="FFFFFF"/>
              <w:spacing w:before="100" w:beforeAutospacing="1" w:after="75" w:line="480" w:lineRule="auto"/>
              <w:outlineLvl w:val="3"/>
              <w:rPr>
                <w:rFonts w:asciiTheme="minorHAnsi" w:hAnsiTheme="minorHAnsi" w:cs="Arial"/>
                <w:bCs/>
                <w:lang w:eastAsia="en-GB"/>
              </w:rPr>
            </w:pPr>
            <w:r w:rsidRPr="00DC5E56">
              <w:rPr>
                <w:rFonts w:asciiTheme="minorHAnsi" w:hAnsiTheme="minorHAnsi" w:cs="Arial"/>
                <w:bCs/>
                <w:lang w:eastAsia="en-GB"/>
              </w:rPr>
              <w:t xml:space="preserve">Only one of the trials studied whether any benefits of </w:t>
            </w:r>
            <w:r w:rsidRPr="00DC5E56">
              <w:rPr>
                <w:rFonts w:asciiTheme="minorHAnsi" w:hAnsiTheme="minorHAnsi" w:cs="Arial"/>
                <w:bCs/>
                <w:i/>
                <w:lang w:eastAsia="en-GB"/>
              </w:rPr>
              <w:t>[the intervention]</w:t>
            </w:r>
            <w:r w:rsidRPr="00DC5E56">
              <w:rPr>
                <w:rFonts w:asciiTheme="minorHAnsi" w:hAnsiTheme="minorHAnsi" w:cs="Arial"/>
                <w:bCs/>
                <w:lang w:eastAsia="en-GB"/>
              </w:rPr>
              <w:t xml:space="preserve"> outlasted the duration of the intervention. In the meta-regression the length of follow-up was an important source of heterogeneity, with those of shortest duration reporting the largest effects suggesting that effects may be weak or non-existent over the long-term. In the context of a chronic relapsing and remitting disease it is important to estimate the long-term as well as the short-term effects, though even a short term benefit may still be cost-effective.’</w:t>
            </w:r>
          </w:p>
        </w:tc>
      </w:tr>
      <w:tr w:rsidR="00E57735" w:rsidRPr="00DC5E56" w:rsidTr="000830FE">
        <w:tc>
          <w:tcPr>
            <w:tcW w:w="1320" w:type="dxa"/>
          </w:tcPr>
          <w:p w:rsidR="00E57735" w:rsidRPr="00DC5E56" w:rsidRDefault="00E57735" w:rsidP="00DC5E56">
            <w:pPr>
              <w:spacing w:after="0" w:line="480" w:lineRule="auto"/>
              <w:rPr>
                <w:rFonts w:asciiTheme="minorHAnsi" w:hAnsiTheme="minorHAnsi" w:cs="Arial"/>
                <w:bCs/>
                <w:lang w:eastAsia="en-GB"/>
              </w:rPr>
            </w:pPr>
            <w:bookmarkStart w:id="0" w:name="_GoBack"/>
            <w:bookmarkEnd w:id="0"/>
            <w:r w:rsidRPr="00DC5E56">
              <w:rPr>
                <w:rFonts w:asciiTheme="minorHAnsi" w:hAnsiTheme="minorHAnsi" w:cs="Arial"/>
                <w:bCs/>
                <w:lang w:eastAsia="en-GB"/>
              </w:rPr>
              <w:t>17</w:t>
            </w:r>
          </w:p>
        </w:tc>
        <w:tc>
          <w:tcPr>
            <w:tcW w:w="7087" w:type="dxa"/>
          </w:tcPr>
          <w:p w:rsidR="00E57735" w:rsidRPr="00DC5E56" w:rsidRDefault="00E57735" w:rsidP="00DC5E56">
            <w:pPr>
              <w:shd w:val="clear" w:color="auto" w:fill="FFFFFF"/>
              <w:spacing w:before="100" w:beforeAutospacing="1" w:after="75" w:line="480" w:lineRule="auto"/>
              <w:outlineLvl w:val="3"/>
              <w:rPr>
                <w:rFonts w:asciiTheme="minorHAnsi" w:hAnsiTheme="minorHAnsi" w:cs="Arial"/>
                <w:bCs/>
                <w:lang w:eastAsia="en-GB"/>
              </w:rPr>
            </w:pPr>
            <w:r w:rsidRPr="00DC5E56">
              <w:rPr>
                <w:rFonts w:asciiTheme="minorHAnsi" w:hAnsiTheme="minorHAnsi" w:cs="Arial"/>
                <w:bCs/>
                <w:lang w:eastAsia="en-GB"/>
              </w:rPr>
              <w:t xml:space="preserve">Unfortunately, the long term effectiveness </w:t>
            </w:r>
            <w:r w:rsidRPr="00DC5E56">
              <w:rPr>
                <w:rFonts w:asciiTheme="minorHAnsi" w:hAnsiTheme="minorHAnsi" w:cs="Arial"/>
                <w:bCs/>
                <w:i/>
                <w:lang w:eastAsia="en-GB"/>
              </w:rPr>
              <w:t>[treatment 1]</w:t>
            </w:r>
            <w:r w:rsidRPr="00DC5E56">
              <w:rPr>
                <w:rFonts w:asciiTheme="minorHAnsi" w:hAnsiTheme="minorHAnsi" w:cs="Arial"/>
                <w:bCs/>
                <w:lang w:eastAsia="en-GB"/>
              </w:rPr>
              <w:t xml:space="preserve"> has not been rigorously established as these studies </w:t>
            </w:r>
            <w:r w:rsidRPr="00DC5E56">
              <w:rPr>
                <w:rFonts w:asciiTheme="minorHAnsi" w:hAnsiTheme="minorHAnsi" w:cs="Arial"/>
                <w:bCs/>
                <w:i/>
                <w:lang w:eastAsia="en-GB"/>
              </w:rPr>
              <w:t>[in the systematic review]</w:t>
            </w:r>
            <w:r w:rsidRPr="00DC5E56">
              <w:rPr>
                <w:rFonts w:asciiTheme="minorHAnsi" w:hAnsiTheme="minorHAnsi" w:cs="Arial"/>
                <w:bCs/>
                <w:lang w:eastAsia="en-GB"/>
              </w:rPr>
              <w:t xml:space="preserve"> were small and only had short fol</w:t>
            </w:r>
            <w:r>
              <w:rPr>
                <w:rFonts w:asciiTheme="minorHAnsi" w:hAnsiTheme="minorHAnsi" w:cs="Arial"/>
                <w:bCs/>
                <w:lang w:eastAsia="en-GB"/>
              </w:rPr>
              <w:t>low-up limited to a few months.</w:t>
            </w:r>
          </w:p>
        </w:tc>
      </w:tr>
      <w:tr w:rsidR="00E57735" w:rsidRPr="00DC5E56" w:rsidTr="000830FE">
        <w:tc>
          <w:tcPr>
            <w:tcW w:w="1320" w:type="dxa"/>
          </w:tcPr>
          <w:p w:rsidR="00E57735" w:rsidRPr="00DC5E56" w:rsidRDefault="00E57735" w:rsidP="00DC5E56">
            <w:pPr>
              <w:spacing w:after="0" w:line="480" w:lineRule="auto"/>
              <w:rPr>
                <w:rFonts w:asciiTheme="minorHAnsi" w:hAnsiTheme="minorHAnsi" w:cs="Arial"/>
                <w:bCs/>
                <w:lang w:eastAsia="en-GB"/>
              </w:rPr>
            </w:pPr>
            <w:r w:rsidRPr="00DC5E56">
              <w:rPr>
                <w:rFonts w:asciiTheme="minorHAnsi" w:hAnsiTheme="minorHAnsi" w:cs="Arial"/>
                <w:bCs/>
                <w:lang w:eastAsia="en-GB"/>
              </w:rPr>
              <w:t>18</w:t>
            </w:r>
          </w:p>
        </w:tc>
        <w:tc>
          <w:tcPr>
            <w:tcW w:w="7087" w:type="dxa"/>
          </w:tcPr>
          <w:p w:rsidR="00E57735" w:rsidRPr="00DC5E56" w:rsidRDefault="00E57735" w:rsidP="00DC5E56">
            <w:pPr>
              <w:shd w:val="clear" w:color="auto" w:fill="FFFFFF"/>
              <w:spacing w:before="100" w:beforeAutospacing="1" w:after="75" w:line="480" w:lineRule="auto"/>
              <w:outlineLvl w:val="3"/>
              <w:rPr>
                <w:rFonts w:asciiTheme="minorHAnsi" w:hAnsiTheme="minorHAnsi" w:cs="Arial"/>
                <w:bCs/>
                <w:lang w:eastAsia="en-GB"/>
              </w:rPr>
            </w:pPr>
            <w:r w:rsidRPr="00DC5E56">
              <w:rPr>
                <w:rFonts w:asciiTheme="minorHAnsi" w:hAnsiTheme="minorHAnsi" w:cs="Arial"/>
                <w:bCs/>
                <w:lang w:eastAsia="en-GB"/>
              </w:rPr>
              <w:t xml:space="preserve">Although the literature supports the short-term efficacy of </w:t>
            </w:r>
            <w:r w:rsidRPr="00DC5E56">
              <w:rPr>
                <w:rFonts w:asciiTheme="minorHAnsi" w:hAnsiTheme="minorHAnsi" w:cs="Arial"/>
                <w:bCs/>
                <w:i/>
                <w:lang w:eastAsia="en-GB"/>
              </w:rPr>
              <w:t>[treatment 1]</w:t>
            </w:r>
            <w:r w:rsidRPr="00DC5E56">
              <w:rPr>
                <w:rFonts w:asciiTheme="minorHAnsi" w:hAnsiTheme="minorHAnsi" w:cs="Arial"/>
                <w:bCs/>
                <w:lang w:eastAsia="en-GB"/>
              </w:rPr>
              <w:t xml:space="preserve"> as an effective alternative to conventional </w:t>
            </w:r>
            <w:r w:rsidRPr="00DC5E56">
              <w:rPr>
                <w:rFonts w:asciiTheme="minorHAnsi" w:hAnsiTheme="minorHAnsi" w:cs="Arial"/>
                <w:bCs/>
                <w:i/>
                <w:lang w:eastAsia="en-GB"/>
              </w:rPr>
              <w:t>[treatment],</w:t>
            </w:r>
            <w:r>
              <w:rPr>
                <w:rFonts w:asciiTheme="minorHAnsi" w:hAnsiTheme="minorHAnsi" w:cs="Arial"/>
                <w:bCs/>
                <w:lang w:eastAsia="en-GB"/>
              </w:rPr>
              <w:t xml:space="preserve"> long-term data are </w:t>
            </w:r>
            <w:r>
              <w:rPr>
                <w:rFonts w:asciiTheme="minorHAnsi" w:hAnsiTheme="minorHAnsi" w:cs="Arial"/>
                <w:bCs/>
                <w:lang w:eastAsia="en-GB"/>
              </w:rPr>
              <w:lastRenderedPageBreak/>
              <w:t>lacking.</w:t>
            </w:r>
          </w:p>
        </w:tc>
      </w:tr>
      <w:tr w:rsidR="00E57735" w:rsidRPr="00DC5E56" w:rsidTr="000830FE">
        <w:tc>
          <w:tcPr>
            <w:tcW w:w="1320" w:type="dxa"/>
          </w:tcPr>
          <w:p w:rsidR="00E57735" w:rsidRPr="00DC5E56" w:rsidRDefault="00E57735" w:rsidP="00DC5E56">
            <w:pPr>
              <w:spacing w:after="0" w:line="480" w:lineRule="auto"/>
              <w:rPr>
                <w:rFonts w:asciiTheme="minorHAnsi" w:hAnsiTheme="minorHAnsi" w:cs="Arial"/>
                <w:bCs/>
                <w:lang w:eastAsia="en-GB"/>
              </w:rPr>
            </w:pPr>
            <w:r w:rsidRPr="00DC5E56">
              <w:rPr>
                <w:rFonts w:asciiTheme="minorHAnsi" w:hAnsiTheme="minorHAnsi" w:cs="Arial"/>
                <w:bCs/>
                <w:lang w:eastAsia="en-GB"/>
              </w:rPr>
              <w:lastRenderedPageBreak/>
              <w:t>20</w:t>
            </w:r>
          </w:p>
        </w:tc>
        <w:tc>
          <w:tcPr>
            <w:tcW w:w="7087" w:type="dxa"/>
          </w:tcPr>
          <w:p w:rsidR="00E57735" w:rsidRPr="00DC5E56" w:rsidRDefault="00E57735" w:rsidP="00DC5E56">
            <w:pPr>
              <w:shd w:val="clear" w:color="auto" w:fill="FFFFFF"/>
              <w:spacing w:before="100" w:beforeAutospacing="1" w:after="75" w:line="480" w:lineRule="auto"/>
              <w:outlineLvl w:val="3"/>
              <w:rPr>
                <w:rFonts w:asciiTheme="minorHAnsi" w:hAnsiTheme="minorHAnsi" w:cs="Arial"/>
                <w:bCs/>
                <w:lang w:eastAsia="en-GB"/>
              </w:rPr>
            </w:pPr>
            <w:r w:rsidRPr="00DC5E56">
              <w:rPr>
                <w:rFonts w:asciiTheme="minorHAnsi" w:hAnsiTheme="minorHAnsi" w:cs="Arial"/>
                <w:bCs/>
                <w:lang w:eastAsia="en-GB"/>
              </w:rPr>
              <w:t xml:space="preserve">Study should evaluate short term and long term effects of drug and possible AE on </w:t>
            </w:r>
            <w:r w:rsidRPr="00DC5E56">
              <w:rPr>
                <w:rFonts w:asciiTheme="minorHAnsi" w:hAnsiTheme="minorHAnsi" w:cs="Arial"/>
                <w:bCs/>
                <w:i/>
                <w:lang w:eastAsia="en-GB"/>
              </w:rPr>
              <w:t>[condition A].</w:t>
            </w:r>
          </w:p>
        </w:tc>
      </w:tr>
    </w:tbl>
    <w:p w:rsidR="00DA3227" w:rsidRDefault="00E57735"/>
    <w:sectPr w:rsidR="00DA32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7C3"/>
    <w:rsid w:val="000717C3"/>
    <w:rsid w:val="001317D4"/>
    <w:rsid w:val="00343FDA"/>
    <w:rsid w:val="00DC5E56"/>
    <w:rsid w:val="00E5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7C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7C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Ashley</dc:creator>
  <cp:lastModifiedBy>Jones, Ashley</cp:lastModifiedBy>
  <cp:revision>3</cp:revision>
  <dcterms:created xsi:type="dcterms:W3CDTF">2013-03-06T11:15:00Z</dcterms:created>
  <dcterms:modified xsi:type="dcterms:W3CDTF">2013-03-06T15:35:00Z</dcterms:modified>
</cp:coreProperties>
</file>