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17C" w:rsidRPr="003455FE" w:rsidRDefault="0050417C" w:rsidP="0050417C">
      <w:pPr>
        <w:spacing w:line="360" w:lineRule="auto"/>
        <w:jc w:val="center"/>
        <w:rPr>
          <w:rFonts w:ascii="Arial" w:hAnsi="Arial" w:cs="Arial"/>
          <w:b/>
        </w:rPr>
      </w:pPr>
      <w:r>
        <w:rPr>
          <w:rFonts w:ascii="Arial" w:hAnsi="Arial" w:cs="Arial"/>
          <w:b/>
        </w:rPr>
        <w:t>T</w:t>
      </w:r>
      <w:r w:rsidRPr="003455FE">
        <w:rPr>
          <w:rFonts w:ascii="Arial" w:hAnsi="Arial" w:cs="Arial"/>
          <w:b/>
        </w:rPr>
        <w:t>he physical capability of community</w:t>
      </w:r>
      <w:r>
        <w:rPr>
          <w:rFonts w:ascii="Arial" w:hAnsi="Arial" w:cs="Arial"/>
          <w:b/>
        </w:rPr>
        <w:t>-based</w:t>
      </w:r>
      <w:r w:rsidRPr="003455FE">
        <w:rPr>
          <w:rFonts w:ascii="Arial" w:hAnsi="Arial" w:cs="Arial"/>
          <w:b/>
        </w:rPr>
        <w:t xml:space="preserve"> men and women from a </w:t>
      </w:r>
      <w:r>
        <w:rPr>
          <w:rFonts w:ascii="Arial" w:hAnsi="Arial" w:cs="Arial"/>
          <w:b/>
        </w:rPr>
        <w:t>British</w:t>
      </w:r>
      <w:r w:rsidRPr="003455FE">
        <w:rPr>
          <w:rFonts w:ascii="Arial" w:hAnsi="Arial" w:cs="Arial"/>
          <w:b/>
        </w:rPr>
        <w:t xml:space="preserve"> cohort:  The European Prospective Investigation into Cancer (EPIC)-Norfolk Study</w:t>
      </w:r>
    </w:p>
    <w:p w:rsidR="00774F5C" w:rsidRPr="002D3437" w:rsidRDefault="00E40F3D" w:rsidP="00774F5C">
      <w:pPr>
        <w:rPr>
          <w:rFonts w:ascii="Arial" w:hAnsi="Arial" w:cs="Arial"/>
          <w:b/>
        </w:rPr>
      </w:pPr>
      <w:bookmarkStart w:id="0" w:name="_GoBack"/>
      <w:bookmarkEnd w:id="0"/>
      <w:r>
        <w:rPr>
          <w:rFonts w:ascii="Arial" w:hAnsi="Arial" w:cs="Arial"/>
          <w:b/>
        </w:rPr>
        <w:t>Additional File 4</w:t>
      </w:r>
    </w:p>
    <w:p w:rsidR="00774F5C" w:rsidRPr="00BE09D3" w:rsidRDefault="00774F5C" w:rsidP="00774F5C">
      <w:pPr>
        <w:rPr>
          <w:rFonts w:ascii="Arial" w:hAnsi="Arial" w:cs="Arial"/>
          <w:sz w:val="20"/>
          <w:szCs w:val="20"/>
        </w:rPr>
      </w:pPr>
      <w:r>
        <w:rPr>
          <w:rFonts w:ascii="Arial" w:hAnsi="Arial" w:cs="Arial"/>
          <w:b/>
          <w:sz w:val="20"/>
          <w:szCs w:val="20"/>
        </w:rPr>
        <w:t xml:space="preserve">Table </w:t>
      </w:r>
      <w:proofErr w:type="gramStart"/>
      <w:r w:rsidR="009F2581">
        <w:rPr>
          <w:rFonts w:ascii="Arial" w:hAnsi="Arial" w:cs="Arial"/>
          <w:b/>
          <w:sz w:val="20"/>
          <w:szCs w:val="20"/>
        </w:rPr>
        <w:t>S</w:t>
      </w:r>
      <w:r>
        <w:rPr>
          <w:rFonts w:ascii="Arial" w:hAnsi="Arial" w:cs="Arial"/>
          <w:b/>
          <w:sz w:val="20"/>
          <w:szCs w:val="20"/>
        </w:rPr>
        <w:t>1</w:t>
      </w:r>
      <w:r>
        <w:rPr>
          <w:rFonts w:ascii="Arial" w:hAnsi="Arial" w:cs="Arial"/>
          <w:sz w:val="20"/>
          <w:szCs w:val="20"/>
        </w:rPr>
        <w:t xml:space="preserve"> </w:t>
      </w:r>
      <w:r w:rsidRPr="00BE09D3">
        <w:rPr>
          <w:rFonts w:ascii="Arial" w:hAnsi="Arial" w:cs="Arial"/>
          <w:sz w:val="20"/>
          <w:szCs w:val="20"/>
        </w:rPr>
        <w:t xml:space="preserve"> European</w:t>
      </w:r>
      <w:proofErr w:type="gramEnd"/>
      <w:r w:rsidRPr="00BE09D3">
        <w:rPr>
          <w:rFonts w:ascii="Arial" w:hAnsi="Arial" w:cs="Arial"/>
          <w:sz w:val="20"/>
          <w:szCs w:val="20"/>
        </w:rPr>
        <w:t xml:space="preserve"> population-based studies reporting walkin</w:t>
      </w:r>
      <w:r>
        <w:rPr>
          <w:rFonts w:ascii="Arial" w:hAnsi="Arial" w:cs="Arial"/>
          <w:sz w:val="20"/>
          <w:szCs w:val="20"/>
        </w:rPr>
        <w:t>g speed by age group and sex</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FFFFF" w:themeFill="background1"/>
        <w:tblLayout w:type="fixed"/>
        <w:tblLook w:val="04A0"/>
      </w:tblPr>
      <w:tblGrid>
        <w:gridCol w:w="1242"/>
        <w:gridCol w:w="993"/>
        <w:gridCol w:w="708"/>
        <w:gridCol w:w="993"/>
        <w:gridCol w:w="992"/>
        <w:gridCol w:w="1276"/>
        <w:gridCol w:w="1519"/>
        <w:gridCol w:w="1519"/>
      </w:tblGrid>
      <w:tr w:rsidR="00774F5C" w:rsidTr="006118A1">
        <w:tc>
          <w:tcPr>
            <w:tcW w:w="1242" w:type="dxa"/>
            <w:tcBorders>
              <w:bottom w:val="nil"/>
            </w:tcBorders>
            <w:shd w:val="clear" w:color="auto" w:fill="FFFFFF" w:themeFill="background1"/>
          </w:tcPr>
          <w:p w:rsidR="00774F5C" w:rsidRDefault="00774F5C" w:rsidP="006118A1">
            <w:pPr>
              <w:jc w:val="center"/>
              <w:rPr>
                <w:rFonts w:ascii="Arial" w:hAnsi="Arial" w:cs="Arial"/>
                <w:b/>
                <w:sz w:val="18"/>
                <w:szCs w:val="18"/>
              </w:rPr>
            </w:pPr>
            <w:r w:rsidRPr="00B04D62">
              <w:rPr>
                <w:rFonts w:ascii="Arial" w:hAnsi="Arial" w:cs="Arial"/>
                <w:b/>
                <w:sz w:val="18"/>
                <w:szCs w:val="18"/>
              </w:rPr>
              <w:t>Study</w:t>
            </w:r>
          </w:p>
          <w:p w:rsidR="00774F5C" w:rsidRPr="00B04D62" w:rsidRDefault="00774F5C" w:rsidP="006118A1">
            <w:pPr>
              <w:jc w:val="center"/>
              <w:rPr>
                <w:rFonts w:ascii="Arial" w:hAnsi="Arial" w:cs="Arial"/>
                <w:b/>
                <w:sz w:val="18"/>
                <w:szCs w:val="18"/>
              </w:rPr>
            </w:pPr>
            <w:r>
              <w:rPr>
                <w:rFonts w:ascii="Arial" w:hAnsi="Arial" w:cs="Arial"/>
                <w:b/>
                <w:sz w:val="18"/>
                <w:szCs w:val="18"/>
              </w:rPr>
              <w:t>(Reference)</w:t>
            </w:r>
          </w:p>
        </w:tc>
        <w:tc>
          <w:tcPr>
            <w:tcW w:w="993" w:type="dxa"/>
            <w:tcBorders>
              <w:bottom w:val="nil"/>
            </w:tcBorders>
            <w:shd w:val="clear" w:color="auto" w:fill="FFFFFF" w:themeFill="background1"/>
          </w:tcPr>
          <w:p w:rsidR="00774F5C" w:rsidRPr="00B04D62" w:rsidRDefault="00774F5C" w:rsidP="006118A1">
            <w:pPr>
              <w:jc w:val="center"/>
              <w:rPr>
                <w:rFonts w:ascii="Arial" w:hAnsi="Arial" w:cs="Arial"/>
                <w:b/>
                <w:sz w:val="18"/>
                <w:szCs w:val="18"/>
              </w:rPr>
            </w:pPr>
            <w:r w:rsidRPr="00B04D62">
              <w:rPr>
                <w:rFonts w:ascii="Arial" w:hAnsi="Arial" w:cs="Arial"/>
                <w:b/>
                <w:sz w:val="18"/>
                <w:szCs w:val="18"/>
              </w:rPr>
              <w:t>Location</w:t>
            </w:r>
          </w:p>
        </w:tc>
        <w:tc>
          <w:tcPr>
            <w:tcW w:w="708" w:type="dxa"/>
            <w:tcBorders>
              <w:bottom w:val="nil"/>
            </w:tcBorders>
            <w:shd w:val="clear" w:color="auto" w:fill="FFFFFF" w:themeFill="background1"/>
          </w:tcPr>
          <w:p w:rsidR="00774F5C" w:rsidRPr="00B04D62" w:rsidRDefault="00774F5C" w:rsidP="006118A1">
            <w:pPr>
              <w:jc w:val="center"/>
              <w:rPr>
                <w:rFonts w:ascii="Arial" w:hAnsi="Arial" w:cs="Arial"/>
                <w:b/>
                <w:sz w:val="18"/>
                <w:szCs w:val="18"/>
              </w:rPr>
            </w:pPr>
            <w:r>
              <w:rPr>
                <w:rFonts w:ascii="Arial" w:hAnsi="Arial" w:cs="Arial"/>
                <w:b/>
                <w:sz w:val="18"/>
                <w:szCs w:val="18"/>
              </w:rPr>
              <w:t>N</w:t>
            </w:r>
          </w:p>
        </w:tc>
        <w:tc>
          <w:tcPr>
            <w:tcW w:w="993" w:type="dxa"/>
            <w:tcBorders>
              <w:bottom w:val="nil"/>
            </w:tcBorders>
            <w:shd w:val="clear" w:color="auto" w:fill="FFFFFF" w:themeFill="background1"/>
          </w:tcPr>
          <w:p w:rsidR="00774F5C" w:rsidRDefault="00774F5C" w:rsidP="006118A1">
            <w:pPr>
              <w:jc w:val="center"/>
              <w:rPr>
                <w:rFonts w:ascii="Arial" w:hAnsi="Arial" w:cs="Arial"/>
                <w:b/>
                <w:sz w:val="18"/>
                <w:szCs w:val="18"/>
              </w:rPr>
            </w:pPr>
            <w:r>
              <w:rPr>
                <w:rFonts w:ascii="Arial" w:hAnsi="Arial" w:cs="Arial"/>
                <w:b/>
                <w:sz w:val="18"/>
                <w:szCs w:val="18"/>
              </w:rPr>
              <w:t>Distance</w:t>
            </w:r>
          </w:p>
          <w:p w:rsidR="00774F5C" w:rsidRPr="00B04D62" w:rsidRDefault="00774F5C" w:rsidP="006118A1">
            <w:pPr>
              <w:jc w:val="center"/>
              <w:rPr>
                <w:rFonts w:ascii="Arial" w:hAnsi="Arial" w:cs="Arial"/>
                <w:b/>
                <w:sz w:val="18"/>
                <w:szCs w:val="18"/>
              </w:rPr>
            </w:pPr>
          </w:p>
        </w:tc>
        <w:tc>
          <w:tcPr>
            <w:tcW w:w="992" w:type="dxa"/>
            <w:tcBorders>
              <w:bottom w:val="nil"/>
            </w:tcBorders>
            <w:shd w:val="clear" w:color="auto" w:fill="FFFFFF" w:themeFill="background1"/>
          </w:tcPr>
          <w:p w:rsidR="00774F5C" w:rsidRDefault="00774F5C" w:rsidP="006118A1">
            <w:pPr>
              <w:jc w:val="center"/>
              <w:rPr>
                <w:rFonts w:ascii="Arial" w:hAnsi="Arial" w:cs="Arial"/>
                <w:b/>
                <w:sz w:val="18"/>
                <w:szCs w:val="18"/>
              </w:rPr>
            </w:pPr>
            <w:r>
              <w:rPr>
                <w:rFonts w:ascii="Arial" w:hAnsi="Arial" w:cs="Arial"/>
                <w:b/>
                <w:sz w:val="18"/>
                <w:szCs w:val="18"/>
              </w:rPr>
              <w:t xml:space="preserve">Walking </w:t>
            </w:r>
          </w:p>
          <w:p w:rsidR="00774F5C" w:rsidRPr="00B04D62" w:rsidRDefault="00774F5C" w:rsidP="006118A1">
            <w:pPr>
              <w:jc w:val="center"/>
              <w:rPr>
                <w:rFonts w:ascii="Arial" w:hAnsi="Arial" w:cs="Arial"/>
                <w:b/>
                <w:sz w:val="18"/>
                <w:szCs w:val="18"/>
              </w:rPr>
            </w:pPr>
            <w:r>
              <w:rPr>
                <w:rFonts w:ascii="Arial" w:hAnsi="Arial" w:cs="Arial"/>
                <w:b/>
                <w:sz w:val="18"/>
                <w:szCs w:val="18"/>
              </w:rPr>
              <w:t xml:space="preserve">aid </w:t>
            </w:r>
          </w:p>
        </w:tc>
        <w:tc>
          <w:tcPr>
            <w:tcW w:w="1276" w:type="dxa"/>
            <w:tcBorders>
              <w:bottom w:val="nil"/>
            </w:tcBorders>
            <w:shd w:val="clear" w:color="auto" w:fill="FFFFFF" w:themeFill="background1"/>
          </w:tcPr>
          <w:p w:rsidR="00774F5C" w:rsidRPr="00B04D62" w:rsidRDefault="00774F5C" w:rsidP="006118A1">
            <w:pPr>
              <w:jc w:val="center"/>
              <w:rPr>
                <w:rFonts w:ascii="Arial" w:hAnsi="Arial" w:cs="Arial"/>
                <w:b/>
                <w:sz w:val="18"/>
                <w:szCs w:val="18"/>
              </w:rPr>
            </w:pPr>
            <w:r w:rsidRPr="00B04D62">
              <w:rPr>
                <w:rFonts w:ascii="Arial" w:hAnsi="Arial" w:cs="Arial"/>
                <w:b/>
                <w:sz w:val="18"/>
                <w:szCs w:val="18"/>
              </w:rPr>
              <w:t>Age Groups</w:t>
            </w:r>
          </w:p>
          <w:p w:rsidR="00774F5C" w:rsidRPr="00B04D62" w:rsidRDefault="00774F5C" w:rsidP="006118A1">
            <w:pPr>
              <w:jc w:val="center"/>
              <w:rPr>
                <w:rFonts w:ascii="Arial" w:hAnsi="Arial" w:cs="Arial"/>
                <w:b/>
                <w:sz w:val="18"/>
                <w:szCs w:val="18"/>
              </w:rPr>
            </w:pPr>
            <w:r w:rsidRPr="00B04D62">
              <w:rPr>
                <w:rFonts w:ascii="Arial" w:hAnsi="Arial" w:cs="Arial"/>
                <w:b/>
                <w:sz w:val="18"/>
                <w:szCs w:val="18"/>
              </w:rPr>
              <w:t>(Years)</w:t>
            </w:r>
          </w:p>
        </w:tc>
        <w:tc>
          <w:tcPr>
            <w:tcW w:w="3038" w:type="dxa"/>
            <w:gridSpan w:val="2"/>
            <w:tcBorders>
              <w:bottom w:val="nil"/>
            </w:tcBorders>
            <w:shd w:val="clear" w:color="auto" w:fill="FFFFFF" w:themeFill="background1"/>
          </w:tcPr>
          <w:p w:rsidR="00774F5C" w:rsidRPr="00B04D62" w:rsidRDefault="00774F5C" w:rsidP="006118A1">
            <w:pPr>
              <w:spacing w:after="100"/>
              <w:jc w:val="center"/>
              <w:rPr>
                <w:rFonts w:ascii="Arial" w:hAnsi="Arial" w:cs="Arial"/>
                <w:b/>
                <w:sz w:val="18"/>
                <w:szCs w:val="18"/>
              </w:rPr>
            </w:pPr>
            <w:r w:rsidRPr="00B04D62">
              <w:rPr>
                <w:rFonts w:ascii="Arial" w:hAnsi="Arial" w:cs="Arial"/>
                <w:b/>
                <w:sz w:val="18"/>
                <w:szCs w:val="18"/>
              </w:rPr>
              <w:t>Mean (</w:t>
            </w:r>
            <w:proofErr w:type="spellStart"/>
            <w:r w:rsidRPr="00B04D62">
              <w:rPr>
                <w:rFonts w:ascii="Arial" w:hAnsi="Arial" w:cs="Arial"/>
                <w:b/>
                <w:sz w:val="18"/>
                <w:szCs w:val="18"/>
              </w:rPr>
              <w:t>sd</w:t>
            </w:r>
            <w:proofErr w:type="spellEnd"/>
            <w:r w:rsidRPr="00B04D62">
              <w:rPr>
                <w:rFonts w:ascii="Arial" w:hAnsi="Arial" w:cs="Arial"/>
                <w:b/>
                <w:sz w:val="18"/>
                <w:szCs w:val="18"/>
              </w:rPr>
              <w:t>) Walking speed (m/s)</w:t>
            </w:r>
          </w:p>
        </w:tc>
      </w:tr>
      <w:tr w:rsidR="00774F5C" w:rsidTr="006118A1">
        <w:tc>
          <w:tcPr>
            <w:tcW w:w="1242" w:type="dxa"/>
            <w:tcBorders>
              <w:top w:val="nil"/>
              <w:bottom w:val="single" w:sz="4" w:space="0" w:color="auto"/>
            </w:tcBorders>
            <w:shd w:val="clear" w:color="auto" w:fill="FFFFFF" w:themeFill="background1"/>
          </w:tcPr>
          <w:p w:rsidR="00774F5C" w:rsidRPr="00B04D62" w:rsidRDefault="00774F5C" w:rsidP="006118A1">
            <w:pPr>
              <w:rPr>
                <w:rFonts w:ascii="Arial" w:hAnsi="Arial" w:cs="Arial"/>
                <w:b/>
                <w:sz w:val="18"/>
                <w:szCs w:val="18"/>
              </w:rPr>
            </w:pPr>
          </w:p>
        </w:tc>
        <w:tc>
          <w:tcPr>
            <w:tcW w:w="993" w:type="dxa"/>
            <w:tcBorders>
              <w:top w:val="nil"/>
              <w:bottom w:val="single" w:sz="4" w:space="0" w:color="auto"/>
            </w:tcBorders>
            <w:shd w:val="clear" w:color="auto" w:fill="FFFFFF" w:themeFill="background1"/>
          </w:tcPr>
          <w:p w:rsidR="00774F5C" w:rsidRPr="00B04D62" w:rsidRDefault="00774F5C" w:rsidP="006118A1">
            <w:pPr>
              <w:rPr>
                <w:rFonts w:ascii="Arial" w:hAnsi="Arial" w:cs="Arial"/>
                <w:b/>
                <w:sz w:val="18"/>
                <w:szCs w:val="18"/>
              </w:rPr>
            </w:pPr>
          </w:p>
        </w:tc>
        <w:tc>
          <w:tcPr>
            <w:tcW w:w="708" w:type="dxa"/>
            <w:tcBorders>
              <w:top w:val="nil"/>
              <w:bottom w:val="single" w:sz="4" w:space="0" w:color="auto"/>
            </w:tcBorders>
            <w:shd w:val="clear" w:color="auto" w:fill="FFFFFF" w:themeFill="background1"/>
          </w:tcPr>
          <w:p w:rsidR="00774F5C" w:rsidRPr="00B04D62" w:rsidRDefault="00774F5C" w:rsidP="006118A1">
            <w:pPr>
              <w:rPr>
                <w:rFonts w:ascii="Arial" w:hAnsi="Arial" w:cs="Arial"/>
                <w:b/>
                <w:sz w:val="18"/>
                <w:szCs w:val="18"/>
              </w:rPr>
            </w:pPr>
          </w:p>
        </w:tc>
        <w:tc>
          <w:tcPr>
            <w:tcW w:w="993" w:type="dxa"/>
            <w:tcBorders>
              <w:top w:val="nil"/>
              <w:bottom w:val="single" w:sz="4" w:space="0" w:color="auto"/>
            </w:tcBorders>
            <w:shd w:val="clear" w:color="auto" w:fill="FFFFFF" w:themeFill="background1"/>
          </w:tcPr>
          <w:p w:rsidR="00774F5C" w:rsidRPr="00B04D62" w:rsidRDefault="00774F5C" w:rsidP="006118A1">
            <w:pPr>
              <w:rPr>
                <w:rFonts w:ascii="Arial" w:hAnsi="Arial" w:cs="Arial"/>
                <w:b/>
                <w:sz w:val="18"/>
                <w:szCs w:val="18"/>
              </w:rPr>
            </w:pPr>
          </w:p>
        </w:tc>
        <w:tc>
          <w:tcPr>
            <w:tcW w:w="992" w:type="dxa"/>
            <w:tcBorders>
              <w:top w:val="nil"/>
              <w:bottom w:val="single" w:sz="4" w:space="0" w:color="auto"/>
            </w:tcBorders>
            <w:shd w:val="clear" w:color="auto" w:fill="FFFFFF" w:themeFill="background1"/>
          </w:tcPr>
          <w:p w:rsidR="00774F5C" w:rsidRPr="00B04D62" w:rsidRDefault="00774F5C" w:rsidP="006118A1">
            <w:pPr>
              <w:rPr>
                <w:rFonts w:ascii="Arial" w:hAnsi="Arial" w:cs="Arial"/>
                <w:b/>
                <w:sz w:val="18"/>
                <w:szCs w:val="18"/>
              </w:rPr>
            </w:pPr>
          </w:p>
        </w:tc>
        <w:tc>
          <w:tcPr>
            <w:tcW w:w="1276" w:type="dxa"/>
            <w:tcBorders>
              <w:top w:val="nil"/>
              <w:bottom w:val="single" w:sz="4" w:space="0" w:color="auto"/>
            </w:tcBorders>
            <w:shd w:val="clear" w:color="auto" w:fill="FFFFFF" w:themeFill="background1"/>
          </w:tcPr>
          <w:p w:rsidR="00774F5C" w:rsidRPr="00B04D62" w:rsidRDefault="00774F5C" w:rsidP="006118A1">
            <w:pPr>
              <w:rPr>
                <w:rFonts w:ascii="Arial" w:hAnsi="Arial" w:cs="Arial"/>
                <w:b/>
                <w:sz w:val="18"/>
                <w:szCs w:val="18"/>
              </w:rPr>
            </w:pPr>
          </w:p>
        </w:tc>
        <w:tc>
          <w:tcPr>
            <w:tcW w:w="1519" w:type="dxa"/>
            <w:tcBorders>
              <w:top w:val="nil"/>
              <w:bottom w:val="single" w:sz="4" w:space="0" w:color="auto"/>
            </w:tcBorders>
            <w:shd w:val="clear" w:color="auto" w:fill="FFFFFF" w:themeFill="background1"/>
          </w:tcPr>
          <w:p w:rsidR="00774F5C" w:rsidRPr="00B04D62" w:rsidRDefault="00774F5C" w:rsidP="006118A1">
            <w:pPr>
              <w:jc w:val="center"/>
              <w:rPr>
                <w:rFonts w:ascii="Arial" w:hAnsi="Arial" w:cs="Arial"/>
                <w:b/>
                <w:sz w:val="18"/>
                <w:szCs w:val="18"/>
              </w:rPr>
            </w:pPr>
            <w:r w:rsidRPr="00B04D62">
              <w:rPr>
                <w:rFonts w:ascii="Arial" w:hAnsi="Arial" w:cs="Arial"/>
                <w:b/>
                <w:sz w:val="18"/>
                <w:szCs w:val="18"/>
              </w:rPr>
              <w:t>Men</w:t>
            </w:r>
          </w:p>
        </w:tc>
        <w:tc>
          <w:tcPr>
            <w:tcW w:w="1519" w:type="dxa"/>
            <w:tcBorders>
              <w:top w:val="nil"/>
              <w:bottom w:val="single" w:sz="4" w:space="0" w:color="auto"/>
            </w:tcBorders>
            <w:shd w:val="clear" w:color="auto" w:fill="FFFFFF" w:themeFill="background1"/>
          </w:tcPr>
          <w:p w:rsidR="00774F5C" w:rsidRPr="00B04D62" w:rsidRDefault="00774F5C" w:rsidP="006118A1">
            <w:pPr>
              <w:spacing w:after="100"/>
              <w:jc w:val="center"/>
              <w:rPr>
                <w:rFonts w:ascii="Arial" w:hAnsi="Arial" w:cs="Arial"/>
                <w:b/>
                <w:sz w:val="18"/>
                <w:szCs w:val="18"/>
              </w:rPr>
            </w:pPr>
            <w:r w:rsidRPr="00B04D62">
              <w:rPr>
                <w:rFonts w:ascii="Arial" w:hAnsi="Arial" w:cs="Arial"/>
                <w:b/>
                <w:sz w:val="18"/>
                <w:szCs w:val="18"/>
              </w:rPr>
              <w:t>Women</w:t>
            </w:r>
          </w:p>
        </w:tc>
      </w:tr>
      <w:tr w:rsidR="00774F5C" w:rsidTr="006118A1">
        <w:tc>
          <w:tcPr>
            <w:tcW w:w="1242" w:type="dxa"/>
            <w:tcBorders>
              <w:top w:val="single" w:sz="4" w:space="0" w:color="auto"/>
            </w:tcBorders>
            <w:shd w:val="clear" w:color="auto" w:fill="FFFFFF" w:themeFill="background1"/>
          </w:tcPr>
          <w:p w:rsidR="00774F5C" w:rsidRDefault="00774F5C" w:rsidP="006118A1">
            <w:pPr>
              <w:jc w:val="center"/>
              <w:rPr>
                <w:rFonts w:ascii="Arial" w:hAnsi="Arial" w:cs="Arial"/>
                <w:sz w:val="18"/>
                <w:szCs w:val="18"/>
              </w:rPr>
            </w:pPr>
            <w:r w:rsidRPr="00B04D62">
              <w:rPr>
                <w:rFonts w:ascii="Arial" w:hAnsi="Arial" w:cs="Arial"/>
                <w:sz w:val="18"/>
                <w:szCs w:val="18"/>
              </w:rPr>
              <w:t>HAS</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"10.1371/journal.pone.0027899", "abstract" : "Using data from eight UK cohorts participating in the Healthy Ageing across the Life Course (HALCyon) research programme, with ages at physical capability assessment ranging from 50 to 90+ years, we harmonised data on objective measures of physical capability (i.e. grip strength, chair rising ability, walking speed, timed get up and go, and standing balance performance) and investigated the cross-sectional age and gender differences in these measures. Levels of physical capability were generally lower in study participants of older ages, and men performed better than women (for example, results from meta-analyses (N = 14,213 (5 studies)), found that men had 12.62 kg (11.34, 13.90) higher grip strength than women after adjustment for age and body size), although for walking speed, this gender difference was attenuated after adjustment for body size. There was also evidence that the gender difference in grip strength diminished with increasing age, whereas the gender difference in walking speed widened (p&lt;0.01 for interactions between age and gender in both cases). This study highlights not only the presence of age and gender differences in objective measures of physical capability but provides a demonstration that harmonisation of data from several large cohort studies is possible. These harmonised data are now being used within HALCyon to understand the lifetime social and biological determinants of physical capability and its changes with age.", "author" : [ { "dropping-particle" : "", "family" : "Cooper", "given" : "Rachel", "non-dropping-particle" : "", "parse-names" : false, "suffix" : "" }, { "dropping-particle" : "", "family" : "Hardy", "given" : "Rebecca", "non-dropping-particle" : "", "parse-names" : false, "suffix" : "" }, { "dropping-particle" : "", "family" : "Aihie Sayer", "given" : "Avan", "non-dropping-particle" : "", "parse-names" : false, "suffix" : "" }, { "dropping-particle" : "", "family" : "Ben-Shlomo", "given" : "Yoav", "non-dropping-particle" : "", "parse-names" : false, "suffix" : "" }, { "dropping-particle" : "", "family" : "Birnie", "given" : "Kate", "non-dropping-particle" : "", "parse-names" : false, "suffix" : "" }, { "dropping-particle" : "", "family" : "Cooper", "given" : "Cyrus", "non-dropping-particle" : "", "parse-names" : false, "suffix" : "" }, { "dropping-particle" : "", "family" : "Craig", "given" : "Leone", "non-dropping-particle" : "", "parse-names" : false, "suffix" : "" }, { "dropping-particle" : "", "family" : "Deary", "given" : "Ian J", "non-dropping-particle" : "", "parse-names" : false, "suffix" : "" }, { "dropping-particle" : "", "family" : "Demakakos", "given" : "Panayotes", "non-dropping-particle" : "", "parse-names" : false, "suffix" : "" }, { "dropping-particle" : "", "family" : "Gallacher", "given" : "John", "non-dropping-particle" : "", "parse-names" : false, "suffix" : "" }, { "dropping-particle" : "", "family" : "McNeill", "given" : "Geraldine", "non-dropping-particle" : "", "parse-names" : false, "suffix" : "" }, { "dropping-particle" : "", "family" : "Martin", "given" : "Richard M", "non-dropping-particle" : "", "parse-names" : false, "suffix" : "" }, { "dropping-particle" : "", "family" : "Starr", "given" : "John M", "non-dropping-particle" : "", "parse-names" : false, "suffix" : "" }, { "dropping-particle" : "", "family" : "Steptoe", "given" : "Andrew", "non-dropping-particle" : "", "parse-names" : false, "suffix" : "" }, { "dropping-particle" : "", "family" : "Kuh", "given" : "Diana", "non-dropping-particle" : "", "parse-names" : false, "suffix" : "" } ], "container-title" : "PloS one", "id" : "ITEM-1", "issue" : "11", "issued" : { "date-parts" : [ [ "2011", "1" ] ] }, "page" : "e27899", "title" : "Age and gender differences in physical capability levels from mid-life onwards: the harmonisation and meta-analysis of data from eight UK cohort studies.", "type" : "article-journal", "volume" : "6" }, "uris" : [ "http://www.mendeley.com/documents/?uuid=059355a1-63ed-4f14-9fa1-7b32f2006848" ] } ], "mendeley" : { "previouslyFormattedCitation" : "[1]"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[1]</w:t>
            </w:r>
            <w:r>
              <w:rPr>
                <w:rFonts w:ascii="Arial" w:hAnsi="Arial" w:cs="Arial"/>
                <w:sz w:val="18"/>
                <w:szCs w:val="18"/>
              </w:rPr>
              <w:fldChar w:fldCharType="end"/>
            </w:r>
          </w:p>
        </w:tc>
        <w:tc>
          <w:tcPr>
            <w:tcW w:w="993" w:type="dxa"/>
            <w:tcBorders>
              <w:top w:val="single" w:sz="4" w:space="0" w:color="auto"/>
            </w:tcBorders>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UK</w:t>
            </w:r>
          </w:p>
        </w:tc>
        <w:tc>
          <w:tcPr>
            <w:tcW w:w="708" w:type="dxa"/>
            <w:tcBorders>
              <w:top w:val="single" w:sz="4" w:space="0" w:color="auto"/>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289</w:t>
            </w:r>
          </w:p>
        </w:tc>
        <w:tc>
          <w:tcPr>
            <w:tcW w:w="993" w:type="dxa"/>
            <w:tcBorders>
              <w:top w:val="single" w:sz="4" w:space="0" w:color="auto"/>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3m</w:t>
            </w:r>
          </w:p>
        </w:tc>
        <w:tc>
          <w:tcPr>
            <w:tcW w:w="992" w:type="dxa"/>
            <w:tcBorders>
              <w:top w:val="single" w:sz="4" w:space="0" w:color="auto"/>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Yes</w:t>
            </w:r>
          </w:p>
        </w:tc>
        <w:tc>
          <w:tcPr>
            <w:tcW w:w="1276" w:type="dxa"/>
            <w:tcBorders>
              <w:top w:val="single" w:sz="4" w:space="0" w:color="auto"/>
            </w:tcBorders>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70-74</w:t>
            </w:r>
          </w:p>
          <w:p w:rsidR="00774F5C" w:rsidRPr="00B04D62" w:rsidRDefault="00774F5C" w:rsidP="006118A1">
            <w:pPr>
              <w:jc w:val="center"/>
              <w:rPr>
                <w:rFonts w:ascii="Arial" w:hAnsi="Arial" w:cs="Arial"/>
                <w:sz w:val="18"/>
                <w:szCs w:val="18"/>
              </w:rPr>
            </w:pPr>
            <w:r w:rsidRPr="00B04D62">
              <w:rPr>
                <w:rFonts w:ascii="Arial" w:hAnsi="Arial" w:cs="Arial"/>
                <w:sz w:val="18"/>
                <w:szCs w:val="18"/>
              </w:rPr>
              <w:t>75-79</w:t>
            </w:r>
          </w:p>
          <w:p w:rsidR="00774F5C" w:rsidRPr="00B04D62" w:rsidRDefault="00774F5C" w:rsidP="006118A1">
            <w:pPr>
              <w:jc w:val="center"/>
              <w:rPr>
                <w:rFonts w:ascii="Arial" w:hAnsi="Arial" w:cs="Arial"/>
                <w:sz w:val="18"/>
                <w:szCs w:val="18"/>
              </w:rPr>
            </w:pPr>
            <w:r w:rsidRPr="00B04D62">
              <w:rPr>
                <w:rFonts w:ascii="Arial" w:hAnsi="Arial" w:cs="Arial"/>
                <w:sz w:val="18"/>
                <w:szCs w:val="18"/>
              </w:rPr>
              <w:t>80-84</w:t>
            </w:r>
          </w:p>
        </w:tc>
        <w:tc>
          <w:tcPr>
            <w:tcW w:w="1519" w:type="dxa"/>
            <w:tcBorders>
              <w:top w:val="single" w:sz="4" w:space="0" w:color="auto"/>
            </w:tcBorders>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0.93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0.84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0.79 (0.2)</w:t>
            </w:r>
          </w:p>
        </w:tc>
        <w:tc>
          <w:tcPr>
            <w:tcW w:w="1519" w:type="dxa"/>
            <w:tcBorders>
              <w:top w:val="single" w:sz="4" w:space="0" w:color="auto"/>
            </w:tcBorders>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0.80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0.79 (0.2)</w:t>
            </w:r>
          </w:p>
          <w:p w:rsidR="00774F5C" w:rsidRPr="00B04D62" w:rsidRDefault="00774F5C" w:rsidP="006118A1">
            <w:pPr>
              <w:spacing w:after="100"/>
              <w:jc w:val="center"/>
              <w:rPr>
                <w:rFonts w:ascii="Arial" w:hAnsi="Arial" w:cs="Arial"/>
                <w:sz w:val="18"/>
                <w:szCs w:val="18"/>
              </w:rPr>
            </w:pPr>
            <w:r w:rsidRPr="00B04D62">
              <w:rPr>
                <w:rFonts w:ascii="Arial" w:hAnsi="Arial" w:cs="Arial"/>
                <w:sz w:val="18"/>
                <w:szCs w:val="18"/>
              </w:rPr>
              <w:t>0.43 (0.1)</w:t>
            </w:r>
          </w:p>
        </w:tc>
      </w:tr>
      <w:tr w:rsidR="00774F5C" w:rsidTr="006118A1">
        <w:tc>
          <w:tcPr>
            <w:tcW w:w="1242" w:type="dxa"/>
            <w:shd w:val="clear" w:color="auto" w:fill="FFFFFF" w:themeFill="background1"/>
          </w:tcPr>
          <w:p w:rsidR="00774F5C" w:rsidRDefault="00774F5C" w:rsidP="006118A1">
            <w:pPr>
              <w:jc w:val="center"/>
              <w:rPr>
                <w:rFonts w:ascii="Arial" w:hAnsi="Arial" w:cs="Arial"/>
                <w:sz w:val="18"/>
                <w:szCs w:val="18"/>
              </w:rPr>
            </w:pPr>
            <w:r w:rsidRPr="00B04D62">
              <w:rPr>
                <w:rFonts w:ascii="Arial" w:hAnsi="Arial" w:cs="Arial"/>
                <w:sz w:val="18"/>
                <w:szCs w:val="18"/>
              </w:rPr>
              <w:t>HCS</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"10.1371/journal.pone.0027899", "abstract" : "Using data from eight UK cohorts participating in the Healthy Ageing across the Life Course (HALCyon) research programme, with ages at physical capability assessment ranging from 50 to 90+ years, we harmonised data on objective measures of physical capability (i.e. grip strength, chair rising ability, walking speed, timed get up and go, and standing balance performance) and investigated the cross-sectional age and gender differences in these measures. Levels of physical capability were generally lower in study participants of older ages, and men performed better than women (for example, results from meta-analyses (N = 14,213 (5 studies)), found that men had 12.62 kg (11.34, 13.90) higher grip strength than women after adjustment for age and body size), although for walking speed, this gender difference was attenuated after adjustment for body size. There was also evidence that the gender difference in grip strength diminished with increasing age, whereas the gender difference in walking speed widened (p&lt;0.01 for interactions between age and gender in both cases). This study highlights not only the presence of age and gender differences in objective measures of physical capability but provides a demonstration that harmonisation of data from several large cohort studies is possible. These harmonised data are now being used within HALCyon to understand the lifetime social and biological determinants of physical capability and its changes with age.", "author" : [ { "dropping-particle" : "", "family" : "Cooper", "given" : "Rachel", "non-dropping-particle" : "", "parse-names" : false, "suffix" : "" }, { "dropping-particle" : "", "family" : "Hardy", "given" : "Rebecca", "non-dropping-particle" : "", "parse-names" : false, "suffix" : "" }, { "dropping-particle" : "", "family" : "Aihie Sayer", "given" : "Avan", "non-dropping-particle" : "", "parse-names" : false, "suffix" : "" }, { "dropping-particle" : "", "family" : "Ben-Shlomo", "given" : "Yoav", "non-dropping-particle" : "", "parse-names" : false, "suffix" : "" }, { "dropping-particle" : "", "family" : "Birnie", "given" : "Kate", "non-dropping-particle" : "", "parse-names" : false, "suffix" : "" }, { "dropping-particle" : "", "family" : "Cooper", "given" : "Cyrus", "non-dropping-particle" : "", "parse-names" : false, "suffix" : "" }, { "dropping-particle" : "", "family" : "Craig", "given" : "Leone", "non-dropping-particle" : "", "parse-names" : false, "suffix" : "" }, { "dropping-particle" : "", "family" : "Deary", "given" : "Ian J", "non-dropping-particle" : "", "parse-names" : false, "suffix" : "" }, { "dropping-particle" : "", "family" : "Demakakos", "given" : "Panayotes", "non-dropping-particle" : "", "parse-names" : false, "suffix" : "" }, { "dropping-particle" : "", "family" : "Gallacher", "given" : "John", "non-dropping-particle" : "", "parse-names" : false, "suffix" : "" }, { "dropping-particle" : "", "family" : "McNeill", "given" : "Geraldine", "non-dropping-particle" : "", "parse-names" : false, "suffix" : "" }, { "dropping-particle" : "", "family" : "Martin", "given" : "Richard M", "non-dropping-particle" : "", "parse-names" : false, "suffix" : "" }, { "dropping-particle" : "", "family" : "Starr", "given" : "John M", "non-dropping-particle" : "", "parse-names" : false, "suffix" : "" }, { "dropping-particle" : "", "family" : "Steptoe", "given" : "Andrew", "non-dropping-particle" : "", "parse-names" : false, "suffix" : "" }, { "dropping-particle" : "", "family" : "Kuh", "given" : "Diana", "non-dropping-particle" : "", "parse-names" : false, "suffix" : "" } ], "container-title" : "PloS one", "id" : "ITEM-1", "issue" : "11", "issued" : { "date-parts" : [ [ "2011", "1" ] ] }, "page" : "e27899", "title" : "Age and gender differences in physical capability levels from mid-life onwards: the harmonisation and meta-analysis of data from eight UK cohort studies.", "type" : "article-journal", "volume" : "6" }, "uris" : [ "http://www.mendeley.com/documents/?uuid=059355a1-63ed-4f14-9fa1-7b32f2006848" ] } ], "mendeley" : { "previouslyFormattedCitation" : "[1]"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[1]</w:t>
            </w:r>
            <w:r>
              <w:rPr>
                <w:rFonts w:ascii="Arial" w:hAnsi="Arial" w:cs="Arial"/>
                <w:sz w:val="18"/>
                <w:szCs w:val="18"/>
              </w:rPr>
              <w:fldChar w:fldCharType="end"/>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UK</w:t>
            </w:r>
          </w:p>
        </w:tc>
        <w:tc>
          <w:tcPr>
            <w:tcW w:w="708"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2,300</w:t>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3m</w:t>
            </w:r>
          </w:p>
        </w:tc>
        <w:tc>
          <w:tcPr>
            <w:tcW w:w="992"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Yes</w:t>
            </w:r>
          </w:p>
        </w:tc>
        <w:tc>
          <w:tcPr>
            <w:tcW w:w="1276"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60-64</w:t>
            </w:r>
          </w:p>
          <w:p w:rsidR="00774F5C" w:rsidRPr="00B04D62" w:rsidRDefault="00774F5C" w:rsidP="006118A1">
            <w:pPr>
              <w:jc w:val="center"/>
              <w:rPr>
                <w:rFonts w:ascii="Arial" w:hAnsi="Arial" w:cs="Arial"/>
                <w:sz w:val="18"/>
                <w:szCs w:val="18"/>
              </w:rPr>
            </w:pPr>
            <w:r w:rsidRPr="00B04D62">
              <w:rPr>
                <w:rFonts w:ascii="Arial" w:hAnsi="Arial" w:cs="Arial"/>
                <w:sz w:val="18"/>
                <w:szCs w:val="18"/>
              </w:rPr>
              <w:t>65-69</w:t>
            </w:r>
          </w:p>
          <w:p w:rsidR="00774F5C" w:rsidRPr="00B04D62" w:rsidRDefault="00774F5C" w:rsidP="006118A1">
            <w:pPr>
              <w:jc w:val="center"/>
              <w:rPr>
                <w:rFonts w:ascii="Arial" w:hAnsi="Arial" w:cs="Arial"/>
                <w:sz w:val="18"/>
                <w:szCs w:val="18"/>
              </w:rPr>
            </w:pPr>
            <w:r w:rsidRPr="00B04D62">
              <w:rPr>
                <w:rFonts w:ascii="Arial" w:hAnsi="Arial" w:cs="Arial"/>
                <w:sz w:val="18"/>
                <w:szCs w:val="18"/>
              </w:rPr>
              <w:t>70-74</w:t>
            </w:r>
          </w:p>
        </w:tc>
        <w:tc>
          <w:tcPr>
            <w:tcW w:w="1519"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0.97 (0.1)</w:t>
            </w:r>
          </w:p>
          <w:p w:rsidR="00774F5C" w:rsidRPr="00B04D62" w:rsidRDefault="00774F5C" w:rsidP="006118A1">
            <w:pPr>
              <w:jc w:val="center"/>
              <w:rPr>
                <w:rFonts w:ascii="Arial" w:hAnsi="Arial" w:cs="Arial"/>
                <w:sz w:val="18"/>
                <w:szCs w:val="18"/>
              </w:rPr>
            </w:pPr>
            <w:r w:rsidRPr="00B04D62">
              <w:rPr>
                <w:rFonts w:ascii="Arial" w:hAnsi="Arial" w:cs="Arial"/>
                <w:sz w:val="18"/>
                <w:szCs w:val="18"/>
              </w:rPr>
              <w:t>0.94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0.91 (0.2)</w:t>
            </w:r>
          </w:p>
        </w:tc>
        <w:tc>
          <w:tcPr>
            <w:tcW w:w="1519"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0.95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0.91 (0.2)</w:t>
            </w:r>
          </w:p>
          <w:p w:rsidR="00774F5C" w:rsidRPr="00B04D62" w:rsidRDefault="00774F5C" w:rsidP="006118A1">
            <w:pPr>
              <w:spacing w:after="100"/>
              <w:jc w:val="center"/>
              <w:rPr>
                <w:rFonts w:ascii="Arial" w:hAnsi="Arial" w:cs="Arial"/>
                <w:sz w:val="18"/>
                <w:szCs w:val="18"/>
              </w:rPr>
            </w:pPr>
            <w:r w:rsidRPr="00B04D62">
              <w:rPr>
                <w:rFonts w:ascii="Arial" w:hAnsi="Arial" w:cs="Arial"/>
                <w:sz w:val="18"/>
                <w:szCs w:val="18"/>
              </w:rPr>
              <w:t>0.87 (0.2)</w:t>
            </w:r>
          </w:p>
        </w:tc>
      </w:tr>
      <w:tr w:rsidR="00774F5C" w:rsidTr="006118A1">
        <w:tc>
          <w:tcPr>
            <w:tcW w:w="1242" w:type="dxa"/>
            <w:shd w:val="clear" w:color="auto" w:fill="FFFFFF" w:themeFill="background1"/>
          </w:tcPr>
          <w:p w:rsidR="00774F5C" w:rsidRDefault="00774F5C" w:rsidP="006118A1">
            <w:pPr>
              <w:jc w:val="center"/>
              <w:rPr>
                <w:rFonts w:ascii="Arial" w:hAnsi="Arial" w:cs="Arial"/>
                <w:sz w:val="18"/>
                <w:szCs w:val="18"/>
              </w:rPr>
            </w:pPr>
            <w:r w:rsidRPr="00B04D62">
              <w:rPr>
                <w:rFonts w:ascii="Arial" w:hAnsi="Arial" w:cs="Arial"/>
                <w:sz w:val="18"/>
                <w:szCs w:val="18"/>
              </w:rPr>
              <w:t>ELSA</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"10.1371/journal.pone.0027899", "abstract" : "Using data from eight UK cohorts participating in the Healthy Ageing across the Life Course (HALCyon) research programme, with ages at physical capability assessment ranging from 50 to 90+ years, we harmonised data on objective measures of physical capability (i.e. grip strength, chair rising ability, walking speed, timed get up and go, and standing balance performance) and investigated the cross-sectional age and gender differences in these measures. Levels of physical capability were generally lower in study participants of older ages, and men performed better than women (for example, results from meta-analyses (N = 14,213 (5 studies)), found that men had 12.62 kg (11.34, 13.90) higher grip strength than women after adjustment for age and body size), although for walking speed, this gender difference was attenuated after adjustment for body size. There was also evidence that the gender difference in grip strength diminished with increasing age, whereas the gender difference in walking speed widened (p&lt;0.01 for interactions between age and gender in both cases). This study highlights not only the presence of age and gender differences in objective measures of physical capability but provides a demonstration that harmonisation of data from several large cohort studies is possible. These harmonised data are now being used within HALCyon to understand the lifetime social and biological determinants of physical capability and its changes with age.", "author" : [ { "dropping-particle" : "", "family" : "Cooper", "given" : "Rachel", "non-dropping-particle" : "", "parse-names" : false, "suffix" : "" }, { "dropping-particle" : "", "family" : "Hardy", "given" : "Rebecca", "non-dropping-particle" : "", "parse-names" : false, "suffix" : "" }, { "dropping-particle" : "", "family" : "Aihie Sayer", "given" : "Avan", "non-dropping-particle" : "", "parse-names" : false, "suffix" : "" }, { "dropping-particle" : "", "family" : "Ben-Shlomo", "given" : "Yoav", "non-dropping-particle" : "", "parse-names" : false, "suffix" : "" }, { "dropping-particle" : "", "family" : "Birnie", "given" : "Kate", "non-dropping-particle" : "", "parse-names" : false, "suffix" : "" }, { "dropping-particle" : "", "family" : "Cooper", "given" : "Cyrus", "non-dropping-particle" : "", "parse-names" : false, "suffix" : "" }, { "dropping-particle" : "", "family" : "Craig", "given" : "Leone", "non-dropping-particle" : "", "parse-names" : false, "suffix" : "" }, { "dropping-particle" : "", "family" : "Deary", "given" : "Ian J", "non-dropping-particle" : "", "parse-names" : false, "suffix" : "" }, { "dropping-particle" : "", "family" : "Demakakos", "given" : "Panayotes", "non-dropping-particle" : "", "parse-names" : false, "suffix" : "" }, { "dropping-particle" : "", "family" : "Gallacher", "given" : "John", "non-dropping-particle" : "", "parse-names" : false, "suffix" : "" }, { "dropping-particle" : "", "family" : "McNeill", "given" : "Geraldine", "non-dropping-particle" : "", "parse-names" : false, "suffix" : "" }, { "dropping-particle" : "", "family" : "Martin", "given" : "Richard M", "non-dropping-particle" : "", "parse-names" : false, "suffix" : "" }, { "dropping-particle" : "", "family" : "Starr", "given" : "John M", "non-dropping-particle" : "", "parse-names" : false, "suffix" : "" }, { "dropping-particle" : "", "family" : "Steptoe", "given" : "Andrew", "non-dropping-particle" : "", "parse-names" : false, "suffix" : "" }, { "dropping-particle" : "", "family" : "Kuh", "given" : "Diana", "non-dropping-particle" : "", "parse-names" : false, "suffix" : "" } ], "container-title" : "PloS one", "id" : "ITEM-1", "issue" : "11", "issued" : { "date-parts" : [ [ "2011", "1" ] ] }, "page" : "e27899", "title" : "Age and gender differences in physical capability levels from mid-life onwards: the harmonisation and meta-analysis of data from eight UK cohort studies.", "type" : "article-journal", "volume" : "6" }, "uris" : [ "http://www.mendeley.com/documents/?uuid=059355a1-63ed-4f14-9fa1-7b32f2006848" ] } ], "mendeley" : { "previouslyFormattedCitation" : "[1]"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[1]</w:t>
            </w:r>
            <w:r>
              <w:rPr>
                <w:rFonts w:ascii="Arial" w:hAnsi="Arial" w:cs="Arial"/>
                <w:sz w:val="18"/>
                <w:szCs w:val="18"/>
              </w:rPr>
              <w:fldChar w:fldCharType="end"/>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UK</w:t>
            </w:r>
          </w:p>
        </w:tc>
        <w:tc>
          <w:tcPr>
            <w:tcW w:w="708"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5,499</w:t>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2.4m</w:t>
            </w:r>
          </w:p>
        </w:tc>
        <w:tc>
          <w:tcPr>
            <w:tcW w:w="992"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Yes</w:t>
            </w:r>
          </w:p>
        </w:tc>
        <w:tc>
          <w:tcPr>
            <w:tcW w:w="1276"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60-64</w:t>
            </w:r>
          </w:p>
          <w:p w:rsidR="00774F5C" w:rsidRPr="00B04D62" w:rsidRDefault="00774F5C" w:rsidP="006118A1">
            <w:pPr>
              <w:jc w:val="center"/>
              <w:rPr>
                <w:rFonts w:ascii="Arial" w:hAnsi="Arial" w:cs="Arial"/>
                <w:sz w:val="18"/>
                <w:szCs w:val="18"/>
              </w:rPr>
            </w:pPr>
            <w:r w:rsidRPr="00B04D62">
              <w:rPr>
                <w:rFonts w:ascii="Arial" w:hAnsi="Arial" w:cs="Arial"/>
                <w:sz w:val="18"/>
                <w:szCs w:val="18"/>
              </w:rPr>
              <w:t>65-69</w:t>
            </w:r>
          </w:p>
          <w:p w:rsidR="00774F5C" w:rsidRPr="00B04D62" w:rsidRDefault="00774F5C" w:rsidP="006118A1">
            <w:pPr>
              <w:jc w:val="center"/>
              <w:rPr>
                <w:rFonts w:ascii="Arial" w:hAnsi="Arial" w:cs="Arial"/>
                <w:sz w:val="18"/>
                <w:szCs w:val="18"/>
              </w:rPr>
            </w:pPr>
            <w:r>
              <w:rPr>
                <w:rFonts w:ascii="Arial" w:hAnsi="Arial" w:cs="Arial"/>
                <w:sz w:val="18"/>
                <w:szCs w:val="18"/>
              </w:rPr>
              <w:t>70-74</w:t>
            </w:r>
          </w:p>
          <w:p w:rsidR="00774F5C" w:rsidRPr="00B04D62" w:rsidRDefault="00774F5C" w:rsidP="006118A1">
            <w:pPr>
              <w:jc w:val="center"/>
              <w:rPr>
                <w:rFonts w:ascii="Arial" w:hAnsi="Arial" w:cs="Arial"/>
                <w:sz w:val="18"/>
                <w:szCs w:val="18"/>
              </w:rPr>
            </w:pPr>
            <w:r w:rsidRPr="00B04D62">
              <w:rPr>
                <w:rFonts w:ascii="Arial" w:hAnsi="Arial" w:cs="Arial"/>
                <w:sz w:val="18"/>
                <w:szCs w:val="18"/>
              </w:rPr>
              <w:t>75-79</w:t>
            </w:r>
          </w:p>
          <w:p w:rsidR="00774F5C" w:rsidRPr="00B04D62" w:rsidRDefault="00774F5C" w:rsidP="006118A1">
            <w:pPr>
              <w:jc w:val="center"/>
              <w:rPr>
                <w:rFonts w:ascii="Arial" w:hAnsi="Arial" w:cs="Arial"/>
                <w:sz w:val="18"/>
                <w:szCs w:val="18"/>
              </w:rPr>
            </w:pPr>
            <w:r w:rsidRPr="00B04D62">
              <w:rPr>
                <w:rFonts w:ascii="Arial" w:hAnsi="Arial" w:cs="Arial"/>
                <w:sz w:val="18"/>
                <w:szCs w:val="18"/>
              </w:rPr>
              <w:t>80-84</w:t>
            </w:r>
          </w:p>
          <w:p w:rsidR="00774F5C" w:rsidRPr="00B04D62" w:rsidRDefault="00774F5C" w:rsidP="006118A1">
            <w:pPr>
              <w:jc w:val="center"/>
              <w:rPr>
                <w:rFonts w:ascii="Arial" w:hAnsi="Arial" w:cs="Arial"/>
                <w:sz w:val="18"/>
                <w:szCs w:val="18"/>
              </w:rPr>
            </w:pPr>
            <w:r w:rsidRPr="00B04D62">
              <w:rPr>
                <w:rFonts w:ascii="Arial" w:hAnsi="Arial" w:cs="Arial"/>
                <w:sz w:val="18"/>
                <w:szCs w:val="18"/>
              </w:rPr>
              <w:t>85-89</w:t>
            </w:r>
          </w:p>
          <w:p w:rsidR="00774F5C" w:rsidRPr="00B04D62" w:rsidRDefault="00774F5C" w:rsidP="006118A1">
            <w:pPr>
              <w:jc w:val="center"/>
              <w:rPr>
                <w:rFonts w:ascii="Arial" w:hAnsi="Arial" w:cs="Arial"/>
                <w:sz w:val="18"/>
                <w:szCs w:val="18"/>
              </w:rPr>
            </w:pPr>
            <w:r w:rsidRPr="00B04D62">
              <w:rPr>
                <w:rFonts w:ascii="Arial" w:hAnsi="Arial" w:cs="Arial"/>
                <w:sz w:val="18"/>
                <w:szCs w:val="18"/>
              </w:rPr>
              <w:t>90+</w:t>
            </w:r>
          </w:p>
        </w:tc>
        <w:tc>
          <w:tcPr>
            <w:tcW w:w="1519"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1.00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0.95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0.88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0.81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0.72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0.63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0.56 (0.3)</w:t>
            </w:r>
          </w:p>
        </w:tc>
        <w:tc>
          <w:tcPr>
            <w:tcW w:w="1519"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0.95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0.91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0.82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0.74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0.62 (0.2)</w:t>
            </w:r>
          </w:p>
          <w:p w:rsidR="00774F5C" w:rsidRPr="00B04D62" w:rsidRDefault="00774F5C" w:rsidP="006118A1">
            <w:pPr>
              <w:jc w:val="center"/>
              <w:rPr>
                <w:rFonts w:ascii="Arial" w:hAnsi="Arial" w:cs="Arial"/>
                <w:sz w:val="18"/>
                <w:szCs w:val="18"/>
              </w:rPr>
            </w:pPr>
            <w:r w:rsidRPr="00B04D62">
              <w:rPr>
                <w:rFonts w:ascii="Arial" w:hAnsi="Arial" w:cs="Arial"/>
                <w:sz w:val="18"/>
                <w:szCs w:val="18"/>
              </w:rPr>
              <w:t>0.55 (0.2)</w:t>
            </w:r>
          </w:p>
          <w:p w:rsidR="00774F5C" w:rsidRPr="00B04D62" w:rsidRDefault="00774F5C" w:rsidP="006118A1">
            <w:pPr>
              <w:spacing w:after="100"/>
              <w:jc w:val="center"/>
              <w:rPr>
                <w:rFonts w:ascii="Arial" w:hAnsi="Arial" w:cs="Arial"/>
                <w:sz w:val="18"/>
                <w:szCs w:val="18"/>
              </w:rPr>
            </w:pPr>
            <w:r w:rsidRPr="00B04D62">
              <w:rPr>
                <w:rFonts w:ascii="Arial" w:hAnsi="Arial" w:cs="Arial"/>
                <w:sz w:val="18"/>
                <w:szCs w:val="18"/>
              </w:rPr>
              <w:t>0.47 (0.2)</w:t>
            </w:r>
          </w:p>
        </w:tc>
      </w:tr>
      <w:tr w:rsidR="00774F5C" w:rsidTr="006118A1">
        <w:tc>
          <w:tcPr>
            <w:tcW w:w="1242" w:type="dxa"/>
            <w:shd w:val="clear" w:color="auto" w:fill="FFFFFF" w:themeFill="background1"/>
          </w:tcPr>
          <w:p w:rsidR="00774F5C" w:rsidRDefault="00774F5C" w:rsidP="006118A1">
            <w:pPr>
              <w:jc w:val="center"/>
              <w:rPr>
                <w:rFonts w:ascii="Arial" w:hAnsi="Arial" w:cs="Arial"/>
                <w:sz w:val="18"/>
                <w:szCs w:val="18"/>
              </w:rPr>
            </w:pPr>
            <w:r w:rsidRPr="00B04D62">
              <w:rPr>
                <w:rFonts w:ascii="Arial" w:hAnsi="Arial" w:cs="Arial"/>
                <w:sz w:val="18"/>
                <w:szCs w:val="18"/>
              </w:rPr>
              <w:t>HSE 2005</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"10.1093/ageing/afs076", "abstract" : "to compare walking speed in the UK older population with the speed required to utilise pedestrian crossings (\u22651.2 m/s), and determine health and socio-demographic associations with walking impairment.", "author" : [ { "dropping-particle" : "", "family" : "Asher", "given" : "Laura", "non-dropping-particle" : "", "parse-names" : false, "suffix" : "" }, { "dropping-particle" : "", "family" : "Aresu", "given" : "Maria", "non-dropping-particle" : "", "parse-names" : false, "suffix" : "" }, { "dropping-particle" : "", "family" : "Falaschetti", "given" : "Emanuela", "non-dropping-particle" : "", "parse-names" : false, "suffix" : "" }, { "dropping-particle" : "", "family" : "Mindell", "given" : "Jennifer", "non-dropping-particle" : "", "parse-names" : false, "suffix" : "" } ], "container-title" : "Age and ageing", "id" : "ITEM-1", "issue" : "5", "issued" : { "date-parts" : [ [ "2012", "9" ] ] }, "page" : "690-4", "title" : "Most older pedestrians are unable to cross the road in time: a cross-sectional study.", "type" : "article-journal", "volume" : "41" }, "uris" : [ "http://www.mendeley.com/documents/?uuid=03e17d88-a184-40f6-9258-988c96817fda" ] } ], "mendeley" : { "previouslyFormattedCitation" : "[2]"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[2]</w:t>
            </w:r>
            <w:r>
              <w:rPr>
                <w:rFonts w:ascii="Arial" w:hAnsi="Arial" w:cs="Arial"/>
                <w:sz w:val="18"/>
                <w:szCs w:val="18"/>
              </w:rPr>
              <w:fldChar w:fldCharType="end"/>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UK</w:t>
            </w:r>
          </w:p>
        </w:tc>
        <w:tc>
          <w:tcPr>
            <w:tcW w:w="708"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3,145</w:t>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2.4m</w:t>
            </w:r>
          </w:p>
        </w:tc>
        <w:tc>
          <w:tcPr>
            <w:tcW w:w="992"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Yes</w:t>
            </w:r>
          </w:p>
        </w:tc>
        <w:tc>
          <w:tcPr>
            <w:tcW w:w="1276"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65-69</w:t>
            </w:r>
          </w:p>
          <w:p w:rsidR="00774F5C" w:rsidRPr="00B04D62" w:rsidRDefault="00774F5C" w:rsidP="006118A1">
            <w:pPr>
              <w:jc w:val="center"/>
              <w:rPr>
                <w:rFonts w:ascii="Arial" w:hAnsi="Arial" w:cs="Arial"/>
                <w:sz w:val="18"/>
                <w:szCs w:val="18"/>
              </w:rPr>
            </w:pPr>
            <w:r w:rsidRPr="00B04D62">
              <w:rPr>
                <w:rFonts w:ascii="Arial" w:hAnsi="Arial" w:cs="Arial"/>
                <w:sz w:val="18"/>
                <w:szCs w:val="18"/>
              </w:rPr>
              <w:t>70-74</w:t>
            </w:r>
          </w:p>
          <w:p w:rsidR="00774F5C" w:rsidRPr="00B04D62" w:rsidRDefault="00774F5C" w:rsidP="006118A1">
            <w:pPr>
              <w:jc w:val="center"/>
              <w:rPr>
                <w:rFonts w:ascii="Arial" w:hAnsi="Arial" w:cs="Arial"/>
                <w:sz w:val="18"/>
                <w:szCs w:val="18"/>
              </w:rPr>
            </w:pPr>
            <w:r w:rsidRPr="00B04D62">
              <w:rPr>
                <w:rFonts w:ascii="Arial" w:hAnsi="Arial" w:cs="Arial"/>
                <w:sz w:val="18"/>
                <w:szCs w:val="18"/>
              </w:rPr>
              <w:t>75-79</w:t>
            </w:r>
          </w:p>
          <w:p w:rsidR="00774F5C" w:rsidRPr="00B04D62" w:rsidRDefault="00774F5C" w:rsidP="006118A1">
            <w:pPr>
              <w:jc w:val="center"/>
              <w:rPr>
                <w:rFonts w:ascii="Arial" w:hAnsi="Arial" w:cs="Arial"/>
                <w:sz w:val="18"/>
                <w:szCs w:val="18"/>
              </w:rPr>
            </w:pPr>
            <w:r w:rsidRPr="00B04D62">
              <w:rPr>
                <w:rFonts w:ascii="Arial" w:hAnsi="Arial" w:cs="Arial"/>
                <w:sz w:val="18"/>
                <w:szCs w:val="18"/>
              </w:rPr>
              <w:t>80-84</w:t>
            </w:r>
          </w:p>
          <w:p w:rsidR="00774F5C" w:rsidRPr="00B04D62" w:rsidRDefault="00774F5C" w:rsidP="006118A1">
            <w:pPr>
              <w:jc w:val="center"/>
              <w:rPr>
                <w:rFonts w:ascii="Arial" w:hAnsi="Arial" w:cs="Arial"/>
                <w:sz w:val="18"/>
                <w:szCs w:val="18"/>
              </w:rPr>
            </w:pPr>
            <w:r w:rsidRPr="00B04D62">
              <w:rPr>
                <w:rFonts w:ascii="Arial" w:hAnsi="Arial" w:cs="Arial"/>
                <w:sz w:val="18"/>
                <w:szCs w:val="18"/>
              </w:rPr>
              <w:t>85+</w:t>
            </w:r>
          </w:p>
        </w:tc>
        <w:tc>
          <w:tcPr>
            <w:tcW w:w="1519"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1.0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0.9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0.9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0.8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0.7 (0.2)</w:t>
            </w:r>
          </w:p>
        </w:tc>
        <w:tc>
          <w:tcPr>
            <w:tcW w:w="1519"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0.9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0.9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0.8 (0.3)</w:t>
            </w:r>
          </w:p>
          <w:p w:rsidR="00774F5C" w:rsidRPr="00B04D62" w:rsidRDefault="00774F5C" w:rsidP="006118A1">
            <w:pPr>
              <w:jc w:val="center"/>
              <w:rPr>
                <w:rFonts w:ascii="Arial" w:hAnsi="Arial" w:cs="Arial"/>
                <w:sz w:val="18"/>
                <w:szCs w:val="18"/>
              </w:rPr>
            </w:pPr>
            <w:r w:rsidRPr="00B04D62">
              <w:rPr>
                <w:rFonts w:ascii="Arial" w:hAnsi="Arial" w:cs="Arial"/>
                <w:sz w:val="18"/>
                <w:szCs w:val="18"/>
              </w:rPr>
              <w:t>0.7 (0.2)</w:t>
            </w:r>
          </w:p>
          <w:p w:rsidR="00774F5C" w:rsidRPr="00B04D62" w:rsidRDefault="00774F5C" w:rsidP="006118A1">
            <w:pPr>
              <w:spacing w:after="100"/>
              <w:jc w:val="center"/>
              <w:rPr>
                <w:rFonts w:ascii="Arial" w:hAnsi="Arial" w:cs="Arial"/>
                <w:sz w:val="18"/>
                <w:szCs w:val="18"/>
              </w:rPr>
            </w:pPr>
            <w:r w:rsidRPr="00B04D62">
              <w:rPr>
                <w:rFonts w:ascii="Arial" w:hAnsi="Arial" w:cs="Arial"/>
                <w:sz w:val="18"/>
                <w:szCs w:val="18"/>
              </w:rPr>
              <w:t>0.5 (0.2)</w:t>
            </w:r>
          </w:p>
        </w:tc>
      </w:tr>
      <w:tr w:rsidR="00774F5C" w:rsidTr="006118A1">
        <w:tc>
          <w:tcPr>
            <w:tcW w:w="1242" w:type="dxa"/>
            <w:shd w:val="clear" w:color="auto" w:fill="FFFFFF" w:themeFill="background1"/>
          </w:tcPr>
          <w:p w:rsidR="00774F5C" w:rsidRDefault="00774F5C" w:rsidP="006118A1">
            <w:pPr>
              <w:jc w:val="center"/>
              <w:rPr>
                <w:rFonts w:ascii="Arial" w:hAnsi="Arial" w:cs="Arial"/>
                <w:sz w:val="18"/>
                <w:szCs w:val="18"/>
              </w:rPr>
            </w:pPr>
            <w:proofErr w:type="spellStart"/>
            <w:r w:rsidRPr="00B04D62">
              <w:rPr>
                <w:rFonts w:ascii="Arial" w:hAnsi="Arial" w:cs="Arial"/>
                <w:sz w:val="18"/>
                <w:szCs w:val="18"/>
              </w:rPr>
              <w:t>SardiNIA</w:t>
            </w:r>
            <w:proofErr w:type="spellEnd"/>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"10.1093/geronb/gbp130.", "author" : [ { "dropping-particle" : "", "family" : "Tolea", "given" : "Magdalena I", "non-dropping-particle" : "", "parse-names" : false, "suffix" : "" }, { "dropping-particle" : "", "family" : "Costa", "given" : "Paul T", "non-dropping-particle" : "", "parse-names" : false, "suffix" : "" }, { "dropping-particle" : "", "family" : "Terracciano", "given" : "Antonio", "non-dropping-particle" : "", "parse-names" : false, "suffix" : "" }, { "dropping-particle" : "", "family" : "Griswold", "given" : "Michael", "non-dropping-particle" : "", "parse-names" : false, "suffix" : "" }, { "dropping-particle" : "", "family" : "Simonsick", "given" : "Eleanor M", "non-dropping-particle" : "", "parse-names" : false, "suffix" : "" }, { "dropping-particle" : "", "family" : "Najjar", "given" : "Samer S", "non-dropping-particle" : "", "parse-names" : false, "suffix" : "" }, { "dropping-particle" : "", "family" : "Scuteri", "given" : "Angelo", "non-dropping-particle" : "", "parse-names" : false, "suffix" : "" }, { "dropping-particle" : "", "family" : "Deiana", "given" : "Barbara", "non-dropping-particle" : "", "parse-names" : false, "suffix" : "" }, { "dropping-particle" : "", "family" : "Orr\u00f9", "given" : "Marco", "non-dropping-particle" : "", "parse-names" : false, "suffix" : "" }, { "dropping-particle" : "", "family" : "Masala", "given" : "Marco", "non-dropping-particle" : "", "parse-names" : false, "suffix" : "" }, { "dropping-particle" : "", "family" : "Uda", "given" : "Manuela", "non-dropping-particle" : "", "parse-names" : false, "suffix" : "" }, { "dropping-particle" : "", "family" : "Schlessinger", "given" : "David", "non-dropping-particle" : "", "parse-names" : false, "suffix" : "" }, { "dropping-particle" : "", "family" : "Ferrucci", "given" : "Luigi", "non-dropping-particle" : "", "parse-names" : false, "suffix" : "" } ], "container-title" : "Journal of Gerontology: Psychological Sciences", "id" : "ITEM-1", "issue" : "2", "issued" : { "date-parts" : [ [ "2010" ] ] }, "page" : "174-184", "title" : "Sex-Specific Correlates of Walking Speed in a Wide Age-ranged Population", "type" : "article-journal", "volume" : "65B" }, "uris" : [ "http://www.mendeley.com/documents/?uuid=386147dd-4b81-476e-81e8-19ab98a561c8" ] } ], "mendeley" : { "previouslyFormattedCitation" : "[3]"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[3]</w:t>
            </w:r>
            <w:r>
              <w:rPr>
                <w:rFonts w:ascii="Arial" w:hAnsi="Arial" w:cs="Arial"/>
                <w:sz w:val="18"/>
                <w:szCs w:val="18"/>
              </w:rPr>
              <w:fldChar w:fldCharType="end"/>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Sardinia, Italy</w:t>
            </w:r>
          </w:p>
        </w:tc>
        <w:tc>
          <w:tcPr>
            <w:tcW w:w="708"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3,872</w:t>
            </w:r>
          </w:p>
        </w:tc>
        <w:tc>
          <w:tcPr>
            <w:tcW w:w="993"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4m</w:t>
            </w:r>
          </w:p>
        </w:tc>
        <w:tc>
          <w:tcPr>
            <w:tcW w:w="992"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unknown</w:t>
            </w:r>
          </w:p>
        </w:tc>
        <w:tc>
          <w:tcPr>
            <w:tcW w:w="1276"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&lt;35</w:t>
            </w:r>
          </w:p>
          <w:p w:rsidR="00774F5C" w:rsidRDefault="00774F5C" w:rsidP="006118A1">
            <w:pPr>
              <w:jc w:val="center"/>
              <w:rPr>
                <w:rFonts w:ascii="Arial" w:hAnsi="Arial" w:cs="Arial"/>
                <w:sz w:val="18"/>
                <w:szCs w:val="18"/>
              </w:rPr>
            </w:pPr>
            <w:r>
              <w:rPr>
                <w:rFonts w:ascii="Arial" w:hAnsi="Arial" w:cs="Arial"/>
                <w:sz w:val="18"/>
                <w:szCs w:val="18"/>
              </w:rPr>
              <w:t>35-54</w:t>
            </w:r>
          </w:p>
          <w:p w:rsidR="00774F5C" w:rsidRDefault="00774F5C" w:rsidP="006118A1">
            <w:pPr>
              <w:jc w:val="center"/>
              <w:rPr>
                <w:rFonts w:ascii="Arial" w:hAnsi="Arial" w:cs="Arial"/>
                <w:sz w:val="18"/>
                <w:szCs w:val="18"/>
              </w:rPr>
            </w:pPr>
            <w:r>
              <w:rPr>
                <w:rFonts w:ascii="Arial" w:hAnsi="Arial" w:cs="Arial"/>
                <w:sz w:val="18"/>
                <w:szCs w:val="18"/>
              </w:rPr>
              <w:t>55-74</w:t>
            </w:r>
          </w:p>
          <w:p w:rsidR="00774F5C" w:rsidRPr="00B04D62" w:rsidRDefault="00774F5C" w:rsidP="006118A1">
            <w:pPr>
              <w:jc w:val="center"/>
              <w:rPr>
                <w:rFonts w:ascii="Arial" w:hAnsi="Arial" w:cs="Arial"/>
                <w:sz w:val="18"/>
                <w:szCs w:val="18"/>
              </w:rPr>
            </w:pPr>
            <w:r>
              <w:rPr>
                <w:rFonts w:ascii="Arial" w:hAnsi="Arial" w:cs="Arial"/>
                <w:sz w:val="18"/>
                <w:szCs w:val="18"/>
              </w:rPr>
              <w:t>75+</w:t>
            </w:r>
          </w:p>
        </w:tc>
        <w:tc>
          <w:tcPr>
            <w:tcW w:w="1519"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1.2 (0.2)</w:t>
            </w:r>
          </w:p>
          <w:p w:rsidR="00774F5C" w:rsidRDefault="00774F5C" w:rsidP="006118A1">
            <w:pPr>
              <w:jc w:val="center"/>
              <w:rPr>
                <w:rFonts w:ascii="Arial" w:hAnsi="Arial" w:cs="Arial"/>
                <w:sz w:val="18"/>
                <w:szCs w:val="18"/>
              </w:rPr>
            </w:pPr>
            <w:r>
              <w:rPr>
                <w:rFonts w:ascii="Arial" w:hAnsi="Arial" w:cs="Arial"/>
                <w:sz w:val="18"/>
                <w:szCs w:val="18"/>
              </w:rPr>
              <w:t>1.2 (0.2)</w:t>
            </w:r>
          </w:p>
          <w:p w:rsidR="00774F5C" w:rsidRDefault="00774F5C" w:rsidP="006118A1">
            <w:pPr>
              <w:jc w:val="center"/>
              <w:rPr>
                <w:rFonts w:ascii="Arial" w:hAnsi="Arial" w:cs="Arial"/>
                <w:sz w:val="18"/>
                <w:szCs w:val="18"/>
              </w:rPr>
            </w:pPr>
            <w:r>
              <w:rPr>
                <w:rFonts w:ascii="Arial" w:hAnsi="Arial" w:cs="Arial"/>
                <w:sz w:val="18"/>
                <w:szCs w:val="18"/>
              </w:rPr>
              <w:t>1.1 (0.2)</w:t>
            </w:r>
          </w:p>
          <w:p w:rsidR="00774F5C" w:rsidRPr="00B04D62" w:rsidRDefault="00774F5C" w:rsidP="006118A1">
            <w:pPr>
              <w:jc w:val="center"/>
              <w:rPr>
                <w:rFonts w:ascii="Arial" w:hAnsi="Arial" w:cs="Arial"/>
                <w:sz w:val="18"/>
                <w:szCs w:val="18"/>
              </w:rPr>
            </w:pPr>
            <w:r>
              <w:rPr>
                <w:rFonts w:ascii="Arial" w:hAnsi="Arial" w:cs="Arial"/>
                <w:sz w:val="18"/>
                <w:szCs w:val="18"/>
              </w:rPr>
              <w:t>0.9 (0.2)</w:t>
            </w:r>
          </w:p>
        </w:tc>
        <w:tc>
          <w:tcPr>
            <w:tcW w:w="1519"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1.2 (0.2)</w:t>
            </w:r>
          </w:p>
          <w:p w:rsidR="00774F5C" w:rsidRDefault="00774F5C" w:rsidP="006118A1">
            <w:pPr>
              <w:jc w:val="center"/>
              <w:rPr>
                <w:rFonts w:ascii="Arial" w:hAnsi="Arial" w:cs="Arial"/>
                <w:sz w:val="18"/>
                <w:szCs w:val="18"/>
              </w:rPr>
            </w:pPr>
            <w:r>
              <w:rPr>
                <w:rFonts w:ascii="Arial" w:hAnsi="Arial" w:cs="Arial"/>
                <w:sz w:val="18"/>
                <w:szCs w:val="18"/>
              </w:rPr>
              <w:t>1.1 (0.2)</w:t>
            </w:r>
          </w:p>
          <w:p w:rsidR="00774F5C" w:rsidRDefault="00774F5C" w:rsidP="006118A1">
            <w:pPr>
              <w:jc w:val="center"/>
              <w:rPr>
                <w:rFonts w:ascii="Arial" w:hAnsi="Arial" w:cs="Arial"/>
                <w:sz w:val="18"/>
                <w:szCs w:val="18"/>
              </w:rPr>
            </w:pPr>
            <w:r>
              <w:rPr>
                <w:rFonts w:ascii="Arial" w:hAnsi="Arial" w:cs="Arial"/>
                <w:sz w:val="18"/>
                <w:szCs w:val="18"/>
              </w:rPr>
              <w:t>0.9 (0.2)</w:t>
            </w:r>
          </w:p>
          <w:p w:rsidR="00774F5C" w:rsidRPr="00B04D62" w:rsidRDefault="00774F5C" w:rsidP="006118A1">
            <w:pPr>
              <w:spacing w:after="100"/>
              <w:jc w:val="center"/>
              <w:rPr>
                <w:rFonts w:ascii="Arial" w:hAnsi="Arial" w:cs="Arial"/>
                <w:sz w:val="18"/>
                <w:szCs w:val="18"/>
              </w:rPr>
            </w:pPr>
            <w:r>
              <w:rPr>
                <w:rFonts w:ascii="Arial" w:hAnsi="Arial" w:cs="Arial"/>
                <w:sz w:val="18"/>
                <w:szCs w:val="18"/>
              </w:rPr>
              <w:t>0.7 (0.2)</w:t>
            </w:r>
          </w:p>
        </w:tc>
      </w:tr>
      <w:tr w:rsidR="00774F5C" w:rsidTr="006118A1">
        <w:tc>
          <w:tcPr>
            <w:tcW w:w="1242" w:type="dxa"/>
            <w:shd w:val="clear" w:color="auto" w:fill="FFFFFF" w:themeFill="background1"/>
          </w:tcPr>
          <w:p w:rsidR="00774F5C" w:rsidRDefault="00774F5C" w:rsidP="006118A1">
            <w:pPr>
              <w:jc w:val="center"/>
              <w:rPr>
                <w:rFonts w:ascii="Arial" w:hAnsi="Arial" w:cs="Arial"/>
                <w:sz w:val="18"/>
                <w:szCs w:val="18"/>
              </w:rPr>
            </w:pPr>
            <w:proofErr w:type="spellStart"/>
            <w:r w:rsidRPr="00B04D62">
              <w:rPr>
                <w:rFonts w:ascii="Arial" w:hAnsi="Arial" w:cs="Arial"/>
                <w:sz w:val="18"/>
                <w:szCs w:val="18"/>
              </w:rPr>
              <w:t>InChianti</w:t>
            </w:r>
            <w:proofErr w:type="spellEnd"/>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"10.1111/j.1532-5415.2006.00962.x.Age-Associated", "author" : [ { "dropping-particle" : "", "family" : "Shumway-cook", "given" : "Anne", "non-dropping-particle" : "", "parse-names" : false, "suffix" : "" }, { "dropping-particle" : "", "family" : "Guralnik", "given" : "Jack M", "non-dropping-particle" : "", "parse-names" : false, "suffix" : "" }, { "dropping-particle" : "", "family" : "Phillips", "given" : "Caroline L", "non-dropping-particle" : "", "parse-names" : false, "suffix" : "" }, { "dropping-particle" : "", "family" : "Coppin", "given" : "Antonia K", "non-dropping-particle" : "", "parse-names" : false, "suffix" : "" }, { "dropping-particle" : "", "family" : "Ciol", "given" : "Marcia A", "non-dropping-particle" : "", "parse-names" : false, "suffix" : "" }, { "dropping-particle" : "", "family" : "Bandinelli", "given" : "Stefania", "non-dropping-particle" : "", "parse-names" : false, "suffix" : "" }, { "dropping-particle" : "", "family" : "Ferrucci", "given" : "Luigi", "non-dropping-particle" : "", "parse-names" : false, "suffix" : "" } ], "container-title" : "J Am Geriatr Soc", "id" : "ITEM-1", "issue" : "1", "issued" : { "date-parts" : [ [ "2007" ] ] }, "page" : "58-65", "title" : "Age-associated Declines in complex Walking Task Performance: the Walking InChianti Toolkit", "type" : "article-journal", "volume" : "55" }, "uris" : [ "http://www.mendeley.com/documents/?uuid=07299fa9-2359-42d6-bb65-b92a89e5457a" ] } ], "mendeley" : { "previouslyFormattedCitation" : "[4]"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[4]</w:t>
            </w:r>
            <w:r>
              <w:rPr>
                <w:rFonts w:ascii="Arial" w:hAnsi="Arial" w:cs="Arial"/>
                <w:sz w:val="18"/>
                <w:szCs w:val="18"/>
              </w:rPr>
              <w:fldChar w:fldCharType="end"/>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Italy</w:t>
            </w:r>
          </w:p>
        </w:tc>
        <w:tc>
          <w:tcPr>
            <w:tcW w:w="708"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1,228</w:t>
            </w:r>
          </w:p>
        </w:tc>
        <w:tc>
          <w:tcPr>
            <w:tcW w:w="993"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4m</w:t>
            </w:r>
          </w:p>
        </w:tc>
        <w:tc>
          <w:tcPr>
            <w:tcW w:w="992"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Yes</w:t>
            </w:r>
          </w:p>
        </w:tc>
        <w:tc>
          <w:tcPr>
            <w:tcW w:w="1276"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&lt;65</w:t>
            </w:r>
          </w:p>
          <w:p w:rsidR="00774F5C" w:rsidRDefault="00774F5C" w:rsidP="006118A1">
            <w:pPr>
              <w:jc w:val="center"/>
              <w:rPr>
                <w:rFonts w:ascii="Arial" w:hAnsi="Arial" w:cs="Arial"/>
                <w:sz w:val="18"/>
                <w:szCs w:val="18"/>
              </w:rPr>
            </w:pPr>
            <w:r>
              <w:rPr>
                <w:rFonts w:ascii="Arial" w:hAnsi="Arial" w:cs="Arial"/>
                <w:sz w:val="18"/>
                <w:szCs w:val="18"/>
              </w:rPr>
              <w:t>65-74</w:t>
            </w:r>
          </w:p>
          <w:p w:rsidR="00774F5C" w:rsidRDefault="00774F5C" w:rsidP="006118A1">
            <w:pPr>
              <w:jc w:val="center"/>
              <w:rPr>
                <w:rFonts w:ascii="Arial" w:hAnsi="Arial" w:cs="Arial"/>
                <w:sz w:val="18"/>
                <w:szCs w:val="18"/>
              </w:rPr>
            </w:pPr>
            <w:r>
              <w:rPr>
                <w:rFonts w:ascii="Arial" w:hAnsi="Arial" w:cs="Arial"/>
                <w:sz w:val="18"/>
                <w:szCs w:val="18"/>
              </w:rPr>
              <w:t>75-84</w:t>
            </w:r>
          </w:p>
          <w:p w:rsidR="00774F5C" w:rsidRPr="00B04D62" w:rsidRDefault="00774F5C" w:rsidP="006118A1">
            <w:pPr>
              <w:spacing w:after="100"/>
              <w:jc w:val="center"/>
              <w:rPr>
                <w:rFonts w:ascii="Arial" w:hAnsi="Arial" w:cs="Arial"/>
                <w:sz w:val="18"/>
                <w:szCs w:val="18"/>
              </w:rPr>
            </w:pPr>
            <w:r>
              <w:rPr>
                <w:rFonts w:ascii="Arial" w:hAnsi="Arial" w:cs="Arial"/>
                <w:sz w:val="18"/>
                <w:szCs w:val="18"/>
              </w:rPr>
              <w:t>85+</w:t>
            </w:r>
          </w:p>
        </w:tc>
        <w:tc>
          <w:tcPr>
            <w:tcW w:w="1519"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1.36 (0.2)</w:t>
            </w:r>
          </w:p>
          <w:p w:rsidR="00774F5C" w:rsidRDefault="00774F5C" w:rsidP="006118A1">
            <w:pPr>
              <w:jc w:val="center"/>
              <w:rPr>
                <w:rFonts w:ascii="Arial" w:hAnsi="Arial" w:cs="Arial"/>
                <w:sz w:val="18"/>
                <w:szCs w:val="18"/>
              </w:rPr>
            </w:pPr>
            <w:r>
              <w:rPr>
                <w:rFonts w:ascii="Arial" w:hAnsi="Arial" w:cs="Arial"/>
                <w:sz w:val="18"/>
                <w:szCs w:val="18"/>
              </w:rPr>
              <w:t>1.21 (0.2)</w:t>
            </w:r>
          </w:p>
          <w:p w:rsidR="00774F5C" w:rsidRDefault="00774F5C" w:rsidP="006118A1">
            <w:pPr>
              <w:jc w:val="center"/>
              <w:rPr>
                <w:rFonts w:ascii="Arial" w:hAnsi="Arial" w:cs="Arial"/>
                <w:sz w:val="18"/>
                <w:szCs w:val="18"/>
              </w:rPr>
            </w:pPr>
            <w:r>
              <w:rPr>
                <w:rFonts w:ascii="Arial" w:hAnsi="Arial" w:cs="Arial"/>
                <w:sz w:val="18"/>
                <w:szCs w:val="18"/>
              </w:rPr>
              <w:t>1.06 (0.2)</w:t>
            </w:r>
          </w:p>
          <w:p w:rsidR="00774F5C" w:rsidRPr="00B04D62" w:rsidRDefault="00774F5C" w:rsidP="006118A1">
            <w:pPr>
              <w:jc w:val="center"/>
              <w:rPr>
                <w:rFonts w:ascii="Arial" w:hAnsi="Arial" w:cs="Arial"/>
                <w:sz w:val="18"/>
                <w:szCs w:val="18"/>
              </w:rPr>
            </w:pPr>
            <w:r>
              <w:rPr>
                <w:rFonts w:ascii="Arial" w:hAnsi="Arial" w:cs="Arial"/>
                <w:sz w:val="18"/>
                <w:szCs w:val="18"/>
              </w:rPr>
              <w:t>0.81 (0.3)</w:t>
            </w:r>
          </w:p>
        </w:tc>
        <w:tc>
          <w:tcPr>
            <w:tcW w:w="1519"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1.30 (0.2)</w:t>
            </w:r>
          </w:p>
          <w:p w:rsidR="00774F5C" w:rsidRDefault="00774F5C" w:rsidP="006118A1">
            <w:pPr>
              <w:jc w:val="center"/>
              <w:rPr>
                <w:rFonts w:ascii="Arial" w:hAnsi="Arial" w:cs="Arial"/>
                <w:sz w:val="18"/>
                <w:szCs w:val="18"/>
              </w:rPr>
            </w:pPr>
            <w:r>
              <w:rPr>
                <w:rFonts w:ascii="Arial" w:hAnsi="Arial" w:cs="Arial"/>
                <w:sz w:val="18"/>
                <w:szCs w:val="18"/>
              </w:rPr>
              <w:t>1.09 (0.2)</w:t>
            </w:r>
          </w:p>
          <w:p w:rsidR="00774F5C" w:rsidRDefault="00774F5C" w:rsidP="006118A1">
            <w:pPr>
              <w:jc w:val="center"/>
              <w:rPr>
                <w:rFonts w:ascii="Arial" w:hAnsi="Arial" w:cs="Arial"/>
                <w:sz w:val="18"/>
                <w:szCs w:val="18"/>
              </w:rPr>
            </w:pPr>
            <w:r>
              <w:rPr>
                <w:rFonts w:ascii="Arial" w:hAnsi="Arial" w:cs="Arial"/>
                <w:sz w:val="18"/>
                <w:szCs w:val="18"/>
              </w:rPr>
              <w:t>0.89 (0.2)</w:t>
            </w:r>
          </w:p>
          <w:p w:rsidR="00774F5C" w:rsidRPr="00B04D62" w:rsidRDefault="00774F5C" w:rsidP="006118A1">
            <w:pPr>
              <w:jc w:val="center"/>
              <w:rPr>
                <w:rFonts w:ascii="Arial" w:hAnsi="Arial" w:cs="Arial"/>
                <w:sz w:val="18"/>
                <w:szCs w:val="18"/>
              </w:rPr>
            </w:pPr>
            <w:r>
              <w:rPr>
                <w:rFonts w:ascii="Arial" w:hAnsi="Arial" w:cs="Arial"/>
                <w:sz w:val="18"/>
                <w:szCs w:val="18"/>
              </w:rPr>
              <w:t>0.71 (0.3)</w:t>
            </w:r>
          </w:p>
        </w:tc>
      </w:tr>
      <w:tr w:rsidR="00774F5C" w:rsidTr="006118A1">
        <w:tc>
          <w:tcPr>
            <w:tcW w:w="1242"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Umea 85+ Study</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"abstract" : "What is the physical ability of very old people? Is physical ability affected by age or sex? Is it affected by type of housing, level of independence in activities of daily living, cognition, or nutrition?", "author" : [ { "dropping-particle" : "", "family" : "Heideken Wagert", "given" : "Petra", "non-dropping-particle" : "von", "parse-names" : false, "suffix" : "" }, { "dropping-particle" : "", "family" : "Gustafson", "given" : "Yngve", "non-dropping-particle" : "", "parse-names" : false, "suffix" : "" }, { "dropping-particle" : "", "family" : "Lundin-Olsson", "given" : "Lillemor", "non-dropping-particle" : "", "parse-names" : false, "suffix" : "" } ], "container-title" : "The Australian journal of physiotherapy", "id" : "ITEM-1", "issue" : "1", "issued" : { "date-parts" : [ [ "2009", "1" ] ] }, "page" : "39-45", "title" : "Large variations in walking, standing up from a chair, and balance in women and men over 85 years: an observational study.", "type" : "article-journal", "volume" : "55" }, "uris" : [ "http://www.mendeley.com/documents/?uuid=3e668373-5148-476b-ac63-5f0667fcbe0f" ] } ], "mendeley" : { "previouslyFormattedCitation" : "[5]"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[5]</w:t>
            </w:r>
            <w:r>
              <w:rPr>
                <w:rFonts w:ascii="Arial" w:hAnsi="Arial" w:cs="Arial"/>
                <w:sz w:val="18"/>
                <w:szCs w:val="18"/>
              </w:rPr>
              <w:fldChar w:fldCharType="end"/>
            </w:r>
          </w:p>
        </w:tc>
        <w:tc>
          <w:tcPr>
            <w:tcW w:w="993"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Sweden</w:t>
            </w:r>
          </w:p>
        </w:tc>
        <w:tc>
          <w:tcPr>
            <w:tcW w:w="708" w:type="dxa"/>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238</w:t>
            </w:r>
          </w:p>
        </w:tc>
        <w:tc>
          <w:tcPr>
            <w:tcW w:w="993"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2.4m</w:t>
            </w:r>
          </w:p>
        </w:tc>
        <w:tc>
          <w:tcPr>
            <w:tcW w:w="992"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Yes</w:t>
            </w:r>
          </w:p>
        </w:tc>
        <w:tc>
          <w:tcPr>
            <w:tcW w:w="1276"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85</w:t>
            </w:r>
          </w:p>
          <w:p w:rsidR="00774F5C" w:rsidRDefault="00774F5C" w:rsidP="006118A1">
            <w:pPr>
              <w:jc w:val="center"/>
              <w:rPr>
                <w:rFonts w:ascii="Arial" w:hAnsi="Arial" w:cs="Arial"/>
                <w:sz w:val="18"/>
                <w:szCs w:val="18"/>
              </w:rPr>
            </w:pPr>
            <w:r>
              <w:rPr>
                <w:rFonts w:ascii="Arial" w:hAnsi="Arial" w:cs="Arial"/>
                <w:sz w:val="18"/>
                <w:szCs w:val="18"/>
              </w:rPr>
              <w:t>90</w:t>
            </w:r>
          </w:p>
          <w:p w:rsidR="00774F5C" w:rsidRPr="00B04D62" w:rsidRDefault="00774F5C" w:rsidP="006118A1">
            <w:pPr>
              <w:spacing w:after="100"/>
              <w:jc w:val="center"/>
              <w:rPr>
                <w:rFonts w:ascii="Arial" w:hAnsi="Arial" w:cs="Arial"/>
                <w:sz w:val="18"/>
                <w:szCs w:val="18"/>
              </w:rPr>
            </w:pPr>
            <w:r>
              <w:rPr>
                <w:rFonts w:ascii="Arial" w:hAnsi="Arial" w:cs="Arial"/>
                <w:sz w:val="18"/>
                <w:szCs w:val="18"/>
              </w:rPr>
              <w:t>95+</w:t>
            </w:r>
          </w:p>
        </w:tc>
        <w:tc>
          <w:tcPr>
            <w:tcW w:w="1519"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0.47 (0.2-0.7)*</w:t>
            </w:r>
          </w:p>
          <w:p w:rsidR="00774F5C" w:rsidRDefault="00774F5C" w:rsidP="006118A1">
            <w:pPr>
              <w:jc w:val="center"/>
              <w:rPr>
                <w:rFonts w:ascii="Arial" w:hAnsi="Arial" w:cs="Arial"/>
                <w:sz w:val="18"/>
                <w:szCs w:val="18"/>
              </w:rPr>
            </w:pPr>
            <w:r>
              <w:rPr>
                <w:rFonts w:ascii="Arial" w:hAnsi="Arial" w:cs="Arial"/>
                <w:sz w:val="18"/>
                <w:szCs w:val="18"/>
              </w:rPr>
              <w:t>0.51 (0.3-1.0)</w:t>
            </w:r>
          </w:p>
          <w:p w:rsidR="00774F5C" w:rsidRPr="00B04D62" w:rsidRDefault="00774F5C" w:rsidP="006118A1">
            <w:pPr>
              <w:spacing w:after="100"/>
              <w:jc w:val="center"/>
              <w:rPr>
                <w:rFonts w:ascii="Arial" w:hAnsi="Arial" w:cs="Arial"/>
                <w:sz w:val="18"/>
                <w:szCs w:val="18"/>
              </w:rPr>
            </w:pPr>
            <w:r>
              <w:rPr>
                <w:rFonts w:ascii="Arial" w:hAnsi="Arial" w:cs="Arial"/>
                <w:sz w:val="18"/>
                <w:szCs w:val="18"/>
              </w:rPr>
              <w:t>0.54 (0.2-0.8)</w:t>
            </w:r>
          </w:p>
        </w:tc>
        <w:tc>
          <w:tcPr>
            <w:tcW w:w="1519" w:type="dxa"/>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0.52 (0.3-0.8)*</w:t>
            </w:r>
          </w:p>
          <w:p w:rsidR="00774F5C" w:rsidRDefault="00774F5C" w:rsidP="006118A1">
            <w:pPr>
              <w:jc w:val="center"/>
              <w:rPr>
                <w:rFonts w:ascii="Arial" w:hAnsi="Arial" w:cs="Arial"/>
                <w:sz w:val="18"/>
                <w:szCs w:val="18"/>
              </w:rPr>
            </w:pPr>
            <w:r>
              <w:rPr>
                <w:rFonts w:ascii="Arial" w:hAnsi="Arial" w:cs="Arial"/>
                <w:sz w:val="18"/>
                <w:szCs w:val="18"/>
              </w:rPr>
              <w:t>0.41 (0.2-0.7)</w:t>
            </w:r>
          </w:p>
          <w:p w:rsidR="00774F5C" w:rsidRPr="00B04D62" w:rsidRDefault="00774F5C" w:rsidP="006118A1">
            <w:pPr>
              <w:jc w:val="center"/>
              <w:rPr>
                <w:rFonts w:ascii="Arial" w:hAnsi="Arial" w:cs="Arial"/>
                <w:sz w:val="18"/>
                <w:szCs w:val="18"/>
              </w:rPr>
            </w:pPr>
            <w:r>
              <w:rPr>
                <w:rFonts w:ascii="Arial" w:hAnsi="Arial" w:cs="Arial"/>
                <w:sz w:val="18"/>
                <w:szCs w:val="18"/>
              </w:rPr>
              <w:t>0.41 (0.2-0.6)</w:t>
            </w:r>
          </w:p>
        </w:tc>
      </w:tr>
    </w:tbl>
    <w:p w:rsidR="00774F5C" w:rsidRPr="009605EC" w:rsidRDefault="00774F5C" w:rsidP="00774F5C">
      <w:pPr>
        <w:spacing w:after="0"/>
        <w:rPr>
          <w:rFonts w:ascii="Arial" w:hAnsi="Arial" w:cs="Arial"/>
          <w:sz w:val="20"/>
          <w:szCs w:val="20"/>
        </w:rPr>
      </w:pPr>
      <w:r w:rsidRPr="009605EC">
        <w:rPr>
          <w:rFonts w:ascii="Arial" w:hAnsi="Arial" w:cs="Arial"/>
          <w:sz w:val="20"/>
          <w:szCs w:val="20"/>
        </w:rPr>
        <w:t>*95% Confidence Intervals around the mean</w:t>
      </w:r>
    </w:p>
    <w:p w:rsidR="00774F5C" w:rsidRPr="00FF6109" w:rsidRDefault="00774F5C" w:rsidP="00774F5C">
      <w:pPr>
        <w:rPr>
          <w:rFonts w:ascii="Arial" w:hAnsi="Arial" w:cs="Arial"/>
          <w:sz w:val="20"/>
          <w:szCs w:val="20"/>
        </w:rPr>
      </w:pPr>
      <w:r w:rsidRPr="00FF6109">
        <w:rPr>
          <w:rFonts w:ascii="Arial" w:hAnsi="Arial" w:cs="Arial"/>
          <w:sz w:val="20"/>
          <w:szCs w:val="20"/>
        </w:rPr>
        <w:t>HAS:</w:t>
      </w:r>
      <w:r>
        <w:rPr>
          <w:rFonts w:ascii="Arial" w:hAnsi="Arial" w:cs="Arial"/>
          <w:sz w:val="20"/>
          <w:szCs w:val="20"/>
        </w:rPr>
        <w:t xml:space="preserve"> Hertfordshire Ageing Study; HCS: Hertfordshire Cohort Study; ELSA: English Longitudinal Study of Ageing; HSE: Health Survey for England; </w:t>
      </w:r>
      <w:proofErr w:type="spellStart"/>
      <w:r>
        <w:rPr>
          <w:rFonts w:ascii="Arial" w:hAnsi="Arial" w:cs="Arial"/>
          <w:sz w:val="20"/>
          <w:szCs w:val="20"/>
        </w:rPr>
        <w:t>InChianti</w:t>
      </w:r>
      <w:proofErr w:type="spellEnd"/>
      <w:r>
        <w:rPr>
          <w:rFonts w:ascii="Arial" w:hAnsi="Arial" w:cs="Arial"/>
          <w:sz w:val="20"/>
          <w:szCs w:val="20"/>
        </w:rPr>
        <w:t xml:space="preserve">: </w:t>
      </w:r>
      <w:proofErr w:type="spellStart"/>
      <w:r w:rsidRPr="003809FB">
        <w:rPr>
          <w:rFonts w:ascii="Arial" w:hAnsi="Arial" w:cs="Arial"/>
          <w:sz w:val="20"/>
          <w:szCs w:val="20"/>
        </w:rPr>
        <w:t>Invecchiare</w:t>
      </w:r>
      <w:proofErr w:type="spellEnd"/>
      <w:r w:rsidRPr="003809FB">
        <w:rPr>
          <w:rFonts w:ascii="Arial" w:hAnsi="Arial" w:cs="Arial"/>
          <w:sz w:val="20"/>
          <w:szCs w:val="20"/>
        </w:rPr>
        <w:t xml:space="preserve"> in Chianti</w:t>
      </w:r>
      <w:r>
        <w:rPr>
          <w:rFonts w:ascii="Arial" w:hAnsi="Arial" w:cs="Arial"/>
          <w:sz w:val="20"/>
          <w:szCs w:val="20"/>
        </w:rPr>
        <w:t xml:space="preserve">; N: number, m: metre; </w:t>
      </w:r>
      <w:proofErr w:type="spellStart"/>
      <w:proofErr w:type="gramStart"/>
      <w:r>
        <w:rPr>
          <w:rFonts w:ascii="Arial" w:hAnsi="Arial" w:cs="Arial"/>
          <w:sz w:val="20"/>
          <w:szCs w:val="20"/>
        </w:rPr>
        <w:t>sd</w:t>
      </w:r>
      <w:proofErr w:type="spellEnd"/>
      <w:proofErr w:type="gramEnd"/>
      <w:r>
        <w:rPr>
          <w:rFonts w:ascii="Arial" w:hAnsi="Arial" w:cs="Arial"/>
          <w:sz w:val="20"/>
          <w:szCs w:val="20"/>
        </w:rPr>
        <w:t xml:space="preserve">: standard deviation; m/s: metres per second </w:t>
      </w:r>
    </w:p>
    <w:p w:rsidR="00774F5C" w:rsidRDefault="00774F5C" w:rsidP="00774F5C">
      <w:pPr>
        <w:rPr>
          <w:rFonts w:ascii="Arial" w:hAnsi="Arial" w:cs="Arial"/>
          <w:b/>
          <w:sz w:val="20"/>
          <w:szCs w:val="20"/>
        </w:rPr>
      </w:pPr>
    </w:p>
    <w:p w:rsidR="00774F5C" w:rsidRDefault="00774F5C" w:rsidP="00774F5C">
      <w:pPr>
        <w:rPr>
          <w:rFonts w:ascii="Arial" w:hAnsi="Arial" w:cs="Arial"/>
          <w:sz w:val="20"/>
          <w:szCs w:val="20"/>
        </w:rPr>
      </w:pPr>
    </w:p>
    <w:p w:rsidR="00774F5C" w:rsidRDefault="00774F5C" w:rsidP="00774F5C">
      <w:pPr>
        <w:rPr>
          <w:rFonts w:ascii="Arial" w:hAnsi="Arial" w:cs="Arial"/>
          <w:sz w:val="20"/>
          <w:szCs w:val="20"/>
        </w:rPr>
      </w:pPr>
    </w:p>
    <w:p w:rsidR="00774F5C" w:rsidRDefault="00774F5C" w:rsidP="00774F5C">
      <w:pPr>
        <w:rPr>
          <w:rFonts w:ascii="Arial" w:hAnsi="Arial" w:cs="Arial"/>
          <w:sz w:val="20"/>
          <w:szCs w:val="20"/>
        </w:rPr>
      </w:pPr>
    </w:p>
    <w:p w:rsidR="00774F5C" w:rsidRDefault="00774F5C" w:rsidP="00774F5C">
      <w:pPr>
        <w:rPr>
          <w:rFonts w:ascii="Arial" w:hAnsi="Arial" w:cs="Arial"/>
          <w:sz w:val="20"/>
          <w:szCs w:val="20"/>
        </w:rPr>
      </w:pPr>
    </w:p>
    <w:p w:rsidR="00774F5C" w:rsidRDefault="00774F5C" w:rsidP="00774F5C">
      <w:pPr>
        <w:rPr>
          <w:rFonts w:ascii="Arial" w:hAnsi="Arial" w:cs="Arial"/>
          <w:sz w:val="20"/>
          <w:szCs w:val="20"/>
        </w:rPr>
      </w:pPr>
    </w:p>
    <w:p w:rsidR="00774F5C" w:rsidRDefault="00774F5C" w:rsidP="00774F5C">
      <w:pPr>
        <w:rPr>
          <w:rFonts w:ascii="Arial" w:hAnsi="Arial" w:cs="Arial"/>
          <w:sz w:val="20"/>
          <w:szCs w:val="20"/>
        </w:rPr>
      </w:pPr>
    </w:p>
    <w:p w:rsidR="00774F5C" w:rsidRDefault="00774F5C" w:rsidP="00774F5C">
      <w:pPr>
        <w:rPr>
          <w:rFonts w:ascii="Arial" w:hAnsi="Arial" w:cs="Arial"/>
          <w:sz w:val="20"/>
          <w:szCs w:val="20"/>
        </w:rPr>
      </w:pPr>
      <w:r>
        <w:rPr>
          <w:rFonts w:ascii="Arial" w:hAnsi="Arial" w:cs="Arial"/>
          <w:b/>
          <w:sz w:val="20"/>
          <w:szCs w:val="20"/>
        </w:rPr>
        <w:lastRenderedPageBreak/>
        <w:t xml:space="preserve">Table </w:t>
      </w:r>
      <w:r w:rsidR="009F2581">
        <w:rPr>
          <w:rFonts w:ascii="Arial" w:hAnsi="Arial" w:cs="Arial"/>
          <w:b/>
          <w:sz w:val="20"/>
          <w:szCs w:val="20"/>
        </w:rPr>
        <w:t>S</w:t>
      </w:r>
      <w:r>
        <w:rPr>
          <w:rFonts w:ascii="Arial" w:hAnsi="Arial" w:cs="Arial"/>
          <w:b/>
          <w:sz w:val="20"/>
          <w:szCs w:val="20"/>
        </w:rPr>
        <w:t xml:space="preserve">2 </w:t>
      </w:r>
      <w:r w:rsidRPr="009605EC">
        <w:rPr>
          <w:rFonts w:ascii="Arial" w:hAnsi="Arial" w:cs="Arial"/>
          <w:sz w:val="20"/>
          <w:szCs w:val="20"/>
        </w:rPr>
        <w:t xml:space="preserve"> European population-based studies reporting grip strength by age group and </w:t>
      </w:r>
      <w:r>
        <w:rPr>
          <w:rFonts w:ascii="Arial" w:hAnsi="Arial" w:cs="Arial"/>
          <w:sz w:val="20"/>
          <w:szCs w:val="20"/>
        </w:rPr>
        <w:t xml:space="preserve">sex </w:t>
      </w:r>
    </w:p>
    <w:tbl>
      <w:tblPr>
        <w:tblStyle w:val="TableGrid"/>
        <w:tblW w:w="0" w:type="auto"/>
        <w:shd w:val="clear" w:color="auto" w:fill="FFFFFF" w:themeFill="background1"/>
        <w:tblLook w:val="04A0"/>
      </w:tblPr>
      <w:tblGrid>
        <w:gridCol w:w="1138"/>
        <w:gridCol w:w="991"/>
        <w:gridCol w:w="708"/>
        <w:gridCol w:w="1417"/>
        <w:gridCol w:w="1131"/>
        <w:gridCol w:w="1267"/>
        <w:gridCol w:w="1292"/>
        <w:gridCol w:w="1298"/>
      </w:tblGrid>
      <w:tr w:rsidR="00774F5C" w:rsidTr="006118A1">
        <w:tc>
          <w:tcPr>
            <w:tcW w:w="1138" w:type="dxa"/>
            <w:tcBorders>
              <w:left w:val="nil"/>
              <w:bottom w:val="nil"/>
              <w:right w:val="nil"/>
            </w:tcBorders>
            <w:shd w:val="clear" w:color="auto" w:fill="FFFFFF" w:themeFill="background1"/>
          </w:tcPr>
          <w:p w:rsidR="00774F5C" w:rsidRDefault="00774F5C" w:rsidP="006118A1">
            <w:pPr>
              <w:jc w:val="center"/>
              <w:rPr>
                <w:rFonts w:ascii="Arial" w:hAnsi="Arial" w:cs="Arial"/>
                <w:b/>
                <w:sz w:val="18"/>
                <w:szCs w:val="18"/>
              </w:rPr>
            </w:pPr>
            <w:r w:rsidRPr="00B04D62">
              <w:rPr>
                <w:rFonts w:ascii="Arial" w:hAnsi="Arial" w:cs="Arial"/>
                <w:b/>
                <w:sz w:val="18"/>
                <w:szCs w:val="18"/>
              </w:rPr>
              <w:t>Study</w:t>
            </w:r>
          </w:p>
          <w:p w:rsidR="00774F5C" w:rsidRPr="00B04D62" w:rsidRDefault="00774F5C" w:rsidP="006118A1">
            <w:pPr>
              <w:jc w:val="center"/>
              <w:rPr>
                <w:rFonts w:ascii="Arial" w:hAnsi="Arial" w:cs="Arial"/>
                <w:b/>
                <w:sz w:val="18"/>
                <w:szCs w:val="18"/>
              </w:rPr>
            </w:pPr>
            <w:r>
              <w:rPr>
                <w:rFonts w:ascii="Arial" w:hAnsi="Arial" w:cs="Arial"/>
                <w:b/>
                <w:sz w:val="18"/>
                <w:szCs w:val="18"/>
              </w:rPr>
              <w:t>(Ref)</w:t>
            </w:r>
          </w:p>
        </w:tc>
        <w:tc>
          <w:tcPr>
            <w:tcW w:w="991" w:type="dxa"/>
            <w:tcBorders>
              <w:left w:val="nil"/>
              <w:bottom w:val="nil"/>
              <w:right w:val="nil"/>
            </w:tcBorders>
            <w:shd w:val="clear" w:color="auto" w:fill="FFFFFF" w:themeFill="background1"/>
          </w:tcPr>
          <w:p w:rsidR="00774F5C" w:rsidRPr="00B04D62" w:rsidRDefault="00774F5C" w:rsidP="006118A1">
            <w:pPr>
              <w:jc w:val="center"/>
              <w:rPr>
                <w:rFonts w:ascii="Arial" w:hAnsi="Arial" w:cs="Arial"/>
                <w:b/>
                <w:sz w:val="18"/>
                <w:szCs w:val="18"/>
              </w:rPr>
            </w:pPr>
            <w:r w:rsidRPr="00B04D62">
              <w:rPr>
                <w:rFonts w:ascii="Arial" w:hAnsi="Arial" w:cs="Arial"/>
                <w:b/>
                <w:sz w:val="18"/>
                <w:szCs w:val="18"/>
              </w:rPr>
              <w:t>Location</w:t>
            </w:r>
          </w:p>
        </w:tc>
        <w:tc>
          <w:tcPr>
            <w:tcW w:w="708" w:type="dxa"/>
            <w:tcBorders>
              <w:left w:val="nil"/>
              <w:bottom w:val="nil"/>
              <w:right w:val="nil"/>
            </w:tcBorders>
            <w:shd w:val="clear" w:color="auto" w:fill="FFFFFF" w:themeFill="background1"/>
          </w:tcPr>
          <w:p w:rsidR="00774F5C" w:rsidRPr="00B04D62" w:rsidRDefault="00774F5C" w:rsidP="006118A1">
            <w:pPr>
              <w:jc w:val="center"/>
              <w:rPr>
                <w:rFonts w:ascii="Arial" w:hAnsi="Arial" w:cs="Arial"/>
                <w:b/>
                <w:sz w:val="18"/>
                <w:szCs w:val="18"/>
              </w:rPr>
            </w:pPr>
            <w:r>
              <w:rPr>
                <w:rFonts w:ascii="Arial" w:hAnsi="Arial" w:cs="Arial"/>
                <w:b/>
                <w:sz w:val="18"/>
                <w:szCs w:val="18"/>
              </w:rPr>
              <w:t>N</w:t>
            </w:r>
          </w:p>
        </w:tc>
        <w:tc>
          <w:tcPr>
            <w:tcW w:w="1417" w:type="dxa"/>
            <w:tcBorders>
              <w:left w:val="nil"/>
              <w:bottom w:val="nil"/>
              <w:right w:val="nil"/>
            </w:tcBorders>
            <w:shd w:val="clear" w:color="auto" w:fill="FFFFFF" w:themeFill="background1"/>
          </w:tcPr>
          <w:p w:rsidR="00774F5C" w:rsidRDefault="00774F5C" w:rsidP="006118A1">
            <w:pPr>
              <w:jc w:val="center"/>
              <w:rPr>
                <w:rFonts w:ascii="Arial" w:hAnsi="Arial" w:cs="Arial"/>
                <w:b/>
                <w:sz w:val="18"/>
                <w:szCs w:val="18"/>
              </w:rPr>
            </w:pPr>
            <w:r>
              <w:rPr>
                <w:rFonts w:ascii="Arial" w:hAnsi="Arial" w:cs="Arial"/>
                <w:b/>
                <w:sz w:val="18"/>
                <w:szCs w:val="18"/>
              </w:rPr>
              <w:t>Dynamometer</w:t>
            </w:r>
          </w:p>
          <w:p w:rsidR="00774F5C" w:rsidRPr="00B04D62" w:rsidRDefault="00774F5C" w:rsidP="006118A1">
            <w:pPr>
              <w:jc w:val="center"/>
              <w:rPr>
                <w:rFonts w:ascii="Arial" w:hAnsi="Arial" w:cs="Arial"/>
                <w:b/>
                <w:sz w:val="18"/>
                <w:szCs w:val="18"/>
              </w:rPr>
            </w:pPr>
          </w:p>
        </w:tc>
        <w:tc>
          <w:tcPr>
            <w:tcW w:w="1131" w:type="dxa"/>
            <w:tcBorders>
              <w:left w:val="nil"/>
              <w:bottom w:val="nil"/>
              <w:right w:val="nil"/>
            </w:tcBorders>
            <w:shd w:val="clear" w:color="auto" w:fill="FFFFFF" w:themeFill="background1"/>
          </w:tcPr>
          <w:p w:rsidR="00774F5C" w:rsidRPr="00B04D62" w:rsidRDefault="00774F5C" w:rsidP="006118A1">
            <w:pPr>
              <w:jc w:val="center"/>
              <w:rPr>
                <w:rFonts w:ascii="Arial" w:hAnsi="Arial" w:cs="Arial"/>
                <w:b/>
                <w:sz w:val="18"/>
                <w:szCs w:val="18"/>
              </w:rPr>
            </w:pPr>
            <w:r>
              <w:rPr>
                <w:rFonts w:ascii="Arial" w:hAnsi="Arial" w:cs="Arial"/>
                <w:b/>
                <w:sz w:val="18"/>
                <w:szCs w:val="18"/>
              </w:rPr>
              <w:t>Protocol</w:t>
            </w:r>
          </w:p>
        </w:tc>
        <w:tc>
          <w:tcPr>
            <w:tcW w:w="1267" w:type="dxa"/>
            <w:tcBorders>
              <w:left w:val="nil"/>
              <w:bottom w:val="nil"/>
              <w:right w:val="nil"/>
            </w:tcBorders>
            <w:shd w:val="clear" w:color="auto" w:fill="FFFFFF" w:themeFill="background1"/>
          </w:tcPr>
          <w:p w:rsidR="00774F5C" w:rsidRPr="00B04D62" w:rsidRDefault="00774F5C" w:rsidP="006118A1">
            <w:pPr>
              <w:jc w:val="center"/>
              <w:rPr>
                <w:rFonts w:ascii="Arial" w:hAnsi="Arial" w:cs="Arial"/>
                <w:b/>
                <w:sz w:val="18"/>
                <w:szCs w:val="18"/>
              </w:rPr>
            </w:pPr>
            <w:r>
              <w:rPr>
                <w:rFonts w:ascii="Arial" w:hAnsi="Arial" w:cs="Arial"/>
                <w:b/>
                <w:sz w:val="18"/>
                <w:szCs w:val="18"/>
              </w:rPr>
              <w:t>Age Group</w:t>
            </w:r>
          </w:p>
          <w:p w:rsidR="00774F5C" w:rsidRPr="00B04D62" w:rsidRDefault="00774F5C" w:rsidP="006118A1">
            <w:pPr>
              <w:jc w:val="center"/>
              <w:rPr>
                <w:rFonts w:ascii="Arial" w:hAnsi="Arial" w:cs="Arial"/>
                <w:b/>
                <w:sz w:val="18"/>
                <w:szCs w:val="18"/>
              </w:rPr>
            </w:pPr>
            <w:r w:rsidRPr="00B04D62">
              <w:rPr>
                <w:rFonts w:ascii="Arial" w:hAnsi="Arial" w:cs="Arial"/>
                <w:b/>
                <w:sz w:val="18"/>
                <w:szCs w:val="18"/>
              </w:rPr>
              <w:t>(Years)</w:t>
            </w:r>
          </w:p>
        </w:tc>
        <w:tc>
          <w:tcPr>
            <w:tcW w:w="2590" w:type="dxa"/>
            <w:gridSpan w:val="2"/>
            <w:tcBorders>
              <w:left w:val="nil"/>
              <w:bottom w:val="single" w:sz="4" w:space="0" w:color="auto"/>
              <w:right w:val="nil"/>
            </w:tcBorders>
            <w:shd w:val="clear" w:color="auto" w:fill="FFFFFF" w:themeFill="background1"/>
          </w:tcPr>
          <w:p w:rsidR="00774F5C" w:rsidRPr="00B04D62" w:rsidRDefault="00774F5C" w:rsidP="006118A1">
            <w:pPr>
              <w:spacing w:after="100"/>
              <w:jc w:val="center"/>
              <w:rPr>
                <w:rFonts w:ascii="Arial" w:hAnsi="Arial" w:cs="Arial"/>
                <w:b/>
                <w:sz w:val="18"/>
                <w:szCs w:val="18"/>
              </w:rPr>
            </w:pPr>
            <w:r w:rsidRPr="00B04D62">
              <w:rPr>
                <w:rFonts w:ascii="Arial" w:hAnsi="Arial" w:cs="Arial"/>
                <w:b/>
                <w:sz w:val="18"/>
                <w:szCs w:val="18"/>
              </w:rPr>
              <w:t>Mean (</w:t>
            </w:r>
            <w:proofErr w:type="spellStart"/>
            <w:r w:rsidRPr="00B04D62">
              <w:rPr>
                <w:rFonts w:ascii="Arial" w:hAnsi="Arial" w:cs="Arial"/>
                <w:b/>
                <w:sz w:val="18"/>
                <w:szCs w:val="18"/>
              </w:rPr>
              <w:t>sd</w:t>
            </w:r>
            <w:proofErr w:type="spellEnd"/>
            <w:r w:rsidRPr="00B04D62">
              <w:rPr>
                <w:rFonts w:ascii="Arial" w:hAnsi="Arial" w:cs="Arial"/>
                <w:b/>
                <w:sz w:val="18"/>
                <w:szCs w:val="18"/>
              </w:rPr>
              <w:t xml:space="preserve">) </w:t>
            </w:r>
            <w:r>
              <w:rPr>
                <w:rFonts w:ascii="Arial" w:hAnsi="Arial" w:cs="Arial"/>
                <w:b/>
                <w:sz w:val="18"/>
                <w:szCs w:val="18"/>
              </w:rPr>
              <w:t>Grip Strength</w:t>
            </w:r>
            <w:r w:rsidRPr="00B04D62">
              <w:rPr>
                <w:rFonts w:ascii="Arial" w:hAnsi="Arial" w:cs="Arial"/>
                <w:b/>
                <w:sz w:val="18"/>
                <w:szCs w:val="18"/>
              </w:rPr>
              <w:t xml:space="preserve"> (</w:t>
            </w:r>
            <w:r>
              <w:rPr>
                <w:rFonts w:ascii="Arial" w:hAnsi="Arial" w:cs="Arial"/>
                <w:b/>
                <w:sz w:val="18"/>
                <w:szCs w:val="18"/>
              </w:rPr>
              <w:t>kg</w:t>
            </w:r>
            <w:r w:rsidRPr="00B04D62">
              <w:rPr>
                <w:rFonts w:ascii="Arial" w:hAnsi="Arial" w:cs="Arial"/>
                <w:b/>
                <w:sz w:val="18"/>
                <w:szCs w:val="18"/>
              </w:rPr>
              <w:t>)</w:t>
            </w:r>
          </w:p>
        </w:tc>
      </w:tr>
      <w:tr w:rsidR="00774F5C" w:rsidTr="006118A1">
        <w:tc>
          <w:tcPr>
            <w:tcW w:w="1138" w:type="dxa"/>
            <w:tcBorders>
              <w:top w:val="nil"/>
              <w:left w:val="nil"/>
              <w:bottom w:val="single" w:sz="4" w:space="0" w:color="auto"/>
              <w:right w:val="nil"/>
            </w:tcBorders>
            <w:shd w:val="clear" w:color="auto" w:fill="FFFFFF" w:themeFill="background1"/>
          </w:tcPr>
          <w:p w:rsidR="00774F5C" w:rsidRPr="00B04D62" w:rsidRDefault="00774F5C" w:rsidP="006118A1">
            <w:pPr>
              <w:rPr>
                <w:rFonts w:ascii="Arial" w:hAnsi="Arial" w:cs="Arial"/>
                <w:b/>
                <w:sz w:val="18"/>
                <w:szCs w:val="18"/>
              </w:rPr>
            </w:pPr>
          </w:p>
        </w:tc>
        <w:tc>
          <w:tcPr>
            <w:tcW w:w="991" w:type="dxa"/>
            <w:tcBorders>
              <w:top w:val="nil"/>
              <w:left w:val="nil"/>
              <w:bottom w:val="single" w:sz="4" w:space="0" w:color="auto"/>
              <w:right w:val="nil"/>
            </w:tcBorders>
            <w:shd w:val="clear" w:color="auto" w:fill="FFFFFF" w:themeFill="background1"/>
          </w:tcPr>
          <w:p w:rsidR="00774F5C" w:rsidRPr="00B04D62" w:rsidRDefault="00774F5C" w:rsidP="006118A1">
            <w:pPr>
              <w:rPr>
                <w:rFonts w:ascii="Arial" w:hAnsi="Arial" w:cs="Arial"/>
                <w:b/>
                <w:sz w:val="18"/>
                <w:szCs w:val="18"/>
              </w:rPr>
            </w:pPr>
          </w:p>
        </w:tc>
        <w:tc>
          <w:tcPr>
            <w:tcW w:w="708" w:type="dxa"/>
            <w:tcBorders>
              <w:top w:val="nil"/>
              <w:left w:val="nil"/>
              <w:bottom w:val="single" w:sz="4" w:space="0" w:color="auto"/>
              <w:right w:val="nil"/>
            </w:tcBorders>
            <w:shd w:val="clear" w:color="auto" w:fill="FFFFFF" w:themeFill="background1"/>
          </w:tcPr>
          <w:p w:rsidR="00774F5C" w:rsidRPr="00B04D62" w:rsidRDefault="00774F5C" w:rsidP="006118A1">
            <w:pPr>
              <w:rPr>
                <w:rFonts w:ascii="Arial" w:hAnsi="Arial" w:cs="Arial"/>
                <w:b/>
                <w:sz w:val="18"/>
                <w:szCs w:val="18"/>
              </w:rPr>
            </w:pPr>
          </w:p>
        </w:tc>
        <w:tc>
          <w:tcPr>
            <w:tcW w:w="1417" w:type="dxa"/>
            <w:tcBorders>
              <w:top w:val="nil"/>
              <w:left w:val="nil"/>
              <w:bottom w:val="single" w:sz="4" w:space="0" w:color="auto"/>
              <w:right w:val="nil"/>
            </w:tcBorders>
            <w:shd w:val="clear" w:color="auto" w:fill="FFFFFF" w:themeFill="background1"/>
          </w:tcPr>
          <w:p w:rsidR="00774F5C" w:rsidRPr="00B04D62" w:rsidRDefault="00774F5C" w:rsidP="006118A1">
            <w:pPr>
              <w:rPr>
                <w:rFonts w:ascii="Arial" w:hAnsi="Arial" w:cs="Arial"/>
                <w:b/>
                <w:sz w:val="18"/>
                <w:szCs w:val="18"/>
              </w:rPr>
            </w:pPr>
          </w:p>
        </w:tc>
        <w:tc>
          <w:tcPr>
            <w:tcW w:w="1131" w:type="dxa"/>
            <w:tcBorders>
              <w:top w:val="nil"/>
              <w:left w:val="nil"/>
              <w:bottom w:val="single" w:sz="4" w:space="0" w:color="auto"/>
              <w:right w:val="nil"/>
            </w:tcBorders>
            <w:shd w:val="clear" w:color="auto" w:fill="FFFFFF" w:themeFill="background1"/>
          </w:tcPr>
          <w:p w:rsidR="00774F5C" w:rsidRPr="00B04D62" w:rsidRDefault="00774F5C" w:rsidP="006118A1">
            <w:pPr>
              <w:rPr>
                <w:rFonts w:ascii="Arial" w:hAnsi="Arial" w:cs="Arial"/>
                <w:b/>
                <w:sz w:val="18"/>
                <w:szCs w:val="18"/>
              </w:rPr>
            </w:pPr>
          </w:p>
        </w:tc>
        <w:tc>
          <w:tcPr>
            <w:tcW w:w="1267" w:type="dxa"/>
            <w:tcBorders>
              <w:top w:val="nil"/>
              <w:left w:val="nil"/>
              <w:bottom w:val="single" w:sz="4" w:space="0" w:color="auto"/>
              <w:right w:val="nil"/>
            </w:tcBorders>
            <w:shd w:val="clear" w:color="auto" w:fill="FFFFFF" w:themeFill="background1"/>
          </w:tcPr>
          <w:p w:rsidR="00774F5C" w:rsidRPr="00B04D62" w:rsidRDefault="00774F5C" w:rsidP="006118A1">
            <w:pPr>
              <w:rPr>
                <w:rFonts w:ascii="Arial" w:hAnsi="Arial" w:cs="Arial"/>
                <w:b/>
                <w:sz w:val="18"/>
                <w:szCs w:val="18"/>
              </w:rPr>
            </w:pPr>
          </w:p>
        </w:tc>
        <w:tc>
          <w:tcPr>
            <w:tcW w:w="1292" w:type="dxa"/>
            <w:tcBorders>
              <w:top w:val="single" w:sz="4" w:space="0" w:color="auto"/>
              <w:left w:val="nil"/>
              <w:bottom w:val="single" w:sz="4" w:space="0" w:color="auto"/>
              <w:right w:val="nil"/>
            </w:tcBorders>
            <w:shd w:val="clear" w:color="auto" w:fill="FFFFFF" w:themeFill="background1"/>
          </w:tcPr>
          <w:p w:rsidR="00774F5C" w:rsidRPr="00B04D62" w:rsidRDefault="00774F5C" w:rsidP="006118A1">
            <w:pPr>
              <w:jc w:val="center"/>
              <w:rPr>
                <w:rFonts w:ascii="Arial" w:hAnsi="Arial" w:cs="Arial"/>
                <w:b/>
                <w:sz w:val="18"/>
                <w:szCs w:val="18"/>
              </w:rPr>
            </w:pPr>
            <w:r w:rsidRPr="00B04D62">
              <w:rPr>
                <w:rFonts w:ascii="Arial" w:hAnsi="Arial" w:cs="Arial"/>
                <w:b/>
                <w:sz w:val="18"/>
                <w:szCs w:val="18"/>
              </w:rPr>
              <w:t>Men</w:t>
            </w:r>
          </w:p>
        </w:tc>
        <w:tc>
          <w:tcPr>
            <w:tcW w:w="1298" w:type="dxa"/>
            <w:tcBorders>
              <w:top w:val="single" w:sz="4" w:space="0" w:color="auto"/>
              <w:left w:val="nil"/>
              <w:bottom w:val="single" w:sz="4" w:space="0" w:color="auto"/>
              <w:right w:val="nil"/>
            </w:tcBorders>
            <w:shd w:val="clear" w:color="auto" w:fill="FFFFFF" w:themeFill="background1"/>
          </w:tcPr>
          <w:p w:rsidR="00774F5C" w:rsidRPr="00B04D62" w:rsidRDefault="00774F5C" w:rsidP="006118A1">
            <w:pPr>
              <w:spacing w:after="100"/>
              <w:jc w:val="center"/>
              <w:rPr>
                <w:rFonts w:ascii="Arial" w:hAnsi="Arial" w:cs="Arial"/>
                <w:b/>
                <w:sz w:val="18"/>
                <w:szCs w:val="18"/>
              </w:rPr>
            </w:pPr>
            <w:r w:rsidRPr="00B04D62">
              <w:rPr>
                <w:rFonts w:ascii="Arial" w:hAnsi="Arial" w:cs="Arial"/>
                <w:b/>
                <w:sz w:val="18"/>
                <w:szCs w:val="18"/>
              </w:rPr>
              <w:t>Women</w:t>
            </w:r>
          </w:p>
        </w:tc>
      </w:tr>
      <w:tr w:rsidR="00774F5C" w:rsidTr="006118A1">
        <w:tc>
          <w:tcPr>
            <w:tcW w:w="1138" w:type="dxa"/>
            <w:tcBorders>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sidRPr="00B04D62">
              <w:rPr>
                <w:rFonts w:ascii="Arial" w:hAnsi="Arial" w:cs="Arial"/>
                <w:sz w:val="18"/>
                <w:szCs w:val="18"/>
              </w:rPr>
              <w:t>HAS</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"10.1371/journal.pone.0027899", "abstract" : "Using data from eight UK cohorts participating in the Healthy Ageing across the Life Course (HALCyon) research programme, with ages at physical capability assessment ranging from 50 to 90+ years, we harmonised data on objective measures of physical capability (i.e. grip strength, chair rising ability, walking speed, timed get up and go, and standing balance performance) and investigated the cross-sectional age and gender differences in these measures. Levels of physical capability were generally lower in study participants of older ages, and men performed better than women (for example, results from meta-analyses (N = 14,213 (5 studies)), found that men had 12.62 kg (11.34, 13.90) higher grip strength than women after adjustment for age and body size), although for walking speed, this gender difference was attenuated after adjustment for body size. There was also evidence that the gender difference in grip strength diminished with increasing age, whereas the gender difference in walking speed widened (p&lt;0.01 for interactions between age and gender in both cases). This study highlights not only the presence of age and gender differences in objective measures of physical capability but provides a demonstration that harmonisation of data from several large cohort studies is possible. These harmonised data are now being used within HALCyon to understand the lifetime social and biological determinants of physical capability and its changes with age.", "author" : [ { "dropping-particle" : "", "family" : "Cooper", "given" : "Rachel", "non-dropping-particle" : "", "parse-names" : false, "suffix" : "" }, { "dropping-particle" : "", "family" : "Hardy", "given" : "Rebecca", "non-dropping-particle" : "", "parse-names" : false, "suffix" : "" }, { "dropping-particle" : "", "family" : "Aihie Sayer", "given" : "Avan", "non-dropping-particle" : "", "parse-names" : false, "suffix" : "" }, { "dropping-particle" : "", "family" : "Ben-Shlomo", "given" : "Yoav", "non-dropping-particle" : "", "parse-names" : false, "suffix" : "" }, { "dropping-particle" : "", "family" : "Birnie", "given" : "Kate", "non-dropping-particle" : "", "parse-names" : false, "suffix" : "" }, { "dropping-particle" : "", "family" : "Cooper", "given" : "Cyrus", "non-dropping-particle" : "", "parse-names" : false, "suffix" : "" }, { "dropping-particle" : "", "family" : "Craig", "given" : "Leone", "non-dropping-particle" : "", "parse-names" : false, "suffix" : "" }, { "dropping-particle" : "", "family" : "Deary", "given" : "Ian J", "non-dropping-particle" : "", "parse-names" : false, "suffix" : "" }, { "dropping-particle" : "", "family" : "Demakakos", "given" : "Panayotes", "non-dropping-particle" : "", "parse-names" : false, "suffix" : "" }, { "dropping-particle" : "", "family" : "Gallacher", "given" : "John", "non-dropping-particle" : "", "parse-names" : false, "suffix" : "" }, { "dropping-particle" : "", "family" : "McNeill", "given" : "Geraldine", "non-dropping-particle" : "", "parse-names" : false, "suffix" : "" }, { "dropping-particle" : "", "family" : "Martin", "given" : "Richard M", "non-dropping-particle" : "", "parse-names" : false, "suffix" : "" }, { "dropping-particle" : "", "family" : "Starr", "given" : "John M", "non-dropping-particle" : "", "parse-names" : false, "suffix" : "" }, { "dropping-particle" : "", "family" : "Steptoe", "given" : "Andrew", "non-dropping-particle" : "", "parse-names" : false, "suffix" : "" }, { "dropping-particle" : "", "family" : "Kuh", "given" : "Diana", "non-dropping-particle" : "", "parse-names" : false, "suffix" : "" } ], "container-title" : "PloS one", "id" : "ITEM-1", "issue" : "11", "issued" : { "date-parts" : [ [ "2011", "1" ] ] }, "page" : "e27899", "title" : "Age and gender differences in physical capability levels from mid-life onwards: the harmonisation and meta-analysis of data from eight UK cohort studies.", "type" : "article-journal", "volume" : "6" }, "uris" : [ "http://www.mendeley.com/documents/?uuid=059355a1-63ed-4f14-9fa1-7b32f2006848" ] } ], "mendeley" : { "previouslyFormattedCitation" : "[1]"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[1]</w:t>
            </w:r>
            <w:r>
              <w:rPr>
                <w:rFonts w:ascii="Arial" w:hAnsi="Arial" w:cs="Arial"/>
                <w:sz w:val="18"/>
                <w:szCs w:val="18"/>
              </w:rPr>
              <w:fldChar w:fldCharType="end"/>
            </w:r>
          </w:p>
        </w:tc>
        <w:tc>
          <w:tcPr>
            <w:tcW w:w="991" w:type="dxa"/>
            <w:tcBorders>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UK</w:t>
            </w:r>
          </w:p>
        </w:tc>
        <w:tc>
          <w:tcPr>
            <w:tcW w:w="708" w:type="dxa"/>
            <w:tcBorders>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716</w:t>
            </w:r>
          </w:p>
        </w:tc>
        <w:tc>
          <w:tcPr>
            <w:tcW w:w="1417" w:type="dxa"/>
            <w:tcBorders>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proofErr w:type="spellStart"/>
            <w:r>
              <w:rPr>
                <w:rFonts w:ascii="Arial" w:hAnsi="Arial" w:cs="Arial"/>
                <w:sz w:val="18"/>
                <w:szCs w:val="18"/>
              </w:rPr>
              <w:t>Jamar</w:t>
            </w:r>
            <w:proofErr w:type="spellEnd"/>
          </w:p>
        </w:tc>
        <w:tc>
          <w:tcPr>
            <w:tcW w:w="1131" w:type="dxa"/>
            <w:tcBorders>
              <w:left w:val="nil"/>
              <w:bottom w:val="nil"/>
              <w:right w:val="nil"/>
            </w:tcBorders>
            <w:shd w:val="clear" w:color="auto" w:fill="FFFFFF" w:themeFill="background1"/>
          </w:tcPr>
          <w:p w:rsidR="00774F5C" w:rsidRPr="00B04D62" w:rsidRDefault="00774F5C" w:rsidP="006118A1">
            <w:pPr>
              <w:spacing w:after="100"/>
              <w:jc w:val="center"/>
              <w:rPr>
                <w:rFonts w:ascii="Arial" w:hAnsi="Arial" w:cs="Arial"/>
                <w:sz w:val="18"/>
                <w:szCs w:val="18"/>
              </w:rPr>
            </w:pPr>
            <w:r>
              <w:rPr>
                <w:rFonts w:ascii="Arial" w:hAnsi="Arial" w:cs="Arial"/>
                <w:sz w:val="18"/>
                <w:szCs w:val="18"/>
              </w:rPr>
              <w:t>Max grip strength after 3 attempts in each hand</w:t>
            </w:r>
          </w:p>
        </w:tc>
        <w:tc>
          <w:tcPr>
            <w:tcW w:w="1267" w:type="dxa"/>
            <w:tcBorders>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60-64</w:t>
            </w:r>
          </w:p>
          <w:p w:rsidR="00774F5C" w:rsidRPr="00B04D62" w:rsidRDefault="00774F5C" w:rsidP="006118A1">
            <w:pPr>
              <w:jc w:val="center"/>
              <w:rPr>
                <w:rFonts w:ascii="Arial" w:hAnsi="Arial" w:cs="Arial"/>
                <w:sz w:val="18"/>
                <w:szCs w:val="18"/>
              </w:rPr>
            </w:pPr>
            <w:r>
              <w:rPr>
                <w:rFonts w:ascii="Arial" w:hAnsi="Arial" w:cs="Arial"/>
                <w:sz w:val="18"/>
                <w:szCs w:val="18"/>
              </w:rPr>
              <w:t>65-69</w:t>
            </w:r>
          </w:p>
          <w:p w:rsidR="00774F5C" w:rsidRPr="00B04D62" w:rsidRDefault="00774F5C" w:rsidP="006118A1">
            <w:pPr>
              <w:jc w:val="center"/>
              <w:rPr>
                <w:rFonts w:ascii="Arial" w:hAnsi="Arial" w:cs="Arial"/>
                <w:sz w:val="18"/>
                <w:szCs w:val="18"/>
              </w:rPr>
            </w:pPr>
            <w:r>
              <w:rPr>
                <w:rFonts w:ascii="Arial" w:hAnsi="Arial" w:cs="Arial"/>
                <w:sz w:val="18"/>
                <w:szCs w:val="18"/>
              </w:rPr>
              <w:t>70-74</w:t>
            </w:r>
          </w:p>
        </w:tc>
        <w:tc>
          <w:tcPr>
            <w:tcW w:w="1292" w:type="dxa"/>
            <w:tcBorders>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40.7 (5.9)</w:t>
            </w:r>
          </w:p>
          <w:p w:rsidR="00774F5C" w:rsidRDefault="00774F5C" w:rsidP="006118A1">
            <w:pPr>
              <w:jc w:val="center"/>
              <w:rPr>
                <w:rFonts w:ascii="Arial" w:hAnsi="Arial" w:cs="Arial"/>
                <w:sz w:val="18"/>
                <w:szCs w:val="18"/>
              </w:rPr>
            </w:pPr>
            <w:r>
              <w:rPr>
                <w:rFonts w:ascii="Arial" w:hAnsi="Arial" w:cs="Arial"/>
                <w:sz w:val="18"/>
                <w:szCs w:val="18"/>
              </w:rPr>
              <w:t>37.8 (7.6)</w:t>
            </w:r>
          </w:p>
          <w:p w:rsidR="00774F5C" w:rsidRPr="00B04D62" w:rsidRDefault="00774F5C" w:rsidP="006118A1">
            <w:pPr>
              <w:jc w:val="center"/>
              <w:rPr>
                <w:rFonts w:ascii="Arial" w:hAnsi="Arial" w:cs="Arial"/>
                <w:sz w:val="18"/>
                <w:szCs w:val="18"/>
              </w:rPr>
            </w:pPr>
            <w:r>
              <w:rPr>
                <w:rFonts w:ascii="Arial" w:hAnsi="Arial" w:cs="Arial"/>
                <w:sz w:val="18"/>
                <w:szCs w:val="18"/>
              </w:rPr>
              <w:t>37.0 (5.8)</w:t>
            </w:r>
          </w:p>
        </w:tc>
        <w:tc>
          <w:tcPr>
            <w:tcW w:w="1298" w:type="dxa"/>
            <w:tcBorders>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24.1 (5.8)</w:t>
            </w:r>
          </w:p>
          <w:p w:rsidR="00774F5C" w:rsidRDefault="00774F5C" w:rsidP="006118A1">
            <w:pPr>
              <w:jc w:val="center"/>
              <w:rPr>
                <w:rFonts w:ascii="Arial" w:hAnsi="Arial" w:cs="Arial"/>
                <w:sz w:val="18"/>
                <w:szCs w:val="18"/>
              </w:rPr>
            </w:pPr>
            <w:r>
              <w:rPr>
                <w:rFonts w:ascii="Arial" w:hAnsi="Arial" w:cs="Arial"/>
                <w:sz w:val="18"/>
                <w:szCs w:val="18"/>
              </w:rPr>
              <w:t>22.7 (5.1)</w:t>
            </w:r>
          </w:p>
          <w:p w:rsidR="00774F5C" w:rsidRPr="00B04D62" w:rsidRDefault="00774F5C" w:rsidP="006118A1">
            <w:pPr>
              <w:jc w:val="center"/>
              <w:rPr>
                <w:rFonts w:ascii="Arial" w:hAnsi="Arial" w:cs="Arial"/>
                <w:sz w:val="18"/>
                <w:szCs w:val="18"/>
              </w:rPr>
            </w:pPr>
            <w:r>
              <w:rPr>
                <w:rFonts w:ascii="Arial" w:hAnsi="Arial" w:cs="Arial"/>
                <w:sz w:val="18"/>
                <w:szCs w:val="18"/>
              </w:rPr>
              <w:t>20.9 (5.5)</w:t>
            </w:r>
          </w:p>
        </w:tc>
      </w:tr>
      <w:tr w:rsidR="00774F5C" w:rsidTr="006118A1">
        <w:tc>
          <w:tcPr>
            <w:tcW w:w="1138"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sidRPr="00B04D62">
              <w:rPr>
                <w:rFonts w:ascii="Arial" w:hAnsi="Arial" w:cs="Arial"/>
                <w:sz w:val="18"/>
                <w:szCs w:val="18"/>
              </w:rPr>
              <w:t>HCS</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"10.1371/journal.pone.0027899", "abstract" : "Using data from eight UK cohorts participating in the Healthy Ageing across the Life Course (HALCyon) research programme, with ages at physical capability assessment ranging from 50 to 90+ years, we harmonised data on objective measures of physical capability (i.e. grip strength, chair rising ability, walking speed, timed get up and go, and standing balance performance) and investigated the cross-sectional age and gender differences in these measures. Levels of physical capability were generally lower in study participants of older ages, and men performed better than women (for example, results from meta-analyses (N = 14,213 (5 studies)), found that men had 12.62 kg (11.34, 13.90) higher grip strength than women after adjustment for age and body size), although for walking speed, this gender difference was attenuated after adjustment for body size. There was also evidence that the gender difference in grip strength diminished with increasing age, whereas the gender difference in walking speed widened (p&lt;0.01 for interactions between age and gender in both cases). This study highlights not only the presence of age and gender differences in objective measures of physical capability but provides a demonstration that harmonisation of data from several large cohort studies is possible. These harmonised data are now being used within HALCyon to understand the lifetime social and biological determinants of physical capability and its changes with age.", "author" : [ { "dropping-particle" : "", "family" : "Cooper", "given" : "Rachel", "non-dropping-particle" : "", "parse-names" : false, "suffix" : "" }, { "dropping-particle" : "", "family" : "Hardy", "given" : "Rebecca", "non-dropping-particle" : "", "parse-names" : false, "suffix" : "" }, { "dropping-particle" : "", "family" : "Aihie Sayer", "given" : "Avan", "non-dropping-particle" : "", "parse-names" : false, "suffix" : "" }, { "dropping-particle" : "", "family" : "Ben-Shlomo", "given" : "Yoav", "non-dropping-particle" : "", "parse-names" : false, "suffix" : "" }, { "dropping-particle" : "", "family" : "Birnie", "given" : "Kate", "non-dropping-particle" : "", "parse-names" : false, "suffix" : "" }, { "dropping-particle" : "", "family" : "Cooper", "given" : "Cyrus", "non-dropping-particle" : "", "parse-names" : false, "suffix" : "" }, { "dropping-particle" : "", "family" : "Craig", "given" : "Leone", "non-dropping-particle" : "", "parse-names" : false, "suffix" : "" }, { "dropping-particle" : "", "family" : "Deary", "given" : "Ian J", "non-dropping-particle" : "", "parse-names" : false, "suffix" : "" }, { "dropping-particle" : "", "family" : "Demakakos", "given" : "Panayotes", "non-dropping-particle" : "", "parse-names" : false, "suffix" : "" }, { "dropping-particle" : "", "family" : "Gallacher", "given" : "John", "non-dropping-particle" : "", "parse-names" : false, "suffix" : "" }, { "dropping-particle" : "", "family" : "McNeill", "given" : "Geraldine", "non-dropping-particle" : "", "parse-names" : false, "suffix" : "" }, { "dropping-particle" : "", "family" : "Martin", "given" : "Richard M", "non-dropping-particle" : "", "parse-names" : false, "suffix" : "" }, { "dropping-particle" : "", "family" : "Starr", "given" : "John M", "non-dropping-particle" : "", "parse-names" : false, "suffix" : "" }, { "dropping-particle" : "", "family" : "Steptoe", "given" : "Andrew", "non-dropping-particle" : "", "parse-names" : false, "suffix" : "" }, { "dropping-particle" : "", "family" : "Kuh", "given" : "Diana", "non-dropping-particle" : "", "parse-names" : false, "suffix" : "" } ], "container-title" : "PloS one", "id" : "ITEM-1", "issue" : "11", "issued" : { "date-parts" : [ [ "2011", "1" ] ] }, "page" : "e27899", "title" : "Age and gender differences in physical capability levels from mid-life onwards: the harmonisation and meta-analysis of data from eight UK cohort studies.", "type" : "article-journal", "volume" : "6" }, "uris" : [ "http://www.mendeley.com/documents/?uuid=059355a1-63ed-4f14-9fa1-7b32f2006848" ] } ], "mendeley" : { "previouslyFormattedCitation" : "[1]"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[1]</w:t>
            </w:r>
            <w:r>
              <w:rPr>
                <w:rFonts w:ascii="Arial" w:hAnsi="Arial" w:cs="Arial"/>
                <w:sz w:val="18"/>
                <w:szCs w:val="18"/>
              </w:rPr>
              <w:fldChar w:fldCharType="end"/>
            </w:r>
          </w:p>
        </w:tc>
        <w:tc>
          <w:tcPr>
            <w:tcW w:w="991"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UK</w:t>
            </w:r>
          </w:p>
        </w:tc>
        <w:tc>
          <w:tcPr>
            <w:tcW w:w="708"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2,987</w:t>
            </w:r>
          </w:p>
        </w:tc>
        <w:tc>
          <w:tcPr>
            <w:tcW w:w="1417"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proofErr w:type="spellStart"/>
            <w:r>
              <w:rPr>
                <w:rFonts w:ascii="Arial" w:hAnsi="Arial" w:cs="Arial"/>
                <w:sz w:val="18"/>
                <w:szCs w:val="18"/>
              </w:rPr>
              <w:t>Jamar</w:t>
            </w:r>
            <w:proofErr w:type="spellEnd"/>
          </w:p>
        </w:tc>
        <w:tc>
          <w:tcPr>
            <w:tcW w:w="1131" w:type="dxa"/>
            <w:tcBorders>
              <w:top w:val="nil"/>
              <w:left w:val="nil"/>
              <w:bottom w:val="nil"/>
              <w:right w:val="nil"/>
            </w:tcBorders>
            <w:shd w:val="clear" w:color="auto" w:fill="FFFFFF" w:themeFill="background1"/>
          </w:tcPr>
          <w:p w:rsidR="00774F5C" w:rsidRPr="00B04D62" w:rsidRDefault="00774F5C" w:rsidP="006118A1">
            <w:pPr>
              <w:spacing w:after="100"/>
              <w:jc w:val="center"/>
              <w:rPr>
                <w:rFonts w:ascii="Arial" w:hAnsi="Arial" w:cs="Arial"/>
                <w:sz w:val="18"/>
                <w:szCs w:val="18"/>
              </w:rPr>
            </w:pPr>
            <w:r>
              <w:rPr>
                <w:rFonts w:ascii="Arial" w:hAnsi="Arial" w:cs="Arial"/>
                <w:sz w:val="18"/>
                <w:szCs w:val="18"/>
              </w:rPr>
              <w:t>Max grip strength after 3 attempts in each hand</w:t>
            </w:r>
          </w:p>
        </w:tc>
        <w:tc>
          <w:tcPr>
            <w:tcW w:w="1267"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55-59</w:t>
            </w:r>
          </w:p>
          <w:p w:rsidR="00774F5C" w:rsidRPr="00B04D62" w:rsidRDefault="00774F5C" w:rsidP="006118A1">
            <w:pPr>
              <w:jc w:val="center"/>
              <w:rPr>
                <w:rFonts w:ascii="Arial" w:hAnsi="Arial" w:cs="Arial"/>
                <w:sz w:val="18"/>
                <w:szCs w:val="18"/>
              </w:rPr>
            </w:pPr>
            <w:r w:rsidRPr="00B04D62">
              <w:rPr>
                <w:rFonts w:ascii="Arial" w:hAnsi="Arial" w:cs="Arial"/>
                <w:sz w:val="18"/>
                <w:szCs w:val="18"/>
              </w:rPr>
              <w:t>60-64</w:t>
            </w:r>
          </w:p>
          <w:p w:rsidR="00774F5C" w:rsidRPr="00B04D62" w:rsidRDefault="00774F5C" w:rsidP="006118A1">
            <w:pPr>
              <w:jc w:val="center"/>
              <w:rPr>
                <w:rFonts w:ascii="Arial" w:hAnsi="Arial" w:cs="Arial"/>
                <w:sz w:val="18"/>
                <w:szCs w:val="18"/>
              </w:rPr>
            </w:pPr>
            <w:r w:rsidRPr="00B04D62">
              <w:rPr>
                <w:rFonts w:ascii="Arial" w:hAnsi="Arial" w:cs="Arial"/>
                <w:sz w:val="18"/>
                <w:szCs w:val="18"/>
              </w:rPr>
              <w:t>65-69</w:t>
            </w:r>
          </w:p>
          <w:p w:rsidR="00774F5C" w:rsidRPr="00B04D62" w:rsidRDefault="00774F5C" w:rsidP="006118A1">
            <w:pPr>
              <w:jc w:val="center"/>
              <w:rPr>
                <w:rFonts w:ascii="Arial" w:hAnsi="Arial" w:cs="Arial"/>
                <w:sz w:val="18"/>
                <w:szCs w:val="18"/>
              </w:rPr>
            </w:pPr>
            <w:r w:rsidRPr="00B04D62">
              <w:rPr>
                <w:rFonts w:ascii="Arial" w:hAnsi="Arial" w:cs="Arial"/>
                <w:sz w:val="18"/>
                <w:szCs w:val="18"/>
              </w:rPr>
              <w:t>70-74</w:t>
            </w:r>
          </w:p>
        </w:tc>
        <w:tc>
          <w:tcPr>
            <w:tcW w:w="1292"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49.3 (4.7)</w:t>
            </w:r>
          </w:p>
          <w:p w:rsidR="00774F5C" w:rsidRDefault="00774F5C" w:rsidP="006118A1">
            <w:pPr>
              <w:jc w:val="center"/>
              <w:rPr>
                <w:rFonts w:ascii="Arial" w:hAnsi="Arial" w:cs="Arial"/>
                <w:sz w:val="18"/>
                <w:szCs w:val="18"/>
              </w:rPr>
            </w:pPr>
            <w:r>
              <w:rPr>
                <w:rFonts w:ascii="Arial" w:hAnsi="Arial" w:cs="Arial"/>
                <w:sz w:val="18"/>
                <w:szCs w:val="18"/>
              </w:rPr>
              <w:t>45.3 (7.2)</w:t>
            </w:r>
          </w:p>
          <w:p w:rsidR="00774F5C" w:rsidRDefault="00774F5C" w:rsidP="006118A1">
            <w:pPr>
              <w:jc w:val="center"/>
              <w:rPr>
                <w:rFonts w:ascii="Arial" w:hAnsi="Arial" w:cs="Arial"/>
                <w:sz w:val="18"/>
                <w:szCs w:val="18"/>
              </w:rPr>
            </w:pPr>
            <w:r>
              <w:rPr>
                <w:rFonts w:ascii="Arial" w:hAnsi="Arial" w:cs="Arial"/>
                <w:sz w:val="18"/>
                <w:szCs w:val="18"/>
              </w:rPr>
              <w:t>43.3 (7.6)</w:t>
            </w:r>
          </w:p>
          <w:p w:rsidR="00774F5C" w:rsidRPr="00B04D62" w:rsidRDefault="00774F5C" w:rsidP="006118A1">
            <w:pPr>
              <w:jc w:val="center"/>
              <w:rPr>
                <w:rFonts w:ascii="Arial" w:hAnsi="Arial" w:cs="Arial"/>
                <w:sz w:val="18"/>
                <w:szCs w:val="18"/>
              </w:rPr>
            </w:pPr>
            <w:r>
              <w:rPr>
                <w:rFonts w:ascii="Arial" w:hAnsi="Arial" w:cs="Arial"/>
                <w:sz w:val="18"/>
                <w:szCs w:val="18"/>
              </w:rPr>
              <w:t>41.9 (7.2)</w:t>
            </w:r>
          </w:p>
        </w:tc>
        <w:tc>
          <w:tcPr>
            <w:tcW w:w="1298"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w:t>
            </w:r>
          </w:p>
          <w:p w:rsidR="00774F5C" w:rsidRDefault="00774F5C" w:rsidP="006118A1">
            <w:pPr>
              <w:jc w:val="center"/>
              <w:rPr>
                <w:rFonts w:ascii="Arial" w:hAnsi="Arial" w:cs="Arial"/>
                <w:sz w:val="18"/>
                <w:szCs w:val="18"/>
              </w:rPr>
            </w:pPr>
            <w:r>
              <w:rPr>
                <w:rFonts w:ascii="Arial" w:hAnsi="Arial" w:cs="Arial"/>
                <w:sz w:val="18"/>
                <w:szCs w:val="18"/>
              </w:rPr>
              <w:t>27.3 (5.8)</w:t>
            </w:r>
          </w:p>
          <w:p w:rsidR="00774F5C" w:rsidRDefault="00774F5C" w:rsidP="006118A1">
            <w:pPr>
              <w:jc w:val="center"/>
              <w:rPr>
                <w:rFonts w:ascii="Arial" w:hAnsi="Arial" w:cs="Arial"/>
                <w:sz w:val="18"/>
                <w:szCs w:val="18"/>
              </w:rPr>
            </w:pPr>
            <w:r>
              <w:rPr>
                <w:rFonts w:ascii="Arial" w:hAnsi="Arial" w:cs="Arial"/>
                <w:sz w:val="18"/>
                <w:szCs w:val="18"/>
              </w:rPr>
              <w:t>26.4 (5.7)</w:t>
            </w:r>
          </w:p>
          <w:p w:rsidR="00774F5C" w:rsidRPr="00B04D62" w:rsidRDefault="00774F5C" w:rsidP="006118A1">
            <w:pPr>
              <w:jc w:val="center"/>
              <w:rPr>
                <w:rFonts w:ascii="Arial" w:hAnsi="Arial" w:cs="Arial"/>
                <w:sz w:val="18"/>
                <w:szCs w:val="18"/>
              </w:rPr>
            </w:pPr>
            <w:r>
              <w:rPr>
                <w:rFonts w:ascii="Arial" w:hAnsi="Arial" w:cs="Arial"/>
                <w:sz w:val="18"/>
                <w:szCs w:val="18"/>
              </w:rPr>
              <w:t>25.0 (5.5)</w:t>
            </w:r>
          </w:p>
        </w:tc>
      </w:tr>
      <w:tr w:rsidR="00774F5C" w:rsidTr="006118A1">
        <w:tc>
          <w:tcPr>
            <w:tcW w:w="1138"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sidRPr="00B04D62">
              <w:rPr>
                <w:rFonts w:ascii="Arial" w:hAnsi="Arial" w:cs="Arial"/>
                <w:sz w:val="18"/>
                <w:szCs w:val="18"/>
              </w:rPr>
              <w:t>ELSA</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"10.1371/journal.pone.0027899", "abstract" : "Using data from eight UK cohorts participating in the Healthy Ageing across the Life Course (HALCyon) research programme, with ages at physical capability assessment ranging from 50 to 90+ years, we harmonised data on objective measures of physical capability (i.e. grip strength, chair rising ability, walking speed, timed get up and go, and standing balance performance) and investigated the cross-sectional age and gender differences in these measures. Levels of physical capability were generally lower in study participants of older ages, and men performed better than women (for example, results from meta-analyses (N = 14,213 (5 studies)), found that men had 12.62 kg (11.34, 13.90) higher grip strength than women after adjustment for age and body size), although for walking speed, this gender difference was attenuated after adjustment for body size. There was also evidence that the gender difference in grip strength diminished with increasing age, whereas the gender difference in walking speed widened (p&lt;0.01 for interactions between age and gender in both cases). This study highlights not only the presence of age and gender differences in objective measures of physical capability but provides a demonstration that harmonisation of data from several large cohort studies is possible. These harmonised data are now being used within HALCyon to understand the lifetime social and biological determinants of physical capability and its changes with age.", "author" : [ { "dropping-particle" : "", "family" : "Cooper", "given" : "Rachel", "non-dropping-particle" : "", "parse-names" : false, "suffix" : "" }, { "dropping-particle" : "", "family" : "Hardy", "given" : "Rebecca", "non-dropping-particle" : "", "parse-names" : false, "suffix" : "" }, { "dropping-particle" : "", "family" : "Aihie Sayer", "given" : "Avan", "non-dropping-particle" : "", "parse-names" : false, "suffix" : "" }, { "dropping-particle" : "", "family" : "Ben-Shlomo", "given" : "Yoav", "non-dropping-particle" : "", "parse-names" : false, "suffix" : "" }, { "dropping-particle" : "", "family" : "Birnie", "given" : "Kate", "non-dropping-particle" : "", "parse-names" : false, "suffix" : "" }, { "dropping-particle" : "", "family" : "Cooper", "given" : "Cyrus", "non-dropping-particle" : "", "parse-names" : false, "suffix" : "" }, { "dropping-particle" : "", "family" : "Craig", "given" : "Leone", "non-dropping-particle" : "", "parse-names" : false, "suffix" : "" }, { "dropping-particle" : "", "family" : "Deary", "given" : "Ian J", "non-dropping-particle" : "", "parse-names" : false, "suffix" : "" }, { "dropping-particle" : "", "family" : "Demakakos", "given" : "Panayotes", "non-dropping-particle" : "", "parse-names" : false, "suffix" : "" }, { "dropping-particle" : "", "family" : "Gallacher", "given" : "John", "non-dropping-particle" : "", "parse-names" : false, "suffix" : "" }, { "dropping-particle" : "", "family" : "McNeill", "given" : "Geraldine", "non-dropping-particle" : "", "parse-names" : false, "suffix" : "" }, { "dropping-particle" : "", "family" : "Martin", "given" : "Richard M", "non-dropping-particle" : "", "parse-names" : false, "suffix" : "" }, { "dropping-particle" : "", "family" : "Starr", "given" : "John M", "non-dropping-particle" : "", "parse-names" : false, "suffix" : "" }, { "dropping-particle" : "", "family" : "Steptoe", "given" : "Andrew", "non-dropping-particle" : "", "parse-names" : false, "suffix" : "" }, { "dropping-particle" : "", "family" : "Kuh", "given" : "Diana", "non-dropping-particle" : "", "parse-names" : false, "suffix" : "" } ], "container-title" : "PloS one", "id" : "ITEM-1", "issue" : "11", "issued" : { "date-parts" : [ [ "2011", "1" ] ] }, "page" : "e27899", "title" : "Age and gender differences in physical capability levels from mid-life onwards: the harmonisation and meta-analysis of data from eight UK cohort studies.", "type" : "article-journal", "volume" : "6" }, "uris" : [ "http://www.mendeley.com/documents/?uuid=059355a1-63ed-4f14-9fa1-7b32f2006848" ] } ], "mendeley" : { "previouslyFormattedCitation" : "[1]"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[1]</w:t>
            </w:r>
            <w:r>
              <w:rPr>
                <w:rFonts w:ascii="Arial" w:hAnsi="Arial" w:cs="Arial"/>
                <w:sz w:val="18"/>
                <w:szCs w:val="18"/>
              </w:rPr>
              <w:fldChar w:fldCharType="end"/>
            </w:r>
          </w:p>
        </w:tc>
        <w:tc>
          <w:tcPr>
            <w:tcW w:w="991"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sidRPr="00B04D62">
              <w:rPr>
                <w:rFonts w:ascii="Arial" w:hAnsi="Arial" w:cs="Arial"/>
                <w:sz w:val="18"/>
                <w:szCs w:val="18"/>
              </w:rPr>
              <w:t>UK</w:t>
            </w:r>
          </w:p>
        </w:tc>
        <w:tc>
          <w:tcPr>
            <w:tcW w:w="708"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7,553</w:t>
            </w:r>
          </w:p>
        </w:tc>
        <w:tc>
          <w:tcPr>
            <w:tcW w:w="1417"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proofErr w:type="spellStart"/>
            <w:r>
              <w:rPr>
                <w:rFonts w:ascii="Arial" w:hAnsi="Arial" w:cs="Arial"/>
                <w:sz w:val="18"/>
                <w:szCs w:val="18"/>
              </w:rPr>
              <w:t>Smedley</w:t>
            </w:r>
            <w:proofErr w:type="spellEnd"/>
          </w:p>
        </w:tc>
        <w:tc>
          <w:tcPr>
            <w:tcW w:w="1131"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Max grip strength after 3 attempts in each hand</w:t>
            </w:r>
          </w:p>
        </w:tc>
        <w:tc>
          <w:tcPr>
            <w:tcW w:w="1267"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50-54</w:t>
            </w:r>
          </w:p>
          <w:p w:rsidR="00774F5C" w:rsidRDefault="00774F5C" w:rsidP="006118A1">
            <w:pPr>
              <w:jc w:val="center"/>
              <w:rPr>
                <w:rFonts w:ascii="Arial" w:hAnsi="Arial" w:cs="Arial"/>
                <w:sz w:val="18"/>
                <w:szCs w:val="18"/>
              </w:rPr>
            </w:pPr>
            <w:r>
              <w:rPr>
                <w:rFonts w:ascii="Arial" w:hAnsi="Arial" w:cs="Arial"/>
                <w:sz w:val="18"/>
                <w:szCs w:val="18"/>
              </w:rPr>
              <w:t>55-59</w:t>
            </w:r>
          </w:p>
          <w:p w:rsidR="00774F5C" w:rsidRPr="00B04D62" w:rsidRDefault="00774F5C" w:rsidP="006118A1">
            <w:pPr>
              <w:jc w:val="center"/>
              <w:rPr>
                <w:rFonts w:ascii="Arial" w:hAnsi="Arial" w:cs="Arial"/>
                <w:sz w:val="18"/>
                <w:szCs w:val="18"/>
              </w:rPr>
            </w:pPr>
            <w:r w:rsidRPr="00B04D62">
              <w:rPr>
                <w:rFonts w:ascii="Arial" w:hAnsi="Arial" w:cs="Arial"/>
                <w:sz w:val="18"/>
                <w:szCs w:val="18"/>
              </w:rPr>
              <w:t>60-64</w:t>
            </w:r>
          </w:p>
          <w:p w:rsidR="00774F5C" w:rsidRPr="00B04D62" w:rsidRDefault="00774F5C" w:rsidP="006118A1">
            <w:pPr>
              <w:jc w:val="center"/>
              <w:rPr>
                <w:rFonts w:ascii="Arial" w:hAnsi="Arial" w:cs="Arial"/>
                <w:sz w:val="18"/>
                <w:szCs w:val="18"/>
              </w:rPr>
            </w:pPr>
            <w:r w:rsidRPr="00B04D62">
              <w:rPr>
                <w:rFonts w:ascii="Arial" w:hAnsi="Arial" w:cs="Arial"/>
                <w:sz w:val="18"/>
                <w:szCs w:val="18"/>
              </w:rPr>
              <w:t>65-69</w:t>
            </w:r>
          </w:p>
          <w:p w:rsidR="00774F5C" w:rsidRPr="00B04D62" w:rsidRDefault="00774F5C" w:rsidP="006118A1">
            <w:pPr>
              <w:jc w:val="center"/>
              <w:rPr>
                <w:rFonts w:ascii="Arial" w:hAnsi="Arial" w:cs="Arial"/>
                <w:sz w:val="18"/>
                <w:szCs w:val="18"/>
              </w:rPr>
            </w:pPr>
            <w:r>
              <w:rPr>
                <w:rFonts w:ascii="Arial" w:hAnsi="Arial" w:cs="Arial"/>
                <w:sz w:val="18"/>
                <w:szCs w:val="18"/>
              </w:rPr>
              <w:t>70-74</w:t>
            </w:r>
          </w:p>
          <w:p w:rsidR="00774F5C" w:rsidRPr="00B04D62" w:rsidRDefault="00774F5C" w:rsidP="006118A1">
            <w:pPr>
              <w:jc w:val="center"/>
              <w:rPr>
                <w:rFonts w:ascii="Arial" w:hAnsi="Arial" w:cs="Arial"/>
                <w:sz w:val="18"/>
                <w:szCs w:val="18"/>
              </w:rPr>
            </w:pPr>
            <w:r w:rsidRPr="00B04D62">
              <w:rPr>
                <w:rFonts w:ascii="Arial" w:hAnsi="Arial" w:cs="Arial"/>
                <w:sz w:val="18"/>
                <w:szCs w:val="18"/>
              </w:rPr>
              <w:t>75-79</w:t>
            </w:r>
          </w:p>
          <w:p w:rsidR="00774F5C" w:rsidRPr="00B04D62" w:rsidRDefault="00774F5C" w:rsidP="006118A1">
            <w:pPr>
              <w:jc w:val="center"/>
              <w:rPr>
                <w:rFonts w:ascii="Arial" w:hAnsi="Arial" w:cs="Arial"/>
                <w:sz w:val="18"/>
                <w:szCs w:val="18"/>
              </w:rPr>
            </w:pPr>
            <w:r w:rsidRPr="00B04D62">
              <w:rPr>
                <w:rFonts w:ascii="Arial" w:hAnsi="Arial" w:cs="Arial"/>
                <w:sz w:val="18"/>
                <w:szCs w:val="18"/>
              </w:rPr>
              <w:t>80-84</w:t>
            </w:r>
          </w:p>
          <w:p w:rsidR="00774F5C" w:rsidRPr="00B04D62" w:rsidRDefault="00774F5C" w:rsidP="006118A1">
            <w:pPr>
              <w:jc w:val="center"/>
              <w:rPr>
                <w:rFonts w:ascii="Arial" w:hAnsi="Arial" w:cs="Arial"/>
                <w:sz w:val="18"/>
                <w:szCs w:val="18"/>
              </w:rPr>
            </w:pPr>
            <w:r w:rsidRPr="00B04D62">
              <w:rPr>
                <w:rFonts w:ascii="Arial" w:hAnsi="Arial" w:cs="Arial"/>
                <w:sz w:val="18"/>
                <w:szCs w:val="18"/>
              </w:rPr>
              <w:t>85-89</w:t>
            </w:r>
          </w:p>
          <w:p w:rsidR="00774F5C" w:rsidRPr="00B04D62" w:rsidRDefault="00774F5C" w:rsidP="006118A1">
            <w:pPr>
              <w:spacing w:after="100"/>
              <w:jc w:val="center"/>
              <w:rPr>
                <w:rFonts w:ascii="Arial" w:hAnsi="Arial" w:cs="Arial"/>
                <w:sz w:val="18"/>
                <w:szCs w:val="18"/>
              </w:rPr>
            </w:pPr>
            <w:r w:rsidRPr="00B04D62">
              <w:rPr>
                <w:rFonts w:ascii="Arial" w:hAnsi="Arial" w:cs="Arial"/>
                <w:sz w:val="18"/>
                <w:szCs w:val="18"/>
              </w:rPr>
              <w:t>90+</w:t>
            </w:r>
          </w:p>
        </w:tc>
        <w:tc>
          <w:tcPr>
            <w:tcW w:w="1292"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48.2 (7.9)</w:t>
            </w:r>
          </w:p>
          <w:p w:rsidR="00774F5C" w:rsidRDefault="00774F5C" w:rsidP="006118A1">
            <w:pPr>
              <w:jc w:val="center"/>
              <w:rPr>
                <w:rFonts w:ascii="Arial" w:hAnsi="Arial" w:cs="Arial"/>
                <w:sz w:val="18"/>
                <w:szCs w:val="18"/>
              </w:rPr>
            </w:pPr>
            <w:r>
              <w:rPr>
                <w:rFonts w:ascii="Arial" w:hAnsi="Arial" w:cs="Arial"/>
                <w:sz w:val="18"/>
                <w:szCs w:val="18"/>
              </w:rPr>
              <w:t>45.7 (8.5)</w:t>
            </w:r>
          </w:p>
          <w:p w:rsidR="00774F5C" w:rsidRDefault="00774F5C" w:rsidP="006118A1">
            <w:pPr>
              <w:jc w:val="center"/>
              <w:rPr>
                <w:rFonts w:ascii="Arial" w:hAnsi="Arial" w:cs="Arial"/>
                <w:sz w:val="18"/>
                <w:szCs w:val="18"/>
              </w:rPr>
            </w:pPr>
            <w:r>
              <w:rPr>
                <w:rFonts w:ascii="Arial" w:hAnsi="Arial" w:cs="Arial"/>
                <w:sz w:val="18"/>
                <w:szCs w:val="18"/>
              </w:rPr>
              <w:t>42.9 (9.1)</w:t>
            </w:r>
          </w:p>
          <w:p w:rsidR="00774F5C" w:rsidRDefault="00774F5C" w:rsidP="006118A1">
            <w:pPr>
              <w:jc w:val="center"/>
              <w:rPr>
                <w:rFonts w:ascii="Arial" w:hAnsi="Arial" w:cs="Arial"/>
                <w:sz w:val="18"/>
                <w:szCs w:val="18"/>
              </w:rPr>
            </w:pPr>
            <w:r>
              <w:rPr>
                <w:rFonts w:ascii="Arial" w:hAnsi="Arial" w:cs="Arial"/>
                <w:sz w:val="18"/>
                <w:szCs w:val="18"/>
              </w:rPr>
              <w:t>40.2 (8.3)</w:t>
            </w:r>
          </w:p>
          <w:p w:rsidR="00774F5C" w:rsidRDefault="00774F5C" w:rsidP="006118A1">
            <w:pPr>
              <w:jc w:val="center"/>
              <w:rPr>
                <w:rFonts w:ascii="Arial" w:hAnsi="Arial" w:cs="Arial"/>
                <w:sz w:val="18"/>
                <w:szCs w:val="18"/>
              </w:rPr>
            </w:pPr>
            <w:r>
              <w:rPr>
                <w:rFonts w:ascii="Arial" w:hAnsi="Arial" w:cs="Arial"/>
                <w:sz w:val="18"/>
                <w:szCs w:val="18"/>
              </w:rPr>
              <w:t>37.9 (7.4)</w:t>
            </w:r>
          </w:p>
          <w:p w:rsidR="00774F5C" w:rsidRDefault="00774F5C" w:rsidP="006118A1">
            <w:pPr>
              <w:jc w:val="center"/>
              <w:rPr>
                <w:rFonts w:ascii="Arial" w:hAnsi="Arial" w:cs="Arial"/>
                <w:sz w:val="18"/>
                <w:szCs w:val="18"/>
              </w:rPr>
            </w:pPr>
            <w:r>
              <w:rPr>
                <w:rFonts w:ascii="Arial" w:hAnsi="Arial" w:cs="Arial"/>
                <w:sz w:val="18"/>
                <w:szCs w:val="18"/>
              </w:rPr>
              <w:t>34.0 (7.5)</w:t>
            </w:r>
          </w:p>
          <w:p w:rsidR="00774F5C" w:rsidRDefault="00774F5C" w:rsidP="006118A1">
            <w:pPr>
              <w:jc w:val="center"/>
              <w:rPr>
                <w:rFonts w:ascii="Arial" w:hAnsi="Arial" w:cs="Arial"/>
                <w:sz w:val="18"/>
                <w:szCs w:val="18"/>
              </w:rPr>
            </w:pPr>
            <w:r>
              <w:rPr>
                <w:rFonts w:ascii="Arial" w:hAnsi="Arial" w:cs="Arial"/>
                <w:sz w:val="18"/>
                <w:szCs w:val="18"/>
              </w:rPr>
              <w:t>30.2 (7.4)</w:t>
            </w:r>
          </w:p>
          <w:p w:rsidR="00774F5C" w:rsidRDefault="00774F5C" w:rsidP="006118A1">
            <w:pPr>
              <w:jc w:val="center"/>
              <w:rPr>
                <w:rFonts w:ascii="Arial" w:hAnsi="Arial" w:cs="Arial"/>
                <w:sz w:val="18"/>
                <w:szCs w:val="18"/>
              </w:rPr>
            </w:pPr>
            <w:r>
              <w:rPr>
                <w:rFonts w:ascii="Arial" w:hAnsi="Arial" w:cs="Arial"/>
                <w:sz w:val="18"/>
                <w:szCs w:val="18"/>
              </w:rPr>
              <w:t>28.1 (7.2)</w:t>
            </w:r>
          </w:p>
          <w:p w:rsidR="00774F5C" w:rsidRPr="00B04D62" w:rsidRDefault="00774F5C" w:rsidP="006118A1">
            <w:pPr>
              <w:jc w:val="center"/>
              <w:rPr>
                <w:rFonts w:ascii="Arial" w:hAnsi="Arial" w:cs="Arial"/>
                <w:sz w:val="18"/>
                <w:szCs w:val="18"/>
              </w:rPr>
            </w:pPr>
            <w:r>
              <w:rPr>
                <w:rFonts w:ascii="Arial" w:hAnsi="Arial" w:cs="Arial"/>
                <w:sz w:val="18"/>
                <w:szCs w:val="18"/>
              </w:rPr>
              <w:t>26.2 (5.7)</w:t>
            </w:r>
          </w:p>
        </w:tc>
        <w:tc>
          <w:tcPr>
            <w:tcW w:w="1298"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28.4 (5.8)</w:t>
            </w:r>
          </w:p>
          <w:p w:rsidR="00774F5C" w:rsidRDefault="00774F5C" w:rsidP="006118A1">
            <w:pPr>
              <w:jc w:val="center"/>
              <w:rPr>
                <w:rFonts w:ascii="Arial" w:hAnsi="Arial" w:cs="Arial"/>
                <w:sz w:val="18"/>
                <w:szCs w:val="18"/>
              </w:rPr>
            </w:pPr>
            <w:r>
              <w:rPr>
                <w:rFonts w:ascii="Arial" w:hAnsi="Arial" w:cs="Arial"/>
                <w:sz w:val="18"/>
                <w:szCs w:val="18"/>
              </w:rPr>
              <w:t>27.2 (5.9)</w:t>
            </w:r>
          </w:p>
          <w:p w:rsidR="00774F5C" w:rsidRDefault="00774F5C" w:rsidP="006118A1">
            <w:pPr>
              <w:jc w:val="center"/>
              <w:rPr>
                <w:rFonts w:ascii="Arial" w:hAnsi="Arial" w:cs="Arial"/>
                <w:sz w:val="18"/>
                <w:szCs w:val="18"/>
              </w:rPr>
            </w:pPr>
            <w:r>
              <w:rPr>
                <w:rFonts w:ascii="Arial" w:hAnsi="Arial" w:cs="Arial"/>
                <w:sz w:val="18"/>
                <w:szCs w:val="18"/>
              </w:rPr>
              <w:t>25.8 (6.1)</w:t>
            </w:r>
          </w:p>
          <w:p w:rsidR="00774F5C" w:rsidRDefault="00774F5C" w:rsidP="006118A1">
            <w:pPr>
              <w:jc w:val="center"/>
              <w:rPr>
                <w:rFonts w:ascii="Arial" w:hAnsi="Arial" w:cs="Arial"/>
                <w:sz w:val="18"/>
                <w:szCs w:val="18"/>
              </w:rPr>
            </w:pPr>
            <w:r>
              <w:rPr>
                <w:rFonts w:ascii="Arial" w:hAnsi="Arial" w:cs="Arial"/>
                <w:sz w:val="18"/>
                <w:szCs w:val="18"/>
              </w:rPr>
              <w:t>24.5 (5.4)</w:t>
            </w:r>
          </w:p>
          <w:p w:rsidR="00774F5C" w:rsidRDefault="00774F5C" w:rsidP="006118A1">
            <w:pPr>
              <w:jc w:val="center"/>
              <w:rPr>
                <w:rFonts w:ascii="Arial" w:hAnsi="Arial" w:cs="Arial"/>
                <w:sz w:val="18"/>
                <w:szCs w:val="18"/>
              </w:rPr>
            </w:pPr>
            <w:r>
              <w:rPr>
                <w:rFonts w:ascii="Arial" w:hAnsi="Arial" w:cs="Arial"/>
                <w:sz w:val="18"/>
                <w:szCs w:val="18"/>
              </w:rPr>
              <w:t>22.6 (5.6)</w:t>
            </w:r>
          </w:p>
          <w:p w:rsidR="00774F5C" w:rsidRDefault="00774F5C" w:rsidP="006118A1">
            <w:pPr>
              <w:jc w:val="center"/>
              <w:rPr>
                <w:rFonts w:ascii="Arial" w:hAnsi="Arial" w:cs="Arial"/>
                <w:sz w:val="18"/>
                <w:szCs w:val="18"/>
              </w:rPr>
            </w:pPr>
            <w:r>
              <w:rPr>
                <w:rFonts w:ascii="Arial" w:hAnsi="Arial" w:cs="Arial"/>
                <w:sz w:val="18"/>
                <w:szCs w:val="18"/>
              </w:rPr>
              <w:t>20.6 (5.3)</w:t>
            </w:r>
          </w:p>
          <w:p w:rsidR="00774F5C" w:rsidRDefault="00774F5C" w:rsidP="006118A1">
            <w:pPr>
              <w:jc w:val="center"/>
              <w:rPr>
                <w:rFonts w:ascii="Arial" w:hAnsi="Arial" w:cs="Arial"/>
                <w:sz w:val="18"/>
                <w:szCs w:val="18"/>
              </w:rPr>
            </w:pPr>
            <w:r>
              <w:rPr>
                <w:rFonts w:ascii="Arial" w:hAnsi="Arial" w:cs="Arial"/>
                <w:sz w:val="18"/>
                <w:szCs w:val="18"/>
              </w:rPr>
              <w:t>17.9 (5.2)</w:t>
            </w:r>
          </w:p>
          <w:p w:rsidR="00774F5C" w:rsidRDefault="00774F5C" w:rsidP="006118A1">
            <w:pPr>
              <w:jc w:val="center"/>
              <w:rPr>
                <w:rFonts w:ascii="Arial" w:hAnsi="Arial" w:cs="Arial"/>
                <w:sz w:val="18"/>
                <w:szCs w:val="18"/>
              </w:rPr>
            </w:pPr>
            <w:r>
              <w:rPr>
                <w:rFonts w:ascii="Arial" w:hAnsi="Arial" w:cs="Arial"/>
                <w:sz w:val="18"/>
                <w:szCs w:val="18"/>
              </w:rPr>
              <w:t>17.2 (4.5)</w:t>
            </w:r>
          </w:p>
          <w:p w:rsidR="00774F5C" w:rsidRPr="00B04D62" w:rsidRDefault="00774F5C" w:rsidP="006118A1">
            <w:pPr>
              <w:jc w:val="center"/>
              <w:rPr>
                <w:rFonts w:ascii="Arial" w:hAnsi="Arial" w:cs="Arial"/>
                <w:sz w:val="18"/>
                <w:szCs w:val="18"/>
              </w:rPr>
            </w:pPr>
            <w:r>
              <w:rPr>
                <w:rFonts w:ascii="Arial" w:hAnsi="Arial" w:cs="Arial"/>
                <w:sz w:val="18"/>
                <w:szCs w:val="18"/>
              </w:rPr>
              <w:t>14.6 (4.9)</w:t>
            </w:r>
          </w:p>
        </w:tc>
      </w:tr>
      <w:tr w:rsidR="00774F5C" w:rsidTr="006118A1">
        <w:trPr>
          <w:trHeight w:val="70"/>
        </w:trPr>
        <w:tc>
          <w:tcPr>
            <w:tcW w:w="1138"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proofErr w:type="spellStart"/>
            <w:r>
              <w:rPr>
                <w:rFonts w:ascii="Arial" w:hAnsi="Arial" w:cs="Arial"/>
                <w:sz w:val="18"/>
                <w:szCs w:val="18"/>
              </w:rPr>
              <w:t>InChianti</w:t>
            </w:r>
            <w:proofErr w:type="spellEnd"/>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"10.1152/japplphysiol.00246.2003", "abstract" : "Sarcopenia, the reduction of muscle mass and strength that occurs with aging, is widely considered one of the major causes of disability in older persons. Surprisingly, criteria that may help a clinician to identify persons with impaired muscle function are still lacking. Using data from a large representative sample of the general population, we examined how muscle function and calf muscle area change with aging and affect mobility in men and women free of neurological conditions. We tested several putative indicators of sarcopenia, including knee extension isometric torque, handgrip, lower extremity muscle power, and calf muscle area. For each indicator, sarcopenia was considered to be present when the measure was &gt;2 SDs below the mean. For all four measures, the prevalence of sarcopenia increased with age, both in men and women. The age-associated gradient in prevalence was maximum for muscle power and minimum for calf-muscle area. However, lower extremity muscle power was no better than knee-extension torque or handgrip in the early identification of poor mobility, defined either as walking speed &lt;0.8 m/s or inability to walk at least 1 km without difficulty and without developing symptoms. Optimal cutoff values that can be used in the clinical practice to identify older persons with poor mobility were developed. The findings of the study lay the basis for a cost-effective, clinical marker of sarcopenia based on a measure of isometric handgrip strength. Our findings should be verified in a longitudinal study.", "author" : [ { "dropping-particle" : "", "family" : "Lauretani", "given" : "Fulvio", "non-dropping-particle" : "", "parse-names" : false, "suffix" : "" }, { "dropping-particle" : "", "family" : "Russo", "given" : "Cosimo Roberto", "non-dropping-particle" : "", "parse-names" : false, "suffix" : "" }, { "dropping-particle" : "", "family" : "Bandinelli", "given" : "Stefania", "non-dropping-particle" : "", "parse-names" : false, "suffix" : "" }, { "dropping-particle" : "", "family" : "Bartali", "given" : "Benedetta", "non-dropping-particle" : "", "parse-names" : false, "suffix" : "" }, { "dropping-particle" : "", "family" : "Cavazzini", "given" : "Chiara", "non-dropping-particle" : "", "parse-names" : false, "suffix" : "" }, { "dropping-particle" : "", "family" : "Iorio", "given" : "Angelo", "non-dropping-particle" : "Di", "parse-names" : false, "suffix" : "" }, { "dropping-particle" : "", "family" : "Corsi", "given" : "Anna Maria", "non-dropping-particle" : "", "parse-names" : false, "suffix" : "" }, { "dropping-particle" : "", "family" : "Rantanen", "given" : "Taina", "non-dropping-particle" : "", "parse-names" : false, "suffix" : "" }, { "dropping-particle" : "", "family" : "Guralnik", "given" : "Jack M", "non-dropping-particle" : "", "parse-names" : false, "suffix" : "" }, { "dropping-particle" : "", "family" : "Ferrucci", "given" : "Luigi", "non-dropping-particle" : "", "parse-names" : false, "suffix" : "" } ], "container-title" : "Journal of applied physiology (Bethesda, Md. : 1985)", "id" : "ITEM-1", "issue" : "5", "issued" : { "date-parts" : [ [ "2003", "11", "1" ] ] }, "page" : "1851-60", "publisher" : "American Physiological Society", "title" : "Age-associated changes in skeletal muscles and their effect on mobility: an operational diagnosis of sarcopenia.", "type" : "article-journal", "volume" : "95" }, "uris" : [ "http://www.mendeley.com/documents/?uuid=f59b3eb4-5063-447c-ab0a-0c2b8b14e755" ] } ], "mendeley" : { "previouslyFormattedCitation" : "[6]"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[6]</w:t>
            </w:r>
            <w:r>
              <w:rPr>
                <w:rFonts w:ascii="Arial" w:hAnsi="Arial" w:cs="Arial"/>
                <w:sz w:val="18"/>
                <w:szCs w:val="18"/>
              </w:rPr>
              <w:fldChar w:fldCharType="end"/>
            </w:r>
          </w:p>
        </w:tc>
        <w:tc>
          <w:tcPr>
            <w:tcW w:w="991"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Italy</w:t>
            </w:r>
          </w:p>
        </w:tc>
        <w:tc>
          <w:tcPr>
            <w:tcW w:w="708"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1030</w:t>
            </w:r>
          </w:p>
        </w:tc>
        <w:tc>
          <w:tcPr>
            <w:tcW w:w="1417"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Hydraulic hand-held dynamometer</w:t>
            </w:r>
          </w:p>
        </w:tc>
        <w:tc>
          <w:tcPr>
            <w:tcW w:w="1131" w:type="dxa"/>
            <w:tcBorders>
              <w:top w:val="nil"/>
              <w:left w:val="nil"/>
              <w:bottom w:val="nil"/>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The best of 2 attempts in each hand were averaged</w:t>
            </w:r>
          </w:p>
        </w:tc>
        <w:tc>
          <w:tcPr>
            <w:tcW w:w="1267"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20-29</w:t>
            </w:r>
          </w:p>
          <w:p w:rsidR="00774F5C" w:rsidRDefault="00774F5C" w:rsidP="006118A1">
            <w:pPr>
              <w:jc w:val="center"/>
              <w:rPr>
                <w:rFonts w:ascii="Arial" w:hAnsi="Arial" w:cs="Arial"/>
                <w:sz w:val="18"/>
                <w:szCs w:val="18"/>
              </w:rPr>
            </w:pPr>
            <w:r>
              <w:rPr>
                <w:rFonts w:ascii="Arial" w:hAnsi="Arial" w:cs="Arial"/>
                <w:sz w:val="18"/>
                <w:szCs w:val="18"/>
              </w:rPr>
              <w:t>30-39</w:t>
            </w:r>
          </w:p>
          <w:p w:rsidR="00774F5C" w:rsidRDefault="00774F5C" w:rsidP="006118A1">
            <w:pPr>
              <w:jc w:val="center"/>
              <w:rPr>
                <w:rFonts w:ascii="Arial" w:hAnsi="Arial" w:cs="Arial"/>
                <w:sz w:val="18"/>
                <w:szCs w:val="18"/>
              </w:rPr>
            </w:pPr>
            <w:r>
              <w:rPr>
                <w:rFonts w:ascii="Arial" w:hAnsi="Arial" w:cs="Arial"/>
                <w:sz w:val="18"/>
                <w:szCs w:val="18"/>
              </w:rPr>
              <w:t>40-49</w:t>
            </w:r>
          </w:p>
          <w:p w:rsidR="00774F5C" w:rsidRDefault="00774F5C" w:rsidP="006118A1">
            <w:pPr>
              <w:jc w:val="center"/>
              <w:rPr>
                <w:rFonts w:ascii="Arial" w:hAnsi="Arial" w:cs="Arial"/>
                <w:sz w:val="18"/>
                <w:szCs w:val="18"/>
              </w:rPr>
            </w:pPr>
            <w:r>
              <w:rPr>
                <w:rFonts w:ascii="Arial" w:hAnsi="Arial" w:cs="Arial"/>
                <w:sz w:val="18"/>
                <w:szCs w:val="18"/>
              </w:rPr>
              <w:t>50-64</w:t>
            </w:r>
          </w:p>
          <w:p w:rsidR="00774F5C" w:rsidRDefault="00774F5C" w:rsidP="006118A1">
            <w:pPr>
              <w:jc w:val="center"/>
              <w:rPr>
                <w:rFonts w:ascii="Arial" w:hAnsi="Arial" w:cs="Arial"/>
                <w:sz w:val="18"/>
                <w:szCs w:val="18"/>
              </w:rPr>
            </w:pPr>
            <w:r>
              <w:rPr>
                <w:rFonts w:ascii="Arial" w:hAnsi="Arial" w:cs="Arial"/>
                <w:sz w:val="18"/>
                <w:szCs w:val="18"/>
              </w:rPr>
              <w:t>65-74</w:t>
            </w:r>
          </w:p>
          <w:p w:rsidR="00774F5C" w:rsidRDefault="00774F5C" w:rsidP="006118A1">
            <w:pPr>
              <w:jc w:val="center"/>
              <w:rPr>
                <w:rFonts w:ascii="Arial" w:hAnsi="Arial" w:cs="Arial"/>
                <w:sz w:val="18"/>
                <w:szCs w:val="18"/>
              </w:rPr>
            </w:pPr>
            <w:r>
              <w:rPr>
                <w:rFonts w:ascii="Arial" w:hAnsi="Arial" w:cs="Arial"/>
                <w:sz w:val="18"/>
                <w:szCs w:val="18"/>
              </w:rPr>
              <w:t>75-84</w:t>
            </w:r>
          </w:p>
          <w:p w:rsidR="00774F5C" w:rsidRPr="00B04D62" w:rsidRDefault="00774F5C" w:rsidP="006118A1">
            <w:pPr>
              <w:spacing w:after="100"/>
              <w:jc w:val="center"/>
              <w:rPr>
                <w:rFonts w:ascii="Arial" w:hAnsi="Arial" w:cs="Arial"/>
                <w:sz w:val="18"/>
                <w:szCs w:val="18"/>
              </w:rPr>
            </w:pPr>
            <w:r>
              <w:rPr>
                <w:rFonts w:ascii="Arial" w:hAnsi="Arial" w:cs="Arial"/>
                <w:sz w:val="18"/>
                <w:szCs w:val="18"/>
              </w:rPr>
              <w:t>85+</w:t>
            </w:r>
          </w:p>
        </w:tc>
        <w:tc>
          <w:tcPr>
            <w:tcW w:w="1292"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61.1 (57-65)*</w:t>
            </w:r>
          </w:p>
          <w:p w:rsidR="00774F5C" w:rsidRDefault="00774F5C" w:rsidP="006118A1">
            <w:pPr>
              <w:jc w:val="center"/>
              <w:rPr>
                <w:rFonts w:ascii="Arial" w:hAnsi="Arial" w:cs="Arial"/>
                <w:sz w:val="18"/>
                <w:szCs w:val="18"/>
              </w:rPr>
            </w:pPr>
            <w:r>
              <w:rPr>
                <w:rFonts w:ascii="Arial" w:hAnsi="Arial" w:cs="Arial"/>
                <w:sz w:val="18"/>
                <w:szCs w:val="18"/>
              </w:rPr>
              <w:t>56.4 (52-61)</w:t>
            </w:r>
          </w:p>
          <w:p w:rsidR="00774F5C" w:rsidRDefault="00774F5C" w:rsidP="006118A1">
            <w:pPr>
              <w:jc w:val="center"/>
              <w:rPr>
                <w:rFonts w:ascii="Arial" w:hAnsi="Arial" w:cs="Arial"/>
                <w:sz w:val="18"/>
                <w:szCs w:val="18"/>
              </w:rPr>
            </w:pPr>
            <w:r>
              <w:rPr>
                <w:rFonts w:ascii="Arial" w:hAnsi="Arial" w:cs="Arial"/>
                <w:sz w:val="18"/>
                <w:szCs w:val="18"/>
              </w:rPr>
              <w:t>53.2 (49-58)</w:t>
            </w:r>
          </w:p>
          <w:p w:rsidR="00774F5C" w:rsidRDefault="00774F5C" w:rsidP="006118A1">
            <w:pPr>
              <w:jc w:val="center"/>
              <w:rPr>
                <w:rFonts w:ascii="Arial" w:hAnsi="Arial" w:cs="Arial"/>
                <w:sz w:val="18"/>
                <w:szCs w:val="18"/>
              </w:rPr>
            </w:pPr>
            <w:r>
              <w:rPr>
                <w:rFonts w:ascii="Arial" w:hAnsi="Arial" w:cs="Arial"/>
                <w:sz w:val="18"/>
                <w:szCs w:val="18"/>
              </w:rPr>
              <w:t>49.1 (45-53)</w:t>
            </w:r>
          </w:p>
          <w:p w:rsidR="00774F5C" w:rsidRDefault="00774F5C" w:rsidP="006118A1">
            <w:pPr>
              <w:jc w:val="center"/>
              <w:rPr>
                <w:rFonts w:ascii="Arial" w:hAnsi="Arial" w:cs="Arial"/>
                <w:sz w:val="18"/>
                <w:szCs w:val="18"/>
              </w:rPr>
            </w:pPr>
            <w:r>
              <w:rPr>
                <w:rFonts w:ascii="Arial" w:hAnsi="Arial" w:cs="Arial"/>
                <w:sz w:val="18"/>
                <w:szCs w:val="18"/>
              </w:rPr>
              <w:t>39.2 (38-41)</w:t>
            </w:r>
          </w:p>
          <w:p w:rsidR="00774F5C" w:rsidRDefault="00774F5C" w:rsidP="006118A1">
            <w:pPr>
              <w:jc w:val="center"/>
              <w:rPr>
                <w:rFonts w:ascii="Arial" w:hAnsi="Arial" w:cs="Arial"/>
                <w:sz w:val="18"/>
                <w:szCs w:val="18"/>
              </w:rPr>
            </w:pPr>
            <w:r>
              <w:rPr>
                <w:rFonts w:ascii="Arial" w:hAnsi="Arial" w:cs="Arial"/>
                <w:sz w:val="18"/>
                <w:szCs w:val="18"/>
              </w:rPr>
              <w:t>31.8 (30-34)</w:t>
            </w:r>
          </w:p>
          <w:p w:rsidR="00774F5C" w:rsidRPr="00B04D62" w:rsidRDefault="00774F5C" w:rsidP="006118A1">
            <w:pPr>
              <w:jc w:val="center"/>
              <w:rPr>
                <w:rFonts w:ascii="Arial" w:hAnsi="Arial" w:cs="Arial"/>
                <w:sz w:val="18"/>
                <w:szCs w:val="18"/>
              </w:rPr>
            </w:pPr>
            <w:r>
              <w:rPr>
                <w:rFonts w:ascii="Arial" w:hAnsi="Arial" w:cs="Arial"/>
                <w:sz w:val="18"/>
                <w:szCs w:val="18"/>
              </w:rPr>
              <w:t>27.1 (23-31)</w:t>
            </w:r>
          </w:p>
        </w:tc>
        <w:tc>
          <w:tcPr>
            <w:tcW w:w="1298" w:type="dxa"/>
            <w:tcBorders>
              <w:top w:val="nil"/>
              <w:left w:val="nil"/>
              <w:bottom w:val="nil"/>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35.6 (32-39)*</w:t>
            </w:r>
          </w:p>
          <w:p w:rsidR="00774F5C" w:rsidRDefault="00774F5C" w:rsidP="006118A1">
            <w:pPr>
              <w:jc w:val="center"/>
              <w:rPr>
                <w:rFonts w:ascii="Arial" w:hAnsi="Arial" w:cs="Arial"/>
                <w:sz w:val="18"/>
                <w:szCs w:val="18"/>
              </w:rPr>
            </w:pPr>
            <w:r>
              <w:rPr>
                <w:rFonts w:ascii="Arial" w:hAnsi="Arial" w:cs="Arial"/>
                <w:sz w:val="18"/>
                <w:szCs w:val="18"/>
              </w:rPr>
              <w:t>34.3 (32-36)</w:t>
            </w:r>
          </w:p>
          <w:p w:rsidR="00774F5C" w:rsidRDefault="00774F5C" w:rsidP="006118A1">
            <w:pPr>
              <w:jc w:val="center"/>
              <w:rPr>
                <w:rFonts w:ascii="Arial" w:hAnsi="Arial" w:cs="Arial"/>
                <w:sz w:val="18"/>
                <w:szCs w:val="18"/>
              </w:rPr>
            </w:pPr>
            <w:r>
              <w:rPr>
                <w:rFonts w:ascii="Arial" w:hAnsi="Arial" w:cs="Arial"/>
                <w:sz w:val="18"/>
                <w:szCs w:val="18"/>
              </w:rPr>
              <w:t>31.8 (30-34)</w:t>
            </w:r>
          </w:p>
          <w:p w:rsidR="00774F5C" w:rsidRDefault="00774F5C" w:rsidP="006118A1">
            <w:pPr>
              <w:jc w:val="center"/>
              <w:rPr>
                <w:rFonts w:ascii="Arial" w:hAnsi="Arial" w:cs="Arial"/>
                <w:sz w:val="18"/>
                <w:szCs w:val="18"/>
              </w:rPr>
            </w:pPr>
            <w:r>
              <w:rPr>
                <w:rFonts w:ascii="Arial" w:hAnsi="Arial" w:cs="Arial"/>
                <w:sz w:val="18"/>
                <w:szCs w:val="18"/>
              </w:rPr>
              <w:t>27.1 (25-29)</w:t>
            </w:r>
          </w:p>
          <w:p w:rsidR="00774F5C" w:rsidRDefault="00774F5C" w:rsidP="006118A1">
            <w:pPr>
              <w:jc w:val="center"/>
              <w:rPr>
                <w:rFonts w:ascii="Arial" w:hAnsi="Arial" w:cs="Arial"/>
                <w:sz w:val="18"/>
                <w:szCs w:val="18"/>
              </w:rPr>
            </w:pPr>
            <w:r>
              <w:rPr>
                <w:rFonts w:ascii="Arial" w:hAnsi="Arial" w:cs="Arial"/>
                <w:sz w:val="18"/>
                <w:szCs w:val="18"/>
              </w:rPr>
              <w:t>22.2 (21-23)</w:t>
            </w:r>
          </w:p>
          <w:p w:rsidR="00774F5C" w:rsidRDefault="00774F5C" w:rsidP="006118A1">
            <w:pPr>
              <w:jc w:val="center"/>
              <w:rPr>
                <w:rFonts w:ascii="Arial" w:hAnsi="Arial" w:cs="Arial"/>
                <w:sz w:val="18"/>
                <w:szCs w:val="18"/>
              </w:rPr>
            </w:pPr>
            <w:r>
              <w:rPr>
                <w:rFonts w:ascii="Arial" w:hAnsi="Arial" w:cs="Arial"/>
                <w:sz w:val="18"/>
                <w:szCs w:val="18"/>
              </w:rPr>
              <w:t>19.3 (18-21)</w:t>
            </w:r>
          </w:p>
          <w:p w:rsidR="00774F5C" w:rsidRPr="00B04D62" w:rsidRDefault="00774F5C" w:rsidP="006118A1">
            <w:pPr>
              <w:jc w:val="center"/>
              <w:rPr>
                <w:rFonts w:ascii="Arial" w:hAnsi="Arial" w:cs="Arial"/>
                <w:sz w:val="18"/>
                <w:szCs w:val="18"/>
              </w:rPr>
            </w:pPr>
            <w:r>
              <w:rPr>
                <w:rFonts w:ascii="Arial" w:hAnsi="Arial" w:cs="Arial"/>
                <w:sz w:val="18"/>
                <w:szCs w:val="18"/>
              </w:rPr>
              <w:t>14.5 (13-16)</w:t>
            </w:r>
          </w:p>
        </w:tc>
      </w:tr>
      <w:tr w:rsidR="00774F5C" w:rsidTr="006118A1">
        <w:tc>
          <w:tcPr>
            <w:tcW w:w="1138" w:type="dxa"/>
            <w:tcBorders>
              <w:top w:val="nil"/>
              <w:left w:val="nil"/>
              <w:bottom w:val="single" w:sz="4" w:space="0" w:color="auto"/>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Health2006</w:t>
            </w:r>
          </w:p>
          <w:p w:rsidR="00774F5C" w:rsidRPr="00B04D62" w:rsidRDefault="00C63F52" w:rsidP="006118A1">
            <w:pPr>
              <w:jc w:val="center"/>
              <w:rPr>
                <w:rFonts w:ascii="Arial" w:hAnsi="Arial" w:cs="Arial"/>
                <w:sz w:val="18"/>
                <w:szCs w:val="18"/>
              </w:rPr>
            </w:pPr>
            <w:r>
              <w:rPr>
                <w:rFonts w:ascii="Arial" w:hAnsi="Arial" w:cs="Arial"/>
                <w:sz w:val="18"/>
                <w:szCs w:val="18"/>
              </w:rPr>
              <w:fldChar w:fldCharType="begin" w:fldLock="1"/>
            </w:r>
            <w:r w:rsidR="000A12B7">
              <w:rPr>
                <w:rFonts w:ascii="Arial" w:hAnsi="Arial" w:cs="Arial"/>
                <w:sz w:val="18"/>
                <w:szCs w:val="18"/>
              </w:rPr>
              <w:instrText>ADDIN CSL_CITATION { "citationItems" : [ { "id" : "ITEM-1", "itemData" : { "DOI" : "10.1136/bmjopen-2011-000192", "abstract" : "To assess muscular fitness by hand grip strength (HGS) and lower limb extension power (LEP) and to explore associations with age, leisure time physical activity (LTPA) and body composition.", "author" : [ { "dropping-particle" : "", "family" : "Aadahl", "given" : "Mette", "non-dropping-particle" : "", "parse-names" : false, "suffix" : "" }, { "dropping-particle" : "", "family" : "Beyer", "given" : "Nina", "non-dropping-particle" : "", "parse-names" : false, "suffix" : "" }, { "dropping-particle" : "", "family" : "Linneberg", "given" : "Allan", "non-dropping-particle" : "", "parse-names" : false, "suffix" : "" }, { "dropping-particle" : "", "family" : "Thuesen", "given" : "Betina Heinsb\u00e6k", "non-dropping-particle" : "", "parse-names" : false, "suffix" : "" }, { "dropping-particle" : "", "family" : "J\u00f8rgensen", "given" : "Torben", "non-dropping-particle" : "", "parse-names" : false, "suffix" : "" } ], "container-title" : "BMJ open", "id" : "ITEM-1", "issue" : "2", "issued" : { "date-parts" : [ [ "2011", "1", "1" ] ] }, "page" : "e000192", "title" : "Grip strength and lower limb extension power in 19-72-year-old Danish men and women: the Health2006 study.", "type" : "article-journal", "volume" : "1" }, "uris" : [ "http://www.mendeley.com/documents/?uuid=d59a2849-bbfa-4b6c-9bb7-00299ac2a009" ] } ], "mendeley" : { "previouslyFormattedCitation" : "[7]" }, "properties" : { "noteIndex" : 0 }, "schema" : "https://github.com/citation-style-language/schema/raw/master/csl-citation.json" }</w:instrText>
            </w:r>
            <w:r>
              <w:rPr>
                <w:rFonts w:ascii="Arial" w:hAnsi="Arial" w:cs="Arial"/>
                <w:sz w:val="18"/>
                <w:szCs w:val="18"/>
              </w:rPr>
              <w:fldChar w:fldCharType="separate"/>
            </w:r>
            <w:r w:rsidR="00774F5C" w:rsidRPr="00774F5C">
              <w:rPr>
                <w:rFonts w:ascii="Arial" w:hAnsi="Arial" w:cs="Arial"/>
                <w:noProof/>
                <w:sz w:val="18"/>
                <w:szCs w:val="18"/>
              </w:rPr>
              <w:t>[7]</w:t>
            </w:r>
            <w:r>
              <w:rPr>
                <w:rFonts w:ascii="Arial" w:hAnsi="Arial" w:cs="Arial"/>
                <w:sz w:val="18"/>
                <w:szCs w:val="18"/>
              </w:rPr>
              <w:fldChar w:fldCharType="end"/>
            </w:r>
          </w:p>
        </w:tc>
        <w:tc>
          <w:tcPr>
            <w:tcW w:w="991" w:type="dxa"/>
            <w:tcBorders>
              <w:top w:val="nil"/>
              <w:left w:val="nil"/>
              <w:bottom w:val="single" w:sz="4" w:space="0" w:color="auto"/>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Denmark</w:t>
            </w:r>
          </w:p>
        </w:tc>
        <w:tc>
          <w:tcPr>
            <w:tcW w:w="708" w:type="dxa"/>
            <w:tcBorders>
              <w:top w:val="nil"/>
              <w:left w:val="nil"/>
              <w:bottom w:val="single" w:sz="4" w:space="0" w:color="auto"/>
              <w:right w:val="nil"/>
            </w:tcBorders>
            <w:shd w:val="clear" w:color="auto" w:fill="FFFFFF" w:themeFill="background1"/>
          </w:tcPr>
          <w:p w:rsidR="00774F5C" w:rsidRPr="00B04D62" w:rsidRDefault="00774F5C" w:rsidP="006118A1">
            <w:pPr>
              <w:jc w:val="center"/>
              <w:rPr>
                <w:rFonts w:ascii="Arial" w:hAnsi="Arial" w:cs="Arial"/>
                <w:sz w:val="18"/>
                <w:szCs w:val="18"/>
              </w:rPr>
            </w:pPr>
            <w:r>
              <w:rPr>
                <w:rFonts w:ascii="Arial" w:hAnsi="Arial" w:cs="Arial"/>
                <w:sz w:val="18"/>
                <w:szCs w:val="18"/>
              </w:rPr>
              <w:t>3471</w:t>
            </w:r>
          </w:p>
        </w:tc>
        <w:tc>
          <w:tcPr>
            <w:tcW w:w="1417" w:type="dxa"/>
            <w:tcBorders>
              <w:top w:val="nil"/>
              <w:left w:val="nil"/>
              <w:bottom w:val="single" w:sz="4" w:space="0" w:color="auto"/>
              <w:right w:val="nil"/>
            </w:tcBorders>
            <w:shd w:val="clear" w:color="auto" w:fill="FFFFFF" w:themeFill="background1"/>
          </w:tcPr>
          <w:p w:rsidR="00774F5C" w:rsidRDefault="00774F5C" w:rsidP="006118A1">
            <w:pPr>
              <w:jc w:val="center"/>
              <w:rPr>
                <w:rFonts w:ascii="Arial" w:hAnsi="Arial" w:cs="Arial"/>
                <w:sz w:val="18"/>
                <w:szCs w:val="18"/>
              </w:rPr>
            </w:pPr>
            <w:proofErr w:type="spellStart"/>
            <w:r>
              <w:rPr>
                <w:rFonts w:ascii="Arial" w:hAnsi="Arial" w:cs="Arial"/>
                <w:sz w:val="18"/>
                <w:szCs w:val="18"/>
              </w:rPr>
              <w:t>Jamar</w:t>
            </w:r>
            <w:proofErr w:type="spellEnd"/>
          </w:p>
        </w:tc>
        <w:tc>
          <w:tcPr>
            <w:tcW w:w="1131" w:type="dxa"/>
            <w:tcBorders>
              <w:top w:val="nil"/>
              <w:left w:val="nil"/>
              <w:bottom w:val="single" w:sz="4" w:space="0" w:color="auto"/>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Max grip strength of dominant hand after 3 attempts</w:t>
            </w:r>
          </w:p>
        </w:tc>
        <w:tc>
          <w:tcPr>
            <w:tcW w:w="1267" w:type="dxa"/>
            <w:tcBorders>
              <w:top w:val="nil"/>
              <w:left w:val="nil"/>
              <w:bottom w:val="single" w:sz="4" w:space="0" w:color="auto"/>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19-29</w:t>
            </w:r>
          </w:p>
          <w:p w:rsidR="00774F5C" w:rsidRDefault="00774F5C" w:rsidP="006118A1">
            <w:pPr>
              <w:jc w:val="center"/>
              <w:rPr>
                <w:rFonts w:ascii="Arial" w:hAnsi="Arial" w:cs="Arial"/>
                <w:sz w:val="18"/>
                <w:szCs w:val="18"/>
              </w:rPr>
            </w:pPr>
            <w:r>
              <w:rPr>
                <w:rFonts w:ascii="Arial" w:hAnsi="Arial" w:cs="Arial"/>
                <w:sz w:val="18"/>
                <w:szCs w:val="18"/>
              </w:rPr>
              <w:t>30-39</w:t>
            </w:r>
          </w:p>
          <w:p w:rsidR="00774F5C" w:rsidRDefault="00774F5C" w:rsidP="006118A1">
            <w:pPr>
              <w:jc w:val="center"/>
              <w:rPr>
                <w:rFonts w:ascii="Arial" w:hAnsi="Arial" w:cs="Arial"/>
                <w:sz w:val="18"/>
                <w:szCs w:val="18"/>
              </w:rPr>
            </w:pPr>
            <w:r>
              <w:rPr>
                <w:rFonts w:ascii="Arial" w:hAnsi="Arial" w:cs="Arial"/>
                <w:sz w:val="18"/>
                <w:szCs w:val="18"/>
              </w:rPr>
              <w:t>40-49</w:t>
            </w:r>
          </w:p>
          <w:p w:rsidR="00774F5C" w:rsidRDefault="00774F5C" w:rsidP="006118A1">
            <w:pPr>
              <w:jc w:val="center"/>
              <w:rPr>
                <w:rFonts w:ascii="Arial" w:hAnsi="Arial" w:cs="Arial"/>
                <w:sz w:val="18"/>
                <w:szCs w:val="18"/>
              </w:rPr>
            </w:pPr>
            <w:r>
              <w:rPr>
                <w:rFonts w:ascii="Arial" w:hAnsi="Arial" w:cs="Arial"/>
                <w:sz w:val="18"/>
                <w:szCs w:val="18"/>
              </w:rPr>
              <w:t>50-59</w:t>
            </w:r>
          </w:p>
          <w:p w:rsidR="00774F5C" w:rsidRPr="00B04D62" w:rsidRDefault="00774F5C" w:rsidP="006118A1">
            <w:pPr>
              <w:spacing w:after="100"/>
              <w:jc w:val="center"/>
              <w:rPr>
                <w:rFonts w:ascii="Arial" w:hAnsi="Arial" w:cs="Arial"/>
                <w:sz w:val="18"/>
                <w:szCs w:val="18"/>
              </w:rPr>
            </w:pPr>
            <w:r>
              <w:rPr>
                <w:rFonts w:ascii="Arial" w:hAnsi="Arial" w:cs="Arial"/>
                <w:sz w:val="18"/>
                <w:szCs w:val="18"/>
              </w:rPr>
              <w:t>60-72</w:t>
            </w:r>
          </w:p>
        </w:tc>
        <w:tc>
          <w:tcPr>
            <w:tcW w:w="1292" w:type="dxa"/>
            <w:tcBorders>
              <w:top w:val="nil"/>
              <w:left w:val="nil"/>
              <w:bottom w:val="single" w:sz="4" w:space="0" w:color="auto"/>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50.5 (8.2)</w:t>
            </w:r>
          </w:p>
          <w:p w:rsidR="00774F5C" w:rsidRDefault="00774F5C" w:rsidP="006118A1">
            <w:pPr>
              <w:jc w:val="center"/>
              <w:rPr>
                <w:rFonts w:ascii="Arial" w:hAnsi="Arial" w:cs="Arial"/>
                <w:sz w:val="18"/>
                <w:szCs w:val="18"/>
              </w:rPr>
            </w:pPr>
            <w:r>
              <w:rPr>
                <w:rFonts w:ascii="Arial" w:hAnsi="Arial" w:cs="Arial"/>
                <w:sz w:val="18"/>
                <w:szCs w:val="18"/>
              </w:rPr>
              <w:t>52.7 (7.7)</w:t>
            </w:r>
          </w:p>
          <w:p w:rsidR="00774F5C" w:rsidRDefault="00774F5C" w:rsidP="006118A1">
            <w:pPr>
              <w:jc w:val="center"/>
              <w:rPr>
                <w:rFonts w:ascii="Arial" w:hAnsi="Arial" w:cs="Arial"/>
                <w:sz w:val="18"/>
                <w:szCs w:val="18"/>
              </w:rPr>
            </w:pPr>
            <w:r>
              <w:rPr>
                <w:rFonts w:ascii="Arial" w:hAnsi="Arial" w:cs="Arial"/>
                <w:sz w:val="18"/>
                <w:szCs w:val="18"/>
              </w:rPr>
              <w:t>52.9 (7.1)</w:t>
            </w:r>
          </w:p>
          <w:p w:rsidR="00774F5C" w:rsidRDefault="00774F5C" w:rsidP="006118A1">
            <w:pPr>
              <w:jc w:val="center"/>
              <w:rPr>
                <w:rFonts w:ascii="Arial" w:hAnsi="Arial" w:cs="Arial"/>
                <w:sz w:val="18"/>
                <w:szCs w:val="18"/>
              </w:rPr>
            </w:pPr>
            <w:r>
              <w:rPr>
                <w:rFonts w:ascii="Arial" w:hAnsi="Arial" w:cs="Arial"/>
                <w:sz w:val="18"/>
                <w:szCs w:val="18"/>
              </w:rPr>
              <w:t>48.9 (7.0)</w:t>
            </w:r>
          </w:p>
          <w:p w:rsidR="00774F5C" w:rsidRPr="00B04D62" w:rsidRDefault="00774F5C" w:rsidP="006118A1">
            <w:pPr>
              <w:jc w:val="center"/>
              <w:rPr>
                <w:rFonts w:ascii="Arial" w:hAnsi="Arial" w:cs="Arial"/>
                <w:sz w:val="18"/>
                <w:szCs w:val="18"/>
              </w:rPr>
            </w:pPr>
            <w:r>
              <w:rPr>
                <w:rFonts w:ascii="Arial" w:hAnsi="Arial" w:cs="Arial"/>
                <w:sz w:val="18"/>
                <w:szCs w:val="18"/>
              </w:rPr>
              <w:t>44.4 (6.8)</w:t>
            </w:r>
          </w:p>
        </w:tc>
        <w:tc>
          <w:tcPr>
            <w:tcW w:w="1298" w:type="dxa"/>
            <w:tcBorders>
              <w:top w:val="nil"/>
              <w:left w:val="nil"/>
              <w:bottom w:val="single" w:sz="4" w:space="0" w:color="auto"/>
              <w:right w:val="nil"/>
            </w:tcBorders>
            <w:shd w:val="clear" w:color="auto" w:fill="FFFFFF" w:themeFill="background1"/>
          </w:tcPr>
          <w:p w:rsidR="00774F5C" w:rsidRDefault="00774F5C" w:rsidP="006118A1">
            <w:pPr>
              <w:jc w:val="center"/>
              <w:rPr>
                <w:rFonts w:ascii="Arial" w:hAnsi="Arial" w:cs="Arial"/>
                <w:sz w:val="18"/>
                <w:szCs w:val="18"/>
              </w:rPr>
            </w:pPr>
            <w:r>
              <w:rPr>
                <w:rFonts w:ascii="Arial" w:hAnsi="Arial" w:cs="Arial"/>
                <w:sz w:val="18"/>
                <w:szCs w:val="18"/>
              </w:rPr>
              <w:t>32.4 (5.1)</w:t>
            </w:r>
          </w:p>
          <w:p w:rsidR="00774F5C" w:rsidRDefault="00774F5C" w:rsidP="006118A1">
            <w:pPr>
              <w:jc w:val="center"/>
              <w:rPr>
                <w:rFonts w:ascii="Arial" w:hAnsi="Arial" w:cs="Arial"/>
                <w:sz w:val="18"/>
                <w:szCs w:val="18"/>
              </w:rPr>
            </w:pPr>
            <w:r>
              <w:rPr>
                <w:rFonts w:ascii="Arial" w:hAnsi="Arial" w:cs="Arial"/>
                <w:sz w:val="18"/>
                <w:szCs w:val="18"/>
              </w:rPr>
              <w:t>34.4 (5.8)</w:t>
            </w:r>
          </w:p>
          <w:p w:rsidR="00774F5C" w:rsidRDefault="00774F5C" w:rsidP="006118A1">
            <w:pPr>
              <w:jc w:val="center"/>
              <w:rPr>
                <w:rFonts w:ascii="Arial" w:hAnsi="Arial" w:cs="Arial"/>
                <w:sz w:val="18"/>
                <w:szCs w:val="18"/>
              </w:rPr>
            </w:pPr>
            <w:r>
              <w:rPr>
                <w:rFonts w:ascii="Arial" w:hAnsi="Arial" w:cs="Arial"/>
                <w:sz w:val="18"/>
                <w:szCs w:val="18"/>
              </w:rPr>
              <w:t>33.7 (5.4)</w:t>
            </w:r>
          </w:p>
          <w:p w:rsidR="00774F5C" w:rsidRDefault="00774F5C" w:rsidP="006118A1">
            <w:pPr>
              <w:jc w:val="center"/>
              <w:rPr>
                <w:rFonts w:ascii="Arial" w:hAnsi="Arial" w:cs="Arial"/>
                <w:sz w:val="18"/>
                <w:szCs w:val="18"/>
              </w:rPr>
            </w:pPr>
            <w:r>
              <w:rPr>
                <w:rFonts w:ascii="Arial" w:hAnsi="Arial" w:cs="Arial"/>
                <w:sz w:val="18"/>
                <w:szCs w:val="18"/>
              </w:rPr>
              <w:t>30.2 (5.5)</w:t>
            </w:r>
          </w:p>
          <w:p w:rsidR="00774F5C" w:rsidRPr="00B04D62" w:rsidRDefault="00774F5C" w:rsidP="006118A1">
            <w:pPr>
              <w:jc w:val="center"/>
              <w:rPr>
                <w:rFonts w:ascii="Arial" w:hAnsi="Arial" w:cs="Arial"/>
                <w:sz w:val="18"/>
                <w:szCs w:val="18"/>
              </w:rPr>
            </w:pPr>
            <w:r>
              <w:rPr>
                <w:rFonts w:ascii="Arial" w:hAnsi="Arial" w:cs="Arial"/>
                <w:sz w:val="18"/>
                <w:szCs w:val="18"/>
              </w:rPr>
              <w:t>26.7 (4.8)</w:t>
            </w:r>
          </w:p>
        </w:tc>
      </w:tr>
    </w:tbl>
    <w:p w:rsidR="00774F5C" w:rsidRPr="009605EC" w:rsidRDefault="00774F5C" w:rsidP="00774F5C">
      <w:pPr>
        <w:spacing w:after="0"/>
        <w:rPr>
          <w:rFonts w:ascii="Arial" w:hAnsi="Arial" w:cs="Arial"/>
          <w:sz w:val="20"/>
          <w:szCs w:val="20"/>
        </w:rPr>
      </w:pPr>
      <w:r w:rsidRPr="009605EC">
        <w:rPr>
          <w:rFonts w:ascii="Arial" w:hAnsi="Arial" w:cs="Arial"/>
          <w:sz w:val="20"/>
          <w:szCs w:val="20"/>
        </w:rPr>
        <w:t>*95% Confidence Intervals around the mean</w:t>
      </w:r>
    </w:p>
    <w:p w:rsidR="00774F5C" w:rsidRPr="00FF6109" w:rsidRDefault="00774F5C" w:rsidP="00774F5C">
      <w:pPr>
        <w:rPr>
          <w:rFonts w:ascii="Arial" w:hAnsi="Arial" w:cs="Arial"/>
          <w:sz w:val="20"/>
          <w:szCs w:val="20"/>
        </w:rPr>
      </w:pPr>
      <w:r w:rsidRPr="00FF6109">
        <w:rPr>
          <w:rFonts w:ascii="Arial" w:hAnsi="Arial" w:cs="Arial"/>
          <w:sz w:val="20"/>
          <w:szCs w:val="20"/>
        </w:rPr>
        <w:t>HAS:</w:t>
      </w:r>
      <w:r>
        <w:rPr>
          <w:rFonts w:ascii="Arial" w:hAnsi="Arial" w:cs="Arial"/>
          <w:sz w:val="20"/>
          <w:szCs w:val="20"/>
        </w:rPr>
        <w:t xml:space="preserve"> Hertfordshire Ageing Study; HCS: Hertfordshire Cohort Study; ELSA: English Longitudinal Study of Ageing; </w:t>
      </w:r>
      <w:proofErr w:type="spellStart"/>
      <w:r>
        <w:rPr>
          <w:rFonts w:ascii="Arial" w:hAnsi="Arial" w:cs="Arial"/>
          <w:sz w:val="20"/>
          <w:szCs w:val="20"/>
        </w:rPr>
        <w:t>InChianti</w:t>
      </w:r>
      <w:proofErr w:type="spellEnd"/>
      <w:r>
        <w:rPr>
          <w:rFonts w:ascii="Arial" w:hAnsi="Arial" w:cs="Arial"/>
          <w:sz w:val="20"/>
          <w:szCs w:val="20"/>
        </w:rPr>
        <w:t>:</w:t>
      </w:r>
      <w:r w:rsidRPr="003809FB">
        <w:rPr>
          <w:rFonts w:ascii="Arial" w:hAnsi="Arial" w:cs="Arial"/>
          <w:sz w:val="20"/>
          <w:szCs w:val="20"/>
        </w:rPr>
        <w:t xml:space="preserve"> </w:t>
      </w:r>
      <w:proofErr w:type="spellStart"/>
      <w:r w:rsidRPr="003809FB">
        <w:rPr>
          <w:rFonts w:ascii="Arial" w:hAnsi="Arial" w:cs="Arial"/>
          <w:sz w:val="20"/>
          <w:szCs w:val="20"/>
        </w:rPr>
        <w:t>Invecchiare</w:t>
      </w:r>
      <w:proofErr w:type="spellEnd"/>
      <w:r w:rsidRPr="003809FB">
        <w:rPr>
          <w:rFonts w:ascii="Arial" w:hAnsi="Arial" w:cs="Arial"/>
          <w:sz w:val="20"/>
          <w:szCs w:val="20"/>
        </w:rPr>
        <w:t xml:space="preserve"> in Chianti</w:t>
      </w:r>
      <w:r>
        <w:rPr>
          <w:rFonts w:ascii="Arial" w:hAnsi="Arial" w:cs="Arial"/>
          <w:sz w:val="20"/>
          <w:szCs w:val="20"/>
        </w:rPr>
        <w:t xml:space="preserve">; N: number, </w:t>
      </w:r>
      <w:proofErr w:type="spellStart"/>
      <w:proofErr w:type="gramStart"/>
      <w:r>
        <w:rPr>
          <w:rFonts w:ascii="Arial" w:hAnsi="Arial" w:cs="Arial"/>
          <w:sz w:val="20"/>
          <w:szCs w:val="20"/>
        </w:rPr>
        <w:t>sd</w:t>
      </w:r>
      <w:proofErr w:type="spellEnd"/>
      <w:proofErr w:type="gramEnd"/>
      <w:r>
        <w:rPr>
          <w:rFonts w:ascii="Arial" w:hAnsi="Arial" w:cs="Arial"/>
          <w:sz w:val="20"/>
          <w:szCs w:val="20"/>
        </w:rPr>
        <w:t>: standard deviation; kg: kilogram</w:t>
      </w:r>
    </w:p>
    <w:p w:rsidR="00774F5C" w:rsidRDefault="00774F5C" w:rsidP="00774F5C">
      <w:pPr>
        <w:rPr>
          <w:rFonts w:ascii="Arial" w:hAnsi="Arial" w:cs="Arial"/>
        </w:rPr>
      </w:pPr>
    </w:p>
    <w:p w:rsidR="00774F5C" w:rsidRDefault="00774F5C" w:rsidP="00774F5C">
      <w:pPr>
        <w:rPr>
          <w:rFonts w:ascii="Arial" w:hAnsi="Arial" w:cs="Arial"/>
        </w:rPr>
      </w:pPr>
    </w:p>
    <w:p w:rsidR="00774F5C" w:rsidRDefault="00774F5C" w:rsidP="00774F5C">
      <w:pPr>
        <w:rPr>
          <w:rFonts w:ascii="Arial" w:hAnsi="Arial" w:cs="Arial"/>
        </w:rPr>
      </w:pPr>
    </w:p>
    <w:p w:rsidR="00774F5C" w:rsidRDefault="00774F5C" w:rsidP="00774F5C">
      <w:pPr>
        <w:rPr>
          <w:rFonts w:ascii="Arial" w:hAnsi="Arial" w:cs="Arial"/>
        </w:rPr>
      </w:pPr>
    </w:p>
    <w:p w:rsidR="00774F5C" w:rsidRDefault="00774F5C" w:rsidP="00774F5C">
      <w:pPr>
        <w:rPr>
          <w:rFonts w:ascii="Arial" w:hAnsi="Arial" w:cs="Arial"/>
        </w:rPr>
      </w:pPr>
    </w:p>
    <w:p w:rsidR="00774F5C" w:rsidRDefault="00774F5C" w:rsidP="00774F5C">
      <w:pPr>
        <w:rPr>
          <w:rFonts w:ascii="Arial" w:hAnsi="Arial" w:cs="Arial"/>
        </w:rPr>
      </w:pPr>
    </w:p>
    <w:p w:rsidR="00774F5C" w:rsidRDefault="00774F5C" w:rsidP="00774F5C">
      <w:pPr>
        <w:rPr>
          <w:rFonts w:ascii="Arial" w:hAnsi="Arial" w:cs="Arial"/>
        </w:rPr>
      </w:pPr>
    </w:p>
    <w:p w:rsidR="00774F5C" w:rsidRDefault="00774F5C" w:rsidP="00774F5C">
      <w:pPr>
        <w:rPr>
          <w:rFonts w:ascii="Arial" w:hAnsi="Arial" w:cs="Arial"/>
        </w:rPr>
      </w:pPr>
    </w:p>
    <w:p w:rsidR="00774F5C" w:rsidRDefault="00774F5C" w:rsidP="00774F5C">
      <w:pPr>
        <w:rPr>
          <w:rFonts w:ascii="Arial" w:hAnsi="Arial" w:cs="Arial"/>
        </w:rPr>
      </w:pPr>
    </w:p>
    <w:p w:rsidR="00774F5C" w:rsidRPr="00407A14" w:rsidRDefault="00774F5C" w:rsidP="00774F5C">
      <w:pPr>
        <w:pStyle w:val="NormalWeb"/>
        <w:ind w:left="640" w:hanging="640"/>
        <w:rPr>
          <w:b/>
        </w:rPr>
      </w:pPr>
      <w:r w:rsidRPr="00407A14">
        <w:rPr>
          <w:b/>
        </w:rPr>
        <w:lastRenderedPageBreak/>
        <w:t>References</w:t>
      </w:r>
    </w:p>
    <w:p w:rsidR="000A12B7" w:rsidRPr="000A12B7" w:rsidRDefault="00C63F52">
      <w:pPr>
        <w:pStyle w:val="NormalWeb"/>
        <w:divId w:val="1447919416"/>
        <w:rPr>
          <w:rFonts w:ascii="Calibri" w:hAnsi="Calibri" w:cs="Calibri"/>
          <w:noProof/>
          <w:sz w:val="22"/>
        </w:rPr>
      </w:pPr>
      <w:r>
        <w:fldChar w:fldCharType="begin" w:fldLock="1"/>
      </w:r>
      <w:r w:rsidR="00774F5C">
        <w:instrText xml:space="preserve">ADDIN Mendeley Bibliography CSL_BIBLIOGRAPHY </w:instrText>
      </w:r>
      <w:r>
        <w:fldChar w:fldCharType="separate"/>
      </w:r>
      <w:r w:rsidR="000A12B7" w:rsidRPr="000A12B7">
        <w:rPr>
          <w:rFonts w:ascii="Calibri" w:hAnsi="Calibri" w:cs="Calibri"/>
          <w:noProof/>
          <w:sz w:val="22"/>
        </w:rPr>
        <w:t xml:space="preserve">1. Cooper R, Hardy R, Aihie Sayer A, Ben-Shlomo Y, Birnie K, Cooper C, Craig L, Deary IJ, Demakakos P, Gallacher J, McNeill G, Martin RM, Starr JM, Steptoe A, Kuh D: </w:t>
      </w:r>
      <w:r w:rsidR="000A12B7" w:rsidRPr="000A12B7">
        <w:rPr>
          <w:rFonts w:ascii="Calibri" w:hAnsi="Calibri" w:cs="Calibri"/>
          <w:b/>
          <w:bCs/>
          <w:noProof/>
          <w:sz w:val="22"/>
        </w:rPr>
        <w:t>Age and gender differences in physical capability levels from mid-life onwards: the harmonisation and meta-analysis of data from eight UK cohort studies.</w:t>
      </w:r>
      <w:r w:rsidR="000A12B7" w:rsidRPr="000A12B7">
        <w:rPr>
          <w:rFonts w:ascii="Calibri" w:hAnsi="Calibri" w:cs="Calibri"/>
          <w:noProof/>
          <w:sz w:val="22"/>
        </w:rPr>
        <w:t xml:space="preserve"> </w:t>
      </w:r>
      <w:r w:rsidR="000A12B7" w:rsidRPr="000A12B7">
        <w:rPr>
          <w:rFonts w:ascii="Calibri" w:hAnsi="Calibri" w:cs="Calibri"/>
          <w:i/>
          <w:iCs/>
          <w:noProof/>
          <w:sz w:val="22"/>
        </w:rPr>
        <w:t>PLoS One</w:t>
      </w:r>
      <w:r w:rsidR="000A12B7" w:rsidRPr="000A12B7">
        <w:rPr>
          <w:rFonts w:ascii="Calibri" w:hAnsi="Calibri" w:cs="Calibri"/>
          <w:noProof/>
          <w:sz w:val="22"/>
        </w:rPr>
        <w:t xml:space="preserve"> 2011, </w:t>
      </w:r>
      <w:r w:rsidR="000A12B7" w:rsidRPr="000A12B7">
        <w:rPr>
          <w:rFonts w:ascii="Calibri" w:hAnsi="Calibri" w:cs="Calibri"/>
          <w:b/>
          <w:bCs/>
          <w:noProof/>
          <w:sz w:val="22"/>
        </w:rPr>
        <w:t>6</w:t>
      </w:r>
      <w:r w:rsidR="000A12B7" w:rsidRPr="000A12B7">
        <w:rPr>
          <w:rFonts w:ascii="Calibri" w:hAnsi="Calibri" w:cs="Calibri"/>
          <w:noProof/>
          <w:sz w:val="22"/>
        </w:rPr>
        <w:t>:e27899.</w:t>
      </w:r>
    </w:p>
    <w:p w:rsidR="000A12B7" w:rsidRPr="000A12B7" w:rsidRDefault="000A12B7">
      <w:pPr>
        <w:pStyle w:val="NormalWeb"/>
        <w:divId w:val="1447919416"/>
        <w:rPr>
          <w:rFonts w:ascii="Calibri" w:hAnsi="Calibri" w:cs="Calibri"/>
          <w:noProof/>
          <w:sz w:val="22"/>
        </w:rPr>
      </w:pPr>
      <w:r w:rsidRPr="000A12B7">
        <w:rPr>
          <w:rFonts w:ascii="Calibri" w:hAnsi="Calibri" w:cs="Calibri"/>
          <w:noProof/>
          <w:sz w:val="22"/>
        </w:rPr>
        <w:t xml:space="preserve">2. Asher L, Aresu M, Falaschetti E, Mindell J: </w:t>
      </w:r>
      <w:r w:rsidRPr="000A12B7">
        <w:rPr>
          <w:rFonts w:ascii="Calibri" w:hAnsi="Calibri" w:cs="Calibri"/>
          <w:b/>
          <w:bCs/>
          <w:noProof/>
          <w:sz w:val="22"/>
        </w:rPr>
        <w:t>Most older pedestrians are unable to cross the road in time: a cross-sectional study.</w:t>
      </w:r>
      <w:r w:rsidRPr="000A12B7">
        <w:rPr>
          <w:rFonts w:ascii="Calibri" w:hAnsi="Calibri" w:cs="Calibri"/>
          <w:noProof/>
          <w:sz w:val="22"/>
        </w:rPr>
        <w:t xml:space="preserve"> </w:t>
      </w:r>
      <w:r w:rsidRPr="000A12B7">
        <w:rPr>
          <w:rFonts w:ascii="Calibri" w:hAnsi="Calibri" w:cs="Calibri"/>
          <w:i/>
          <w:iCs/>
          <w:noProof/>
          <w:sz w:val="22"/>
        </w:rPr>
        <w:t>Age Ageing</w:t>
      </w:r>
      <w:r w:rsidRPr="000A12B7">
        <w:rPr>
          <w:rFonts w:ascii="Calibri" w:hAnsi="Calibri" w:cs="Calibri"/>
          <w:noProof/>
          <w:sz w:val="22"/>
        </w:rPr>
        <w:t xml:space="preserve"> 2012, </w:t>
      </w:r>
      <w:r w:rsidRPr="000A12B7">
        <w:rPr>
          <w:rFonts w:ascii="Calibri" w:hAnsi="Calibri" w:cs="Calibri"/>
          <w:b/>
          <w:bCs/>
          <w:noProof/>
          <w:sz w:val="22"/>
        </w:rPr>
        <w:t>41</w:t>
      </w:r>
      <w:r w:rsidRPr="000A12B7">
        <w:rPr>
          <w:rFonts w:ascii="Calibri" w:hAnsi="Calibri" w:cs="Calibri"/>
          <w:noProof/>
          <w:sz w:val="22"/>
        </w:rPr>
        <w:t>:690–4.</w:t>
      </w:r>
    </w:p>
    <w:p w:rsidR="000A12B7" w:rsidRPr="000A12B7" w:rsidRDefault="000A12B7">
      <w:pPr>
        <w:pStyle w:val="NormalWeb"/>
        <w:divId w:val="1447919416"/>
        <w:rPr>
          <w:rFonts w:ascii="Calibri" w:hAnsi="Calibri" w:cs="Calibri"/>
          <w:noProof/>
          <w:sz w:val="22"/>
        </w:rPr>
      </w:pPr>
      <w:r w:rsidRPr="000A12B7">
        <w:rPr>
          <w:rFonts w:ascii="Calibri" w:hAnsi="Calibri" w:cs="Calibri"/>
          <w:noProof/>
          <w:sz w:val="22"/>
        </w:rPr>
        <w:t xml:space="preserve">3. Tolea MI, Costa PT, Terracciano A, Griswold M, Simonsick EM, Najjar SS, Scuteri A, Deiana B, Orrù M, Masala M, Uda M, Schlessinger D, Ferrucci L: </w:t>
      </w:r>
      <w:r w:rsidRPr="000A12B7">
        <w:rPr>
          <w:rFonts w:ascii="Calibri" w:hAnsi="Calibri" w:cs="Calibri"/>
          <w:b/>
          <w:bCs/>
          <w:noProof/>
          <w:sz w:val="22"/>
        </w:rPr>
        <w:t>Sex-Specific Correlates of Walking Speed in a Wide Age-ranged Population</w:t>
      </w:r>
      <w:r w:rsidRPr="000A12B7">
        <w:rPr>
          <w:rFonts w:ascii="Calibri" w:hAnsi="Calibri" w:cs="Calibri"/>
          <w:noProof/>
          <w:sz w:val="22"/>
        </w:rPr>
        <w:t xml:space="preserve">. </w:t>
      </w:r>
      <w:r w:rsidRPr="000A12B7">
        <w:rPr>
          <w:rFonts w:ascii="Calibri" w:hAnsi="Calibri" w:cs="Calibri"/>
          <w:i/>
          <w:iCs/>
          <w:noProof/>
          <w:sz w:val="22"/>
        </w:rPr>
        <w:t>Journal of Gerontology: Psychological Sciences</w:t>
      </w:r>
      <w:r w:rsidRPr="000A12B7">
        <w:rPr>
          <w:rFonts w:ascii="Calibri" w:hAnsi="Calibri" w:cs="Calibri"/>
          <w:noProof/>
          <w:sz w:val="22"/>
        </w:rPr>
        <w:t xml:space="preserve"> 2010, </w:t>
      </w:r>
      <w:r w:rsidRPr="000A12B7">
        <w:rPr>
          <w:rFonts w:ascii="Calibri" w:hAnsi="Calibri" w:cs="Calibri"/>
          <w:b/>
          <w:bCs/>
          <w:noProof/>
          <w:sz w:val="22"/>
        </w:rPr>
        <w:t>65B</w:t>
      </w:r>
      <w:r w:rsidRPr="000A12B7">
        <w:rPr>
          <w:rFonts w:ascii="Calibri" w:hAnsi="Calibri" w:cs="Calibri"/>
          <w:noProof/>
          <w:sz w:val="22"/>
        </w:rPr>
        <w:t>:174–184.</w:t>
      </w:r>
    </w:p>
    <w:p w:rsidR="000A12B7" w:rsidRPr="000A12B7" w:rsidRDefault="000A12B7">
      <w:pPr>
        <w:pStyle w:val="NormalWeb"/>
        <w:divId w:val="1447919416"/>
        <w:rPr>
          <w:rFonts w:ascii="Calibri" w:hAnsi="Calibri" w:cs="Calibri"/>
          <w:noProof/>
          <w:sz w:val="22"/>
        </w:rPr>
      </w:pPr>
      <w:r w:rsidRPr="000A12B7">
        <w:rPr>
          <w:rFonts w:ascii="Calibri" w:hAnsi="Calibri" w:cs="Calibri"/>
          <w:noProof/>
          <w:sz w:val="22"/>
        </w:rPr>
        <w:t xml:space="preserve">4. Shumway-cook A, Guralnik JM, Phillips CL, Coppin AK, Ciol MA, Bandinelli S, Ferrucci L: </w:t>
      </w:r>
      <w:r w:rsidRPr="000A12B7">
        <w:rPr>
          <w:rFonts w:ascii="Calibri" w:hAnsi="Calibri" w:cs="Calibri"/>
          <w:b/>
          <w:bCs/>
          <w:noProof/>
          <w:sz w:val="22"/>
        </w:rPr>
        <w:t>Age-associated Declines in complex Walking Task Performance: the Walking InChianti Toolkit</w:t>
      </w:r>
      <w:r w:rsidRPr="000A12B7">
        <w:rPr>
          <w:rFonts w:ascii="Calibri" w:hAnsi="Calibri" w:cs="Calibri"/>
          <w:noProof/>
          <w:sz w:val="22"/>
        </w:rPr>
        <w:t xml:space="preserve">. </w:t>
      </w:r>
      <w:r w:rsidRPr="000A12B7">
        <w:rPr>
          <w:rFonts w:ascii="Calibri" w:hAnsi="Calibri" w:cs="Calibri"/>
          <w:i/>
          <w:iCs/>
          <w:noProof/>
          <w:sz w:val="22"/>
        </w:rPr>
        <w:t>J Am Geriatr Soc</w:t>
      </w:r>
      <w:r w:rsidRPr="000A12B7">
        <w:rPr>
          <w:rFonts w:ascii="Calibri" w:hAnsi="Calibri" w:cs="Calibri"/>
          <w:noProof/>
          <w:sz w:val="22"/>
        </w:rPr>
        <w:t xml:space="preserve"> 2007, </w:t>
      </w:r>
      <w:r w:rsidRPr="000A12B7">
        <w:rPr>
          <w:rFonts w:ascii="Calibri" w:hAnsi="Calibri" w:cs="Calibri"/>
          <w:b/>
          <w:bCs/>
          <w:noProof/>
          <w:sz w:val="22"/>
        </w:rPr>
        <w:t>55</w:t>
      </w:r>
      <w:r w:rsidRPr="000A12B7">
        <w:rPr>
          <w:rFonts w:ascii="Calibri" w:hAnsi="Calibri" w:cs="Calibri"/>
          <w:noProof/>
          <w:sz w:val="22"/>
        </w:rPr>
        <w:t>:58–65.</w:t>
      </w:r>
    </w:p>
    <w:p w:rsidR="000A12B7" w:rsidRPr="000A12B7" w:rsidRDefault="000A12B7">
      <w:pPr>
        <w:pStyle w:val="NormalWeb"/>
        <w:divId w:val="1447919416"/>
        <w:rPr>
          <w:rFonts w:ascii="Calibri" w:hAnsi="Calibri" w:cs="Calibri"/>
          <w:noProof/>
          <w:sz w:val="22"/>
        </w:rPr>
      </w:pPr>
      <w:r w:rsidRPr="000A12B7">
        <w:rPr>
          <w:rFonts w:ascii="Calibri" w:hAnsi="Calibri" w:cs="Calibri"/>
          <w:noProof/>
          <w:sz w:val="22"/>
        </w:rPr>
        <w:t xml:space="preserve">5. Von Heideken Wagert P, Gustafson Y, Lundin-Olsson L: </w:t>
      </w:r>
      <w:r w:rsidRPr="000A12B7">
        <w:rPr>
          <w:rFonts w:ascii="Calibri" w:hAnsi="Calibri" w:cs="Calibri"/>
          <w:b/>
          <w:bCs/>
          <w:noProof/>
          <w:sz w:val="22"/>
        </w:rPr>
        <w:t>Large variations in walking, standing up from a chair, and balance in women and men over 85 years: an observational study.</w:t>
      </w:r>
      <w:r w:rsidRPr="000A12B7">
        <w:rPr>
          <w:rFonts w:ascii="Calibri" w:hAnsi="Calibri" w:cs="Calibri"/>
          <w:noProof/>
          <w:sz w:val="22"/>
        </w:rPr>
        <w:t xml:space="preserve"> </w:t>
      </w:r>
      <w:r w:rsidRPr="000A12B7">
        <w:rPr>
          <w:rFonts w:ascii="Calibri" w:hAnsi="Calibri" w:cs="Calibri"/>
          <w:i/>
          <w:iCs/>
          <w:noProof/>
          <w:sz w:val="22"/>
        </w:rPr>
        <w:t>Aust J Physiother</w:t>
      </w:r>
      <w:r w:rsidRPr="000A12B7">
        <w:rPr>
          <w:rFonts w:ascii="Calibri" w:hAnsi="Calibri" w:cs="Calibri"/>
          <w:noProof/>
          <w:sz w:val="22"/>
        </w:rPr>
        <w:t xml:space="preserve"> 2009, </w:t>
      </w:r>
      <w:r w:rsidRPr="000A12B7">
        <w:rPr>
          <w:rFonts w:ascii="Calibri" w:hAnsi="Calibri" w:cs="Calibri"/>
          <w:b/>
          <w:bCs/>
          <w:noProof/>
          <w:sz w:val="22"/>
        </w:rPr>
        <w:t>55</w:t>
      </w:r>
      <w:r w:rsidRPr="000A12B7">
        <w:rPr>
          <w:rFonts w:ascii="Calibri" w:hAnsi="Calibri" w:cs="Calibri"/>
          <w:noProof/>
          <w:sz w:val="22"/>
        </w:rPr>
        <w:t>:39–45.</w:t>
      </w:r>
    </w:p>
    <w:p w:rsidR="000A12B7" w:rsidRPr="000A12B7" w:rsidRDefault="000A12B7">
      <w:pPr>
        <w:pStyle w:val="NormalWeb"/>
        <w:divId w:val="1447919416"/>
        <w:rPr>
          <w:rFonts w:ascii="Calibri" w:hAnsi="Calibri" w:cs="Calibri"/>
          <w:noProof/>
          <w:sz w:val="22"/>
        </w:rPr>
      </w:pPr>
      <w:r w:rsidRPr="000A12B7">
        <w:rPr>
          <w:rFonts w:ascii="Calibri" w:hAnsi="Calibri" w:cs="Calibri"/>
          <w:noProof/>
          <w:sz w:val="22"/>
        </w:rPr>
        <w:t xml:space="preserve">6. Lauretani F, Russo CR, Bandinelli S, Bartali B, Cavazzini C, Di Iorio A, Corsi AM, Rantanen T, Guralnik JM, Ferrucci L: </w:t>
      </w:r>
      <w:r w:rsidRPr="000A12B7">
        <w:rPr>
          <w:rFonts w:ascii="Calibri" w:hAnsi="Calibri" w:cs="Calibri"/>
          <w:b/>
          <w:bCs/>
          <w:noProof/>
          <w:sz w:val="22"/>
        </w:rPr>
        <w:t>Age-associated changes in skeletal muscles and their effect on mobility: an operational diagnosis of sarcopenia.</w:t>
      </w:r>
      <w:r w:rsidRPr="000A12B7">
        <w:rPr>
          <w:rFonts w:ascii="Calibri" w:hAnsi="Calibri" w:cs="Calibri"/>
          <w:noProof/>
          <w:sz w:val="22"/>
        </w:rPr>
        <w:t xml:space="preserve"> </w:t>
      </w:r>
      <w:r w:rsidRPr="000A12B7">
        <w:rPr>
          <w:rFonts w:ascii="Calibri" w:hAnsi="Calibri" w:cs="Calibri"/>
          <w:i/>
          <w:iCs/>
          <w:noProof/>
          <w:sz w:val="22"/>
        </w:rPr>
        <w:t>J Appl Physiol</w:t>
      </w:r>
      <w:r w:rsidRPr="000A12B7">
        <w:rPr>
          <w:rFonts w:ascii="Calibri" w:hAnsi="Calibri" w:cs="Calibri"/>
          <w:noProof/>
          <w:sz w:val="22"/>
        </w:rPr>
        <w:t xml:space="preserve"> 2003, </w:t>
      </w:r>
      <w:r w:rsidRPr="000A12B7">
        <w:rPr>
          <w:rFonts w:ascii="Calibri" w:hAnsi="Calibri" w:cs="Calibri"/>
          <w:b/>
          <w:bCs/>
          <w:noProof/>
          <w:sz w:val="22"/>
        </w:rPr>
        <w:t>95</w:t>
      </w:r>
      <w:r w:rsidRPr="000A12B7">
        <w:rPr>
          <w:rFonts w:ascii="Calibri" w:hAnsi="Calibri" w:cs="Calibri"/>
          <w:noProof/>
          <w:sz w:val="22"/>
        </w:rPr>
        <w:t>:1851–60.</w:t>
      </w:r>
    </w:p>
    <w:p w:rsidR="000A12B7" w:rsidRPr="000A12B7" w:rsidRDefault="000A12B7">
      <w:pPr>
        <w:pStyle w:val="NormalWeb"/>
        <w:divId w:val="1447919416"/>
        <w:rPr>
          <w:rFonts w:ascii="Calibri" w:hAnsi="Calibri" w:cs="Calibri"/>
          <w:noProof/>
          <w:sz w:val="22"/>
        </w:rPr>
      </w:pPr>
      <w:r w:rsidRPr="000A12B7">
        <w:rPr>
          <w:rFonts w:ascii="Calibri" w:hAnsi="Calibri" w:cs="Calibri"/>
          <w:noProof/>
          <w:sz w:val="22"/>
        </w:rPr>
        <w:t xml:space="preserve">7. Aadahl M, Beyer N, Linneberg A, Thuesen BH, Jørgensen T: </w:t>
      </w:r>
      <w:r w:rsidRPr="000A12B7">
        <w:rPr>
          <w:rFonts w:ascii="Calibri" w:hAnsi="Calibri" w:cs="Calibri"/>
          <w:b/>
          <w:bCs/>
          <w:noProof/>
          <w:sz w:val="22"/>
        </w:rPr>
        <w:t>Grip strength and lower limb extension power in 19-72-year-old Danish men and women: the Health2006 study.</w:t>
      </w:r>
      <w:r w:rsidRPr="000A12B7">
        <w:rPr>
          <w:rFonts w:ascii="Calibri" w:hAnsi="Calibri" w:cs="Calibri"/>
          <w:noProof/>
          <w:sz w:val="22"/>
        </w:rPr>
        <w:t xml:space="preserve"> </w:t>
      </w:r>
      <w:r w:rsidRPr="000A12B7">
        <w:rPr>
          <w:rFonts w:ascii="Calibri" w:hAnsi="Calibri" w:cs="Calibri"/>
          <w:i/>
          <w:iCs/>
          <w:noProof/>
          <w:sz w:val="22"/>
        </w:rPr>
        <w:t>BMJ open</w:t>
      </w:r>
      <w:r w:rsidRPr="000A12B7">
        <w:rPr>
          <w:rFonts w:ascii="Calibri" w:hAnsi="Calibri" w:cs="Calibri"/>
          <w:noProof/>
          <w:sz w:val="22"/>
        </w:rPr>
        <w:t xml:space="preserve"> 2011, </w:t>
      </w:r>
      <w:r w:rsidRPr="000A12B7">
        <w:rPr>
          <w:rFonts w:ascii="Calibri" w:hAnsi="Calibri" w:cs="Calibri"/>
          <w:b/>
          <w:bCs/>
          <w:noProof/>
          <w:sz w:val="22"/>
        </w:rPr>
        <w:t>1</w:t>
      </w:r>
      <w:r w:rsidRPr="000A12B7">
        <w:rPr>
          <w:rFonts w:ascii="Calibri" w:hAnsi="Calibri" w:cs="Calibri"/>
          <w:noProof/>
          <w:sz w:val="22"/>
        </w:rPr>
        <w:t xml:space="preserve">:e000192. </w:t>
      </w:r>
    </w:p>
    <w:p w:rsidR="00774F5C" w:rsidRDefault="00C63F52" w:rsidP="000A12B7">
      <w:pPr>
        <w:pStyle w:val="NormalWeb"/>
        <w:divId w:val="554701365"/>
      </w:pPr>
      <w:r>
        <w:fldChar w:fldCharType="end"/>
      </w:r>
    </w:p>
    <w:p w:rsidR="00774F5C" w:rsidRDefault="00774F5C"/>
    <w:sectPr w:rsidR="00774F5C" w:rsidSect="00C63F5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4F5C"/>
    <w:rsid w:val="000A12B7"/>
    <w:rsid w:val="0050417C"/>
    <w:rsid w:val="00774F5C"/>
    <w:rsid w:val="0081245A"/>
    <w:rsid w:val="00926943"/>
    <w:rsid w:val="009F2581"/>
    <w:rsid w:val="00B74433"/>
    <w:rsid w:val="00C63F52"/>
    <w:rsid w:val="00E40F3D"/>
    <w:rsid w:val="00EE58C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F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F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74F5C"/>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F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F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74F5C"/>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593857292">
      <w:bodyDiv w:val="1"/>
      <w:marLeft w:val="0"/>
      <w:marRight w:val="0"/>
      <w:marTop w:val="0"/>
      <w:marBottom w:val="0"/>
      <w:divBdr>
        <w:top w:val="none" w:sz="0" w:space="0" w:color="auto"/>
        <w:left w:val="none" w:sz="0" w:space="0" w:color="auto"/>
        <w:bottom w:val="none" w:sz="0" w:space="0" w:color="auto"/>
        <w:right w:val="none" w:sz="0" w:space="0" w:color="auto"/>
      </w:divBdr>
      <w:divsChild>
        <w:div w:id="1309089589">
          <w:marLeft w:val="0"/>
          <w:marRight w:val="0"/>
          <w:marTop w:val="0"/>
          <w:marBottom w:val="0"/>
          <w:divBdr>
            <w:top w:val="none" w:sz="0" w:space="0" w:color="auto"/>
            <w:left w:val="none" w:sz="0" w:space="0" w:color="auto"/>
            <w:bottom w:val="none" w:sz="0" w:space="0" w:color="auto"/>
            <w:right w:val="none" w:sz="0" w:space="0" w:color="auto"/>
          </w:divBdr>
          <w:divsChild>
            <w:div w:id="858349894">
              <w:marLeft w:val="0"/>
              <w:marRight w:val="0"/>
              <w:marTop w:val="0"/>
              <w:marBottom w:val="0"/>
              <w:divBdr>
                <w:top w:val="none" w:sz="0" w:space="0" w:color="auto"/>
                <w:left w:val="none" w:sz="0" w:space="0" w:color="auto"/>
                <w:bottom w:val="none" w:sz="0" w:space="0" w:color="auto"/>
                <w:right w:val="none" w:sz="0" w:space="0" w:color="auto"/>
              </w:divBdr>
              <w:divsChild>
                <w:div w:id="554701365">
                  <w:marLeft w:val="0"/>
                  <w:marRight w:val="0"/>
                  <w:marTop w:val="0"/>
                  <w:marBottom w:val="0"/>
                  <w:divBdr>
                    <w:top w:val="none" w:sz="0" w:space="0" w:color="auto"/>
                    <w:left w:val="none" w:sz="0" w:space="0" w:color="auto"/>
                    <w:bottom w:val="none" w:sz="0" w:space="0" w:color="auto"/>
                    <w:right w:val="none" w:sz="0" w:space="0" w:color="auto"/>
                  </w:divBdr>
                  <w:divsChild>
                    <w:div w:id="14479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6524</Words>
  <Characters>37192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43629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Keevil</dc:creator>
  <cp:keywords/>
  <dc:description/>
  <cp:lastModifiedBy>jmyanoc</cp:lastModifiedBy>
  <cp:revision>4</cp:revision>
  <dcterms:created xsi:type="dcterms:W3CDTF">2013-08-07T14:12:00Z</dcterms:created>
  <dcterms:modified xsi:type="dcterms:W3CDTF">2013-09-09T23:55:00Z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victoria.keevil@talk21.com@www.mendeley.com</vt:lpwstr>
  </property>
  <property fmtid="{D5CDD505-2E9C-101B-9397-08002B2CF9AE}" pid="4" name="Mendeley Citation Style_1">
    <vt:lpwstr>http://www.zotero.org/styles/bmc-geriatrics</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http://www.zotero.org/styles/asa</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http://www.zotero.org/styles/bmc-geriatrics</vt:lpwstr>
  </property>
  <property fmtid="{D5CDD505-2E9C-101B-9397-08002B2CF9AE}" pid="10" name="Mendeley Recent Style Name 2_1">
    <vt:lpwstr>BMC Geriatrics</vt:lpwstr>
  </property>
  <property fmtid="{D5CDD505-2E9C-101B-9397-08002B2CF9AE}" pid="11" name="Mendeley Recent Style Id 3_1">
    <vt:lpwstr>http://www.zotero.org/styles/british-journal-of-cancer</vt:lpwstr>
  </property>
  <property fmtid="{D5CDD505-2E9C-101B-9397-08002B2CF9AE}" pid="12" name="Mendeley Recent Style Name 3_1">
    <vt:lpwstr>British Journal of Cancer</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http://www.zotero.org/styles/vancouversquare</vt:lpwstr>
  </property>
  <property fmtid="{D5CDD505-2E9C-101B-9397-08002B2CF9AE}" pid="24" name="Mendeley Recent Style Name 9_1">
    <vt:lpwstr>Vancouversquare</vt:lpwstr>
  </property>
</Properties>
</file>