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df" ContentType="application/pdf"/>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7D1" w:rsidRPr="00EC7A8B" w:rsidRDefault="00E757D1" w:rsidP="00E757D1">
      <w:pPr>
        <w:jc w:val="both"/>
        <w:rPr>
          <w:b/>
        </w:rPr>
      </w:pPr>
      <w:r w:rsidRPr="00EC7A8B">
        <w:rPr>
          <w:b/>
        </w:rPr>
        <w:t>Estimating mutation rate between epidemiologically linked pairs</w:t>
      </w:r>
    </w:p>
    <w:p w:rsidR="00E757D1" w:rsidRPr="00EC7A8B" w:rsidRDefault="00E757D1" w:rsidP="00E757D1">
      <w:pPr>
        <w:jc w:val="both"/>
        <w:rPr>
          <w:iCs/>
        </w:rPr>
      </w:pPr>
      <w:r w:rsidRPr="00EC7A8B">
        <w:t>The mutation rate (</w:t>
      </w:r>
      <w:r w:rsidRPr="00EC7A8B">
        <w:rPr>
          <w:i/>
          <w:iCs/>
        </w:rPr>
        <w:sym w:font="Symbol" w:char="F06D"/>
      </w:r>
      <w:r w:rsidRPr="00EC7A8B">
        <w:t xml:space="preserve">) was estimated using a similar approach to </w:t>
      </w:r>
      <w:proofErr w:type="gramStart"/>
      <w:r w:rsidRPr="00EC7A8B">
        <w:t>Ford</w:t>
      </w:r>
      <w:proofErr w:type="gramEnd"/>
      <w:r w:rsidRPr="00EC7A8B">
        <w:t xml:space="preserve"> </w:t>
      </w:r>
      <w:r w:rsidRPr="00EC7A8B">
        <w:rPr>
          <w:i/>
        </w:rPr>
        <w:t xml:space="preserve">et. </w:t>
      </w:r>
      <w:proofErr w:type="gramStart"/>
      <w:r w:rsidRPr="00EC7A8B">
        <w:rPr>
          <w:i/>
        </w:rPr>
        <w:t>al</w:t>
      </w:r>
      <w:proofErr w:type="gramEnd"/>
      <w:r w:rsidRPr="00EC7A8B">
        <w:t xml:space="preserve"> </w:t>
      </w:r>
      <w:r w:rsidR="007419F0" w:rsidRPr="00EC7A8B">
        <w:fldChar w:fldCharType="begin">
          <w:fldData xml:space="preserve">PEVuZE5vdGU+PENpdGU+PEF1dGhvcj5Gb3JkPC9BdXRob3I+PFllYXI+MjAxMTwvWWVhcj48UmVj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</w:fldData>
        </w:fldChar>
      </w:r>
      <w:r>
        <w:instrText xml:space="preserve"> ADDIN EN.CITE </w:instrText>
      </w:r>
      <w:r w:rsidR="007419F0">
        <w:fldChar w:fldCharType="begin">
          <w:fldData xml:space="preserve">PEVuZE5vdGU+PENpdGU+PEF1dGhvcj5Gb3JkPC9BdXRob3I+PFllYXI+MjAxMTwvWWVhcj48UmVj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</w:fldData>
        </w:fldChar>
      </w:r>
      <w:r>
        <w:instrText xml:space="preserve"> ADDIN EN.CITE.DATA </w:instrText>
      </w:r>
      <w:r w:rsidR="007419F0">
        <w:fldChar w:fldCharType="end"/>
      </w:r>
      <w:r w:rsidR="007419F0" w:rsidRPr="00EC7A8B">
        <w:fldChar w:fldCharType="separate"/>
      </w:r>
      <w:r>
        <w:rPr>
          <w:noProof/>
        </w:rPr>
        <w:t>[</w:t>
      </w:r>
      <w:hyperlink w:anchor="_ENREF_9" w:tooltip="Ford, 2011 #35" w:history="1">
        <w:r>
          <w:rPr>
            <w:noProof/>
          </w:rPr>
          <w:t>9</w:t>
        </w:r>
      </w:hyperlink>
      <w:r>
        <w:rPr>
          <w:noProof/>
        </w:rPr>
        <w:t>]</w:t>
      </w:r>
      <w:r w:rsidR="007419F0" w:rsidRPr="00EC7A8B">
        <w:fldChar w:fldCharType="end"/>
      </w:r>
      <w:r w:rsidRPr="00EC7A8B">
        <w:t xml:space="preserve"> with number of mutations (</w:t>
      </w:r>
      <w:r w:rsidRPr="00EC7A8B">
        <w:rPr>
          <w:i/>
          <w:iCs/>
        </w:rPr>
        <w:t xml:space="preserve">m) </w:t>
      </w:r>
      <w:r w:rsidRPr="00EC7A8B">
        <w:t>in a genome of known size (</w:t>
      </w:r>
      <w:r w:rsidRPr="00EC7A8B">
        <w:rPr>
          <w:i/>
          <w:iCs/>
        </w:rPr>
        <w:t>N</w:t>
      </w:r>
      <w:r w:rsidRPr="00EC7A8B">
        <w:t>) over time in days (</w:t>
      </w:r>
      <w:r w:rsidRPr="00EC7A8B">
        <w:rPr>
          <w:i/>
          <w:iCs/>
        </w:rPr>
        <w:t>t</w:t>
      </w:r>
      <w:r w:rsidRPr="00EC7A8B">
        <w:t>) (</w:t>
      </w:r>
      <w:r w:rsidRPr="00EC7A8B">
        <w:rPr>
          <w:i/>
          <w:iCs/>
        </w:rPr>
        <w:sym w:font="Symbol" w:char="F06D"/>
      </w:r>
      <w:r w:rsidRPr="00EC7A8B">
        <w:rPr>
          <w:i/>
          <w:iCs/>
        </w:rPr>
        <w:t>=m/(N*t</w:t>
      </w:r>
      <w:r w:rsidRPr="00EC7A8B">
        <w:rPr>
          <w:iCs/>
        </w:rPr>
        <w:t xml:space="preserve">)).   </w:t>
      </w:r>
      <w:r w:rsidRPr="00EC7A8B">
        <w:t xml:space="preserve">The number of mutations was estimated from the number of </w:t>
      </w:r>
      <w:proofErr w:type="spellStart"/>
      <w:r w:rsidRPr="00EC7A8B">
        <w:t>SNPs</w:t>
      </w:r>
      <w:proofErr w:type="spellEnd"/>
      <w:r w:rsidRPr="00EC7A8B">
        <w:t xml:space="preserve"> detected in the secondary case patient isolate but not in the source case patient. To account for uncertainties in mutation detection, all mutation rates were calculated with an interval estimate of +/- 1 SNP. Genome coverage (</w:t>
      </w:r>
      <w:r w:rsidRPr="00EC7A8B">
        <w:rPr>
          <w:i/>
          <w:iCs/>
        </w:rPr>
        <w:t>N</w:t>
      </w:r>
      <w:r w:rsidRPr="00EC7A8B">
        <w:t xml:space="preserve">) was determined from the coverage of the mapped reads to the reference genome. </w:t>
      </w:r>
    </w:p>
    <w:p w:rsidR="00E757D1" w:rsidRPr="00EC7A8B" w:rsidRDefault="00E757D1" w:rsidP="00E757D1">
      <w:pPr>
        <w:jc w:val="both"/>
      </w:pPr>
    </w:p>
    <w:p w:rsidR="00E757D1" w:rsidRPr="00EC7A8B" w:rsidRDefault="00E757D1" w:rsidP="00E757D1">
      <w:pPr>
        <w:jc w:val="both"/>
      </w:pPr>
      <w:r w:rsidRPr="00EC7A8B">
        <w:t>The time span in which the bacterial isolate accumulated mutations in a patient starts at transmission and ends at isolation. Since we do not know the date of transmission, this has to be estimated. We can estimate the minimum time to be the interval between diagnosis of the source case patient and the secondary case patient. However, there is an additional unknown time between transmission and diagnosis. In order to quantify the diagnostic delay, we used epidemiological data of 688 source cases from the Netherlands Tuberculosis Register (NTR) as described in a recent publication</w:t>
      </w:r>
      <w:bookmarkStart w:id="0" w:name="OLE_LINK1"/>
      <w:r w:rsidRPr="00EC7A8B">
        <w:t xml:space="preserve"> </w:t>
      </w:r>
      <w:r w:rsidR="007419F0" w:rsidRPr="00EC7A8B">
        <w:fldChar w:fldCharType="begin"/>
      </w:r>
      <w:r>
        <w:instrText xml:space="preserve"> ADDIN EN.CITE &lt;EndNote&gt;&lt;Cite&gt;&lt;Author&gt;Borgdorff&lt;/Author&gt;&lt;Year&gt;2011&lt;/Year&gt;&lt;RecNum&gt;1151&lt;/RecNum&gt;&lt;DisplayText&gt;[35]&lt;/DisplayText&gt;&lt;record&gt;&lt;rec-number&gt;1151&lt;/rec-number&gt;&lt;foreign-keys&gt;&lt;key app="EN" db-id="dz9ed9w9txsfd3e9xspv2v9gfx00xfp92fef"&gt;1151&lt;/key&gt;&lt;/foreign-keys&gt;&lt;ref-type name="Journal Article"&gt;17&lt;/ref-type&gt;&lt;contributors&gt;&lt;authors&gt;&lt;author&gt;Borgdorff, M. W.&lt;/author&gt;&lt;author&gt;Sebek, M.&lt;/author&gt;&lt;author&gt;Geskus, R. B.&lt;/author&gt;&lt;author&gt;Kremer, K.&lt;/author&gt;&lt;author&gt;Kalisvaart, N.&lt;/author&gt;&lt;author&gt;van Soolingen, D.&lt;/author&gt;&lt;/authors&gt;&lt;/contributors&gt;&lt;auth-address&gt;Department of Clinical Epidemiology, Biostatistics and Bioinformatics, Academic Medical Center, University of Amsterdam, Amsterdam, The Netherlands. mborgdorff@ggd.amsterdam.nl&lt;/auth-address&gt;&lt;titles&gt;&lt;title&gt;The incubation period distribution of tuberculosis estimated with a molecular epidemiological approach&lt;/title&gt;&lt;secondary-title&gt;Int J Epidemiol&lt;/secondary-title&gt;&lt;/titles&gt;&lt;periodical&gt;&lt;full-title&gt;Int J Epidemiol&lt;/full-title&gt;&lt;/periodical&gt;&lt;pages&gt;964-70&lt;/pages&gt;&lt;volume&gt;40&lt;/volume&gt;&lt;number&gt;4&lt;/number&gt;&lt;edition&gt;2011/03/29&lt;/edition&gt;&lt;dates&gt;&lt;year&gt;2011&lt;/year&gt;&lt;pub-dates&gt;&lt;date&gt;Aug&lt;/date&gt;&lt;/pub-dates&gt;&lt;/dates&gt;&lt;isbn&gt;1464-3685 (Electronic)&amp;#xD;0300-5771 (Linking)&lt;/isbn&gt;&lt;accession-num&gt;21441552&lt;/accession-num&gt;&lt;urls&gt;&lt;related-urls&gt;&lt;url&gt;http://www.ncbi.nlm.nih.gov/entrez/query.fcgi?cmd=Retrieve&amp;amp;db=PubMed&amp;amp;dopt=Citation&amp;amp;list_uids=21441552&lt;/url&gt;&lt;/related-urls&gt;&lt;/urls&gt;&lt;electronic-resource-num&gt;dyr058 [pii]&amp;#xD;10.1093/ije/dyr058&lt;/electronic-resource-num&gt;&lt;language&gt;eng&lt;/language&gt;&lt;/record&gt;&lt;/Cite&gt;&lt;/EndNote&gt;</w:instrText>
      </w:r>
      <w:r w:rsidR="007419F0" w:rsidRPr="00EC7A8B">
        <w:fldChar w:fldCharType="separate"/>
      </w:r>
      <w:r>
        <w:rPr>
          <w:noProof/>
        </w:rPr>
        <w:t>[</w:t>
      </w:r>
      <w:hyperlink w:anchor="_ENREF_35" w:tooltip="Borgdorff, 2011 #1151" w:history="1">
        <w:r>
          <w:rPr>
            <w:noProof/>
          </w:rPr>
          <w:t>35</w:t>
        </w:r>
      </w:hyperlink>
      <w:r>
        <w:rPr>
          <w:noProof/>
        </w:rPr>
        <w:t>]</w:t>
      </w:r>
      <w:r w:rsidR="007419F0" w:rsidRPr="00EC7A8B">
        <w:fldChar w:fldCharType="end"/>
      </w:r>
      <w:bookmarkEnd w:id="0"/>
      <w:r w:rsidRPr="00EC7A8B">
        <w:t xml:space="preserve">. The lower boundary of the time frame was estimated to be 3.5 days (doctor’s delay only, first quartile), whereas the upper boundary was estimated to be 130 days (doctor’s delay and patient’s delay, third quartile) </w:t>
      </w:r>
      <w:r w:rsidR="007419F0" w:rsidRPr="00EC7A8B">
        <w:fldChar w:fldCharType="begin"/>
      </w:r>
      <w:r>
        <w:instrText xml:space="preserve"> ADDIN EN.CITE &lt;EndNote&gt;&lt;Cite&gt;&lt;Author&gt;Borgdorff&lt;/Author&gt;&lt;Year&gt;2011&lt;/Year&gt;&lt;RecNum&gt;1151&lt;/RecNum&gt;&lt;DisplayText&gt;[35]&lt;/DisplayText&gt;&lt;record&gt;&lt;rec-number&gt;1151&lt;/rec-number&gt;&lt;foreign-keys&gt;&lt;key app="EN" db-id="dz9ed9w9txsfd3e9xspv2v9gfx00xfp92fef"&gt;1151&lt;/key&gt;&lt;/foreign-keys&gt;&lt;ref-type name="Journal Article"&gt;17&lt;/ref-type&gt;&lt;contributors&gt;&lt;authors&gt;&lt;author&gt;Borgdorff, M. W.&lt;/author&gt;&lt;author&gt;Sebek, M.&lt;/author&gt;&lt;author&gt;Geskus, R. B.&lt;/author&gt;&lt;author&gt;Kremer, K.&lt;/author&gt;&lt;author&gt;Kalisvaart, N.&lt;/author&gt;&lt;author&gt;van Soolingen, D.&lt;/author&gt;&lt;/authors&gt;&lt;/contributors&gt;&lt;auth-address&gt;Department of Clinical Epidemiology, Biostatistics and Bioinformatics, Academic Medical Center, University of Amsterdam, Amsterdam, The Netherlands. mborgdorff@ggd.amsterdam.nl&lt;/auth-address&gt;&lt;titles&gt;&lt;title&gt;The incubation period distribution of tuberculosis estimated with a molecular epidemiological approach&lt;/title&gt;&lt;secondary-title&gt;Int J Epidemiol&lt;/secondary-title&gt;&lt;/titles&gt;&lt;periodical&gt;&lt;full-title&gt;Int J Epidemiol&lt;/full-title&gt;&lt;/periodical&gt;&lt;pages&gt;964-70&lt;/pages&gt;&lt;volume&gt;40&lt;/volume&gt;&lt;number&gt;4&lt;/number&gt;&lt;edition&gt;2011/03/29&lt;/edition&gt;&lt;dates&gt;&lt;year&gt;2011&lt;/year&gt;&lt;pub-dates&gt;&lt;date&gt;Aug&lt;/date&gt;&lt;/pub-dates&gt;&lt;/dates&gt;&lt;isbn&gt;1464-3685 (Electronic)&amp;#xD;0300-5771 (Linking)&lt;/isbn&gt;&lt;accession-num&gt;21441552&lt;/accession-num&gt;&lt;urls&gt;&lt;related-urls&gt;&lt;url&gt;http://www.ncbi.nlm.nih.gov/entrez/query.fcgi?cmd=Retrieve&amp;amp;db=PubMed&amp;amp;dopt=Citation&amp;amp;list_uids=21441552&lt;/url&gt;&lt;/related-urls&gt;&lt;/urls&gt;&lt;electronic-resource-num&gt;dyr058 [pii]&amp;#xD;10.1093/ije/dyr058&lt;/electronic-resource-num&gt;&lt;language&gt;eng&lt;/language&gt;&lt;/record&gt;&lt;/Cite&gt;&lt;/EndNote&gt;</w:instrText>
      </w:r>
      <w:r w:rsidR="007419F0" w:rsidRPr="00EC7A8B">
        <w:fldChar w:fldCharType="separate"/>
      </w:r>
      <w:r>
        <w:rPr>
          <w:noProof/>
        </w:rPr>
        <w:t>[</w:t>
      </w:r>
      <w:hyperlink w:anchor="_ENREF_35" w:tooltip="Borgdorff, 2011 #1151" w:history="1">
        <w:r>
          <w:rPr>
            <w:noProof/>
          </w:rPr>
          <w:t>35</w:t>
        </w:r>
      </w:hyperlink>
      <w:r>
        <w:rPr>
          <w:noProof/>
        </w:rPr>
        <w:t>]</w:t>
      </w:r>
      <w:r w:rsidR="007419F0" w:rsidRPr="00EC7A8B">
        <w:fldChar w:fldCharType="end"/>
      </w:r>
      <w:r w:rsidRPr="00EC7A8B">
        <w:t xml:space="preserve">. Isolate pairs with no or negative intervals were excluded from the analysis, as these might be caused by an overly long diagnostic delay in the source patient. </w:t>
      </w:r>
    </w:p>
    <w:p w:rsidR="00E757D1" w:rsidRPr="00EC7A8B" w:rsidRDefault="00E757D1" w:rsidP="00E757D1">
      <w:pPr>
        <w:jc w:val="both"/>
      </w:pPr>
    </w:p>
    <w:p w:rsidR="00E757D1" w:rsidRPr="00EC7A8B" w:rsidRDefault="00E757D1" w:rsidP="00E757D1">
      <w:pPr>
        <w:jc w:val="both"/>
      </w:pPr>
      <w:r w:rsidRPr="00EC7A8B">
        <w:t>For all calculated values of the mutation rate (for long and short diagnostic delays and for interval estimates of the number of mutations), box plots were drawn in R (version 2.10.0) with whiskers extending to the extreme values. The detection limit for the mutation rate of every isolate was calculated for one theoretical SNP and the lower boundary of the diagnostic delay. The plots were repeated using random values for the number of mutations per pair drawn from the actual distribution of real values.</w:t>
      </w:r>
    </w:p>
    <w:p w:rsidR="00E757D1" w:rsidRDefault="00E757D1"/>
    <w:p w:rsidR="00E757D1" w:rsidRDefault="00E757D1">
      <w:r w:rsidRPr="00823D27">
        <w:rPr>
          <w:rFonts w:ascii="Times New Roman" w:hAnsi="Times New Roman"/>
        </w:rPr>
        <w:t>A trend towards lower estimated mutation rates for longer time inter</w:t>
      </w:r>
      <w:r>
        <w:rPr>
          <w:rFonts w:ascii="Times New Roman" w:hAnsi="Times New Roman"/>
        </w:rPr>
        <w:t>vals can be observed in Figure 2</w:t>
      </w:r>
      <w:r w:rsidRPr="00823D27">
        <w:rPr>
          <w:rFonts w:ascii="Times New Roman" w:hAnsi="Times New Roman"/>
        </w:rPr>
        <w:t>a. To examine whether this result was significant, we repeated the analysis, but with mutation numbers for each pair drawn at random from the real distribution of mutation numbers. Figure</w:t>
      </w:r>
      <w:r>
        <w:rPr>
          <w:rFonts w:ascii="Times New Roman" w:hAnsi="Times New Roman"/>
        </w:rPr>
        <w:t xml:space="preserve"> 2</w:t>
      </w:r>
      <w:r w:rsidRPr="00823D27">
        <w:rPr>
          <w:rFonts w:ascii="Times New Roman" w:hAnsi="Times New Roman"/>
        </w:rPr>
        <w:t xml:space="preserve">b shows that the shape of the graph is </w:t>
      </w:r>
      <w:proofErr w:type="gramStart"/>
      <w:r w:rsidRPr="00823D27">
        <w:rPr>
          <w:rFonts w:ascii="Times New Roman" w:hAnsi="Times New Roman"/>
        </w:rPr>
        <w:t>near-identical</w:t>
      </w:r>
      <w:proofErr w:type="gramEnd"/>
      <w:r w:rsidRPr="00823D27">
        <w:rPr>
          <w:rFonts w:ascii="Times New Roman" w:hAnsi="Times New Roman"/>
        </w:rPr>
        <w:t xml:space="preserve">, with a similar number of pairs apparently exceeding the detection limit. In the real data, only six mutation rates clearly exceeded the detection limit when sources of error were taken into account. No correlation was found between the isolates that exceeded the detection limit and patient factors including sex, country of birth, drug susceptibility of the isolates and treatment (Fishers exact test P values 0.11 - 1). In addition no </w:t>
      </w:r>
      <w:proofErr w:type="spellStart"/>
      <w:r w:rsidRPr="00823D27">
        <w:rPr>
          <w:rFonts w:ascii="Times New Roman" w:hAnsi="Times New Roman"/>
        </w:rPr>
        <w:t>SNPs</w:t>
      </w:r>
      <w:proofErr w:type="spellEnd"/>
      <w:r w:rsidRPr="00823D27">
        <w:rPr>
          <w:rFonts w:ascii="Times New Roman" w:hAnsi="Times New Roman"/>
        </w:rPr>
        <w:t xml:space="preserve"> were identified in genes that could possibly confer a </w:t>
      </w:r>
      <w:proofErr w:type="spellStart"/>
      <w:r w:rsidRPr="00823D27">
        <w:rPr>
          <w:rFonts w:ascii="Times New Roman" w:hAnsi="Times New Roman"/>
        </w:rPr>
        <w:t>hypermutator</w:t>
      </w:r>
      <w:proofErr w:type="spellEnd"/>
      <w:r w:rsidRPr="00823D27">
        <w:rPr>
          <w:rFonts w:ascii="Times New Roman" w:hAnsi="Times New Roman"/>
        </w:rPr>
        <w:t xml:space="preserve"> phenotype in these isolates (e.g. DNA repair genes </w:t>
      </w:r>
      <w:r w:rsidR="007419F0" w:rsidRPr="00823D27">
        <w:rPr>
          <w:rFonts w:ascii="Times New Roman" w:hAnsi="Times New Roman"/>
        </w:rPr>
        <w:fldChar w:fldCharType="begin">
          <w:fldData xml:space="preserve">PEVuZE5vdGU+PENpdGU+PEF1dGhvcj5FYnJhaGltaS1SYWQ8L0F1dGhvcj48WWVhcj4yMDAzPC9Z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</w:fldData>
        </w:fldChar>
      </w:r>
      <w:r w:rsidRPr="00823D27">
        <w:rPr>
          <w:rFonts w:ascii="Times New Roman" w:hAnsi="Times New Roman"/>
        </w:rPr>
        <w:instrText xml:space="preserve"> ADDIN EN.CITE </w:instrText>
      </w:r>
      <w:r w:rsidR="007419F0" w:rsidRPr="00823D27">
        <w:rPr>
          <w:rFonts w:ascii="Times New Roman" w:hAnsi="Times New Roman"/>
        </w:rPr>
        <w:fldChar w:fldCharType="begin">
          <w:fldData xml:space="preserve">PEVuZE5vdGU+PENpdGU+PEF1dGhvcj5FYnJhaGltaS1SYWQ8L0F1dGhvcj48WWVhcj4yMDAzPC9Z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</w:fldData>
        </w:fldChar>
      </w:r>
      <w:r w:rsidRPr="00823D27">
        <w:rPr>
          <w:rFonts w:ascii="Times New Roman" w:hAnsi="Times New Roman"/>
        </w:rPr>
        <w:instrText xml:space="preserve"> ADDIN EN.CITE.DATA </w:instrText>
      </w:r>
      <w:r w:rsidR="00EA613A" w:rsidRPr="007419F0">
        <w:rPr>
          <w:rFonts w:ascii="Times New Roman" w:hAnsi="Times New Roman"/>
        </w:rPr>
      </w:r>
      <w:r w:rsidR="007419F0" w:rsidRPr="00823D27">
        <w:rPr>
          <w:rFonts w:ascii="Times New Roman" w:hAnsi="Times New Roman"/>
        </w:rPr>
        <w:fldChar w:fldCharType="end"/>
      </w:r>
      <w:r w:rsidR="00EA613A" w:rsidRPr="007419F0">
        <w:rPr>
          <w:rFonts w:ascii="Times New Roman" w:hAnsi="Times New Roman"/>
        </w:rPr>
      </w:r>
      <w:r w:rsidR="007419F0" w:rsidRPr="00823D27">
        <w:rPr>
          <w:rFonts w:ascii="Times New Roman" w:hAnsi="Times New Roman"/>
        </w:rPr>
        <w:fldChar w:fldCharType="separate"/>
      </w:r>
      <w:r w:rsidRPr="00823D27">
        <w:rPr>
          <w:rFonts w:ascii="Times New Roman" w:hAnsi="Times New Roman"/>
          <w:noProof/>
        </w:rPr>
        <w:t>(</w:t>
      </w:r>
      <w:hyperlink w:anchor="_ENREF_7" w:tooltip="Ebrahimi-Rad, 2003 #113" w:history="1">
        <w:r w:rsidRPr="00823D27">
          <w:rPr>
            <w:rFonts w:ascii="Times New Roman" w:hAnsi="Times New Roman"/>
            <w:noProof/>
          </w:rPr>
          <w:t>Ebrahimi-Rad et al. 2003</w:t>
        </w:r>
      </w:hyperlink>
      <w:r w:rsidRPr="00823D27">
        <w:rPr>
          <w:rFonts w:ascii="Times New Roman" w:hAnsi="Times New Roman"/>
          <w:noProof/>
        </w:rPr>
        <w:t>)</w:t>
      </w:r>
      <w:r w:rsidR="007419F0" w:rsidRPr="00823D27">
        <w:rPr>
          <w:rFonts w:ascii="Times New Roman" w:hAnsi="Times New Roman"/>
        </w:rPr>
        <w:fldChar w:fldCharType="end"/>
      </w:r>
      <w:r w:rsidRPr="00823D27">
        <w:rPr>
          <w:rFonts w:ascii="Times New Roman" w:hAnsi="Times New Roman"/>
        </w:rPr>
        <w:t>).</w:t>
      </w:r>
    </w:p>
    <w:p w:rsidR="00E757D1" w:rsidRDefault="00E757D1"/>
    <w:p w:rsidR="00E757D1" w:rsidRDefault="00E757D1"/>
    <w:p w:rsidR="00E757D1" w:rsidRDefault="00E757D1"/>
    <w:p w:rsidR="00E757D1" w:rsidRDefault="00E757D1"/>
    <w:p w:rsidR="00E757D1" w:rsidRDefault="00E757D1"/>
    <w:p w:rsidR="00E757D1" w:rsidRDefault="00E757D1"/>
    <w:p w:rsidR="00E757D1" w:rsidRDefault="00E757D1"/>
    <w:p w:rsidR="00E757D1" w:rsidRDefault="00E757D1"/>
    <w:p w:rsidR="00E757D1" w:rsidRDefault="00E757D1"/>
    <w:p w:rsidR="00E757D1" w:rsidRDefault="00EB382D" w:rsidP="00E757D1">
      <w:pPr>
        <w:spacing w:line="360" w:lineRule="auto"/>
      </w:pPr>
      <w:r>
        <w:rPr>
          <w:noProof/>
        </w:rPr>
        <w:drawing>
          <wp:inline distT="0" distB="0" distL="0" distR="0">
            <wp:extent cx="5270500" cy="6754495"/>
            <wp:effectExtent l="25400" t="0" r="0" b="0"/>
            <wp:docPr id="2" name="Picture 1" descr="Supp_anita_figure_oc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anita_figure_oct.pdf"/>
                    <pic:cNvPicPr/>
                  </pic:nvPicPr>
                  <ve:AlternateContent xmlns:ma="http://schemas.microsoft.com/office/mac/drawingml/2008/main">
                    <ve:Choice Requires="ma">
                      <pic:blipFill>
                        <a:blip r:embed="rId4"/>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pic:blipFill>
                        <a:blip r:embed="rId7"/>
                        <a:stretch>
                          <a:fillRect/>
                        </a:stretch>
                      </pic:blipFill>
                    </ve:Fallback>
                  </ve:AlternateContent>
                  <pic:spPr>
                    <a:xfrm>
                      <a:off x="0" y="0"/>
                      <a:ext cx="5270500" cy="6754495"/>
                    </a:xfrm>
                    <a:prstGeom prst="rect">
                      <a:avLst/>
                    </a:prstGeom>
                  </pic:spPr>
                </pic:pic>
              </a:graphicData>
            </a:graphic>
          </wp:inline>
        </w:drawing>
      </w:r>
    </w:p>
    <w:p w:rsidR="00E757D1" w:rsidRDefault="00E757D1" w:rsidP="00E757D1">
      <w:pPr>
        <w:spacing w:line="360" w:lineRule="auto"/>
        <w:jc w:val="both"/>
      </w:pPr>
      <w:proofErr w:type="gramStart"/>
      <w:r>
        <w:rPr>
          <w:b/>
          <w:bCs/>
        </w:rPr>
        <w:t>Supplementary Figure 2</w:t>
      </w:r>
      <w:r w:rsidRPr="004B6DC3">
        <w:rPr>
          <w:b/>
          <w:bCs/>
        </w:rPr>
        <w:t>.</w:t>
      </w:r>
      <w:proofErr w:type="gramEnd"/>
      <w:r w:rsidRPr="004B6DC3">
        <w:rPr>
          <w:b/>
          <w:bCs/>
        </w:rPr>
        <w:t xml:space="preserve"> Mutation rate estimation </w:t>
      </w:r>
      <w:r w:rsidRPr="004874C6">
        <w:rPr>
          <w:b/>
          <w:bCs/>
        </w:rPr>
        <w:t xml:space="preserve">for secondary </w:t>
      </w:r>
      <w:r w:rsidR="00EB382D">
        <w:rPr>
          <w:b/>
          <w:bCs/>
        </w:rPr>
        <w:t>isolate of 94</w:t>
      </w:r>
      <w:r>
        <w:rPr>
          <w:b/>
          <w:bCs/>
        </w:rPr>
        <w:t xml:space="preserve"> epidemiological linked pairs with real and randomized data.</w:t>
      </w:r>
      <w:r w:rsidRPr="004874C6">
        <w:rPr>
          <w:b/>
          <w:bCs/>
        </w:rPr>
        <w:t xml:space="preserve"> </w:t>
      </w:r>
      <w:r w:rsidRPr="00D346B3">
        <w:rPr>
          <w:bCs/>
        </w:rPr>
        <w:t>A.</w:t>
      </w:r>
      <w:r>
        <w:rPr>
          <w:b/>
          <w:bCs/>
        </w:rPr>
        <w:t xml:space="preserve"> </w:t>
      </w:r>
      <w:r>
        <w:t xml:space="preserve">Mutation rates were estimated for short and long diagnostic delays in addition to the interval between the isolation dates of the patients linked by transmission. In addition, interval estimates of one mutation were applied to account for possible detection errors. Whiskers of the </w:t>
      </w:r>
      <w:proofErr w:type="spellStart"/>
      <w:r>
        <w:t>boxplot</w:t>
      </w:r>
      <w:proofErr w:type="spellEnd"/>
      <w:r>
        <w:t xml:space="preserve"> extend to the extreme values, and black lines in the box indicate the median of all estimates. A line is drawn at the detection limit</w:t>
      </w:r>
      <w:proofErr w:type="gramStart"/>
      <w:r>
        <w:t>..</w:t>
      </w:r>
      <w:proofErr w:type="gramEnd"/>
      <w:r>
        <w:t xml:space="preserve"> The </w:t>
      </w:r>
      <w:r w:rsidR="00EB382D">
        <w:t xml:space="preserve">three </w:t>
      </w:r>
      <w:r>
        <w:t>outlier</w:t>
      </w:r>
      <w:r w:rsidR="00EB382D">
        <w:t>s</w:t>
      </w:r>
      <w:r>
        <w:t xml:space="preserve"> </w:t>
      </w:r>
      <w:r w:rsidR="00EB382D">
        <w:t>discussed in the text were not included</w:t>
      </w:r>
      <w:r>
        <w:t>.</w:t>
      </w:r>
      <w:r w:rsidR="00EB382D">
        <w:t xml:space="preserve"> </w:t>
      </w:r>
      <w:proofErr w:type="spellStart"/>
      <w:r w:rsidR="00EB382D">
        <w:t>SNPs</w:t>
      </w:r>
      <w:proofErr w:type="spellEnd"/>
      <w:r w:rsidR="00EB382D">
        <w:t xml:space="preserve"> conferring drug resistance were also excluded.</w:t>
      </w:r>
      <w:r>
        <w:t xml:space="preserve"> B. The analysis was repeated with the same data but with the number </w:t>
      </w:r>
      <w:proofErr w:type="spellStart"/>
      <w:r>
        <w:t>SNPs</w:t>
      </w:r>
      <w:proofErr w:type="spellEnd"/>
      <w:r>
        <w:t xml:space="preserve"> assigned randomly to each interval. This results in a highly similar plot demonstrating that there an absence of a signal in this dataset.</w:t>
      </w:r>
    </w:p>
    <w:p w:rsidR="00E757D1" w:rsidRDefault="00E757D1" w:rsidP="00E757D1">
      <w:pPr>
        <w:spacing w:line="360" w:lineRule="auto"/>
        <w:jc w:val="both"/>
      </w:pPr>
    </w:p>
    <w:p w:rsidR="00E757D1" w:rsidRDefault="00E757D1" w:rsidP="00E757D1">
      <w:pPr>
        <w:spacing w:line="360" w:lineRule="auto"/>
        <w:jc w:val="both"/>
      </w:pPr>
    </w:p>
    <w:p w:rsidR="00E757D1" w:rsidRDefault="00E757D1" w:rsidP="00E757D1">
      <w:pPr>
        <w:spacing w:line="360" w:lineRule="auto"/>
        <w:jc w:val="both"/>
      </w:pPr>
    </w:p>
    <w:p w:rsidR="00E757D1" w:rsidRDefault="00E757D1" w:rsidP="00E757D1">
      <w:pPr>
        <w:spacing w:line="360" w:lineRule="auto"/>
        <w:jc w:val="both"/>
      </w:pPr>
    </w:p>
    <w:p w:rsidR="00E757D1" w:rsidRDefault="00E757D1" w:rsidP="00E757D1">
      <w:pPr>
        <w:spacing w:line="360" w:lineRule="auto"/>
        <w:jc w:val="both"/>
      </w:pPr>
    </w:p>
    <w:p w:rsidR="00E757D1" w:rsidRDefault="00E757D1" w:rsidP="00E757D1">
      <w:pPr>
        <w:spacing w:line="360" w:lineRule="auto"/>
        <w:jc w:val="both"/>
      </w:pPr>
    </w:p>
    <w:p w:rsidR="00E757D1" w:rsidRDefault="00E757D1"/>
    <w:p w:rsidR="00E757D1" w:rsidRDefault="00E757D1"/>
    <w:p w:rsidR="000B39BE" w:rsidRDefault="00EA613A"/>
    <w:sectPr w:rsidR="000B39BE" w:rsidSect="000B39BE">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757D1"/>
    <w:rsid w:val="003E4736"/>
    <w:rsid w:val="007419F0"/>
    <w:rsid w:val="00C06C88"/>
    <w:rsid w:val="00E757D1"/>
    <w:rsid w:val="00EA613A"/>
    <w:rsid w:val="00EB382D"/>
  </w:rsids>
  <m:mathPr>
    <m:mathFont m:val="Adobe Arabic"/>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85423B"/>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df"/><Relationship Id="rId7" Type="http://schemas.openxmlformats.org/officeDocument/2006/relationships/image" Target="media/image3.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1060</Words>
  <Characters>6046</Characters>
  <Application>Microsoft Macintosh Word</Application>
  <DocSecurity>0</DocSecurity>
  <Lines>50</Lines>
  <Paragraphs>12</Paragraphs>
  <ScaleCrop>false</ScaleCrop>
  <LinksUpToDate>false</LinksUpToDate>
  <CharactersWithSpaces>7424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Bryant</dc:creator>
  <cp:keywords/>
  <cp:lastModifiedBy>Josephine Bryant</cp:lastModifiedBy>
  <cp:revision>2</cp:revision>
  <dcterms:created xsi:type="dcterms:W3CDTF">2012-10-22T12:06:00Z</dcterms:created>
  <dcterms:modified xsi:type="dcterms:W3CDTF">2012-10-22T12:06:00Z</dcterms:modified>
</cp:coreProperties>
</file>