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DE3A9D" w14:textId="77777777" w:rsidR="00E03D36" w:rsidRDefault="00E03D36" w:rsidP="00E03D36">
      <w:pPr>
        <w:tabs>
          <w:tab w:val="left" w:pos="2380"/>
        </w:tabs>
      </w:pPr>
    </w:p>
    <w:p w14:paraId="3D7B7DD0" w14:textId="77777777" w:rsidR="00E03D36" w:rsidRPr="00A918FB" w:rsidRDefault="00E03D36" w:rsidP="00E60C20">
      <w:pPr>
        <w:pStyle w:val="ChapterHead"/>
        <w:ind w:left="0"/>
        <w:rPr>
          <w:sz w:val="28"/>
          <w:szCs w:val="28"/>
        </w:rPr>
      </w:pPr>
      <w:r w:rsidRPr="00A918FB">
        <w:rPr>
          <w:sz w:val="28"/>
          <w:szCs w:val="28"/>
        </w:rPr>
        <w:t xml:space="preserve">Supplemental material </w:t>
      </w:r>
      <w:r>
        <w:rPr>
          <w:sz w:val="28"/>
          <w:szCs w:val="28"/>
        </w:rPr>
        <w:t>III</w:t>
      </w:r>
    </w:p>
    <w:p w14:paraId="45967A2A" w14:textId="77777777" w:rsidR="00E03D36" w:rsidRDefault="00E03D36" w:rsidP="00E03D36">
      <w:pPr>
        <w:tabs>
          <w:tab w:val="left" w:pos="6944"/>
        </w:tabs>
      </w:pPr>
      <w:r>
        <w:tab/>
      </w:r>
    </w:p>
    <w:p w14:paraId="38D982C9" w14:textId="77777777" w:rsidR="00E03D36" w:rsidRPr="00024F20" w:rsidRDefault="00E03D36" w:rsidP="00E03D36">
      <w:pPr>
        <w:jc w:val="center"/>
        <w:rPr>
          <w:b/>
        </w:rPr>
      </w:pPr>
      <w:r w:rsidRPr="00024F20">
        <w:rPr>
          <w:b/>
        </w:rPr>
        <w:t>Sensitivity Anal</w:t>
      </w:r>
      <w:bookmarkStart w:id="0" w:name="_GoBack"/>
      <w:bookmarkEnd w:id="0"/>
      <w:r w:rsidRPr="00024F20">
        <w:rPr>
          <w:b/>
        </w:rPr>
        <w:t>ysis</w:t>
      </w:r>
    </w:p>
    <w:p w14:paraId="0B7B3795" w14:textId="77777777" w:rsidR="00E03D36" w:rsidRDefault="00E03D36" w:rsidP="00E03D36">
      <w:pPr>
        <w:jc w:val="center"/>
      </w:pPr>
    </w:p>
    <w:p w14:paraId="11100B73" w14:textId="2C43C529" w:rsidR="00E03D36" w:rsidRDefault="00E03D36" w:rsidP="00E03D36">
      <w:pPr>
        <w:ind w:firstLine="720"/>
      </w:pPr>
      <w:r>
        <w:t xml:space="preserve">To understand how our model parameter values affect the inferences resulting from our analysis, we examined the sensitivity of the exposure dose to </w:t>
      </w:r>
      <w:r w:rsidR="00921F91">
        <w:t>HCW</w:t>
      </w:r>
      <w:r>
        <w:t>s and the uncolonized patient w</w:t>
      </w:r>
      <w:r w:rsidR="002D07EB">
        <w:t>ith</w:t>
      </w:r>
      <w:r>
        <w:t xml:space="preserve"> varying transfer efficiency, survivability, and </w:t>
      </w:r>
      <w:r w:rsidR="00921F91">
        <w:t>HCW</w:t>
      </w:r>
      <w:r>
        <w:t xml:space="preserve"> contact rate parameters. In all these </w:t>
      </w:r>
      <w:proofErr w:type="gramStart"/>
      <w:r>
        <w:t>sensitivity</w:t>
      </w:r>
      <w:proofErr w:type="gramEnd"/>
      <w:r>
        <w:t xml:space="preserve"> analyses, direct exposure refer</w:t>
      </w:r>
      <w:r w:rsidR="002D07EB">
        <w:t>red</w:t>
      </w:r>
      <w:r>
        <w:t xml:space="preserve"> to exposure from the colonized patient to </w:t>
      </w:r>
      <w:r w:rsidR="00921F91">
        <w:t>HCW</w:t>
      </w:r>
      <w:r>
        <w:t xml:space="preserve">s and exposure from </w:t>
      </w:r>
      <w:r w:rsidR="00921F91">
        <w:t>HCW</w:t>
      </w:r>
      <w:r>
        <w:t xml:space="preserve">s to the uncolonized patient, </w:t>
      </w:r>
      <w:r w:rsidR="00035F18">
        <w:t>whereas</w:t>
      </w:r>
      <w:r>
        <w:t xml:space="preserve"> indirect exposure refer</w:t>
      </w:r>
      <w:r w:rsidR="002D07EB">
        <w:t>red</w:t>
      </w:r>
      <w:r>
        <w:t xml:space="preserve"> to exposure from both porous and nonporous surfaces to </w:t>
      </w:r>
      <w:r w:rsidR="00921F91">
        <w:t>HCW</w:t>
      </w:r>
      <w:r>
        <w:t>s and exposure from both surfaces to the uncolonized patient.</w:t>
      </w:r>
    </w:p>
    <w:p w14:paraId="2F93F6B9" w14:textId="6750C6F1" w:rsidR="00E03D36" w:rsidRDefault="00E03D36" w:rsidP="002D07EB">
      <w:pPr>
        <w:ind w:firstLine="720"/>
      </w:pPr>
      <w:r>
        <w:t xml:space="preserve">Transfer efficiency and pathogen survivability are the main </w:t>
      </w:r>
      <w:r w:rsidR="002D07EB">
        <w:t xml:space="preserve">two </w:t>
      </w:r>
      <w:r>
        <w:t xml:space="preserve">parameters that differentiate </w:t>
      </w:r>
      <w:r w:rsidR="002D07EB">
        <w:t xml:space="preserve">the </w:t>
      </w:r>
      <w:r>
        <w:t>type</w:t>
      </w:r>
      <w:r w:rsidR="002D07EB">
        <w:t xml:space="preserve"> of surfaces</w:t>
      </w:r>
      <w:r>
        <w:t xml:space="preserve"> we modeled, </w:t>
      </w:r>
      <w:r w:rsidR="00035F18">
        <w:t xml:space="preserve">i.e., </w:t>
      </w:r>
      <w:r>
        <w:t>porous and nonporous. Since our simulations suggest</w:t>
      </w:r>
      <w:r w:rsidR="002D07EB">
        <w:t>ed</w:t>
      </w:r>
      <w:r>
        <w:t xml:space="preserve"> that nonporous surfaces are the dominant exposure source to </w:t>
      </w:r>
      <w:r w:rsidR="00201C91">
        <w:t xml:space="preserve">HCWs and </w:t>
      </w:r>
      <w:r>
        <w:t>the uncolonized patient, we chose to examine how this dominance might be affected if the nonporous surface transfer efficiency (</w:t>
      </w:r>
      <w:proofErr w:type="spellStart"/>
      <w:r>
        <w:t>ρ</w:t>
      </w:r>
      <w:r w:rsidRPr="000A1B77">
        <w:rPr>
          <w:vertAlign w:val="subscript"/>
        </w:rPr>
        <w:t>np</w:t>
      </w:r>
      <w:proofErr w:type="spellEnd"/>
      <w:r>
        <w:t>) values var</w:t>
      </w:r>
      <w:r w:rsidR="002D07EB">
        <w:t>ied</w:t>
      </w:r>
      <w:r>
        <w:t xml:space="preserve"> anywhere between 0.05 and 0.75 (a value of 0.4 was used in the main simulation analysis). Our outcome exposure variables were not sensitive to changes in </w:t>
      </w:r>
      <w:proofErr w:type="spellStart"/>
      <w:r>
        <w:t>ρ</w:t>
      </w:r>
      <w:r w:rsidRPr="000A1B77">
        <w:rPr>
          <w:vertAlign w:val="subscript"/>
        </w:rPr>
        <w:t>np</w:t>
      </w:r>
      <w:proofErr w:type="spellEnd"/>
      <w:r>
        <w:t xml:space="preserve">. Even at the lower bound, where </w:t>
      </w:r>
      <w:proofErr w:type="spellStart"/>
      <w:r>
        <w:t>ρ</w:t>
      </w:r>
      <w:r w:rsidRPr="000A1B77">
        <w:rPr>
          <w:vertAlign w:val="subscript"/>
        </w:rPr>
        <w:t>np</w:t>
      </w:r>
      <w:proofErr w:type="spellEnd"/>
      <w:r>
        <w:t xml:space="preserve"> = 0.05, indirect exposure to </w:t>
      </w:r>
      <w:r w:rsidR="00921F91">
        <w:t>HCW</w:t>
      </w:r>
      <w:r>
        <w:t xml:space="preserve">s in the colonized </w:t>
      </w:r>
      <w:r w:rsidR="00201C91">
        <w:t xml:space="preserve">patient’s </w:t>
      </w:r>
      <w:r>
        <w:t>room remain</w:t>
      </w:r>
      <w:r w:rsidR="002D07EB">
        <w:t>ed</w:t>
      </w:r>
      <w:r>
        <w:t xml:space="preserve"> the dominant source of exposure (Figure S1). Exposure to the uncolonized patient, however, </w:t>
      </w:r>
      <w:r w:rsidR="002D07EB">
        <w:t>was</w:t>
      </w:r>
      <w:r>
        <w:t xml:space="preserve"> dominated by direct exposure to the </w:t>
      </w:r>
      <w:r w:rsidR="00921F91">
        <w:t>HCW</w:t>
      </w:r>
      <w:r>
        <w:t xml:space="preserve"> for lower values of </w:t>
      </w:r>
      <w:proofErr w:type="spellStart"/>
      <w:r>
        <w:t>ρ</w:t>
      </w:r>
      <w:r w:rsidRPr="000A1B77">
        <w:rPr>
          <w:vertAlign w:val="subscript"/>
        </w:rPr>
        <w:t>np</w:t>
      </w:r>
      <w:proofErr w:type="spellEnd"/>
      <w:r>
        <w:t xml:space="preserve">, but as </w:t>
      </w:r>
      <w:proofErr w:type="spellStart"/>
      <w:r>
        <w:t>ρ</w:t>
      </w:r>
      <w:r w:rsidRPr="000A1B77">
        <w:rPr>
          <w:vertAlign w:val="subscript"/>
        </w:rPr>
        <w:t>np</w:t>
      </w:r>
      <w:proofErr w:type="spellEnd"/>
      <w:r>
        <w:t xml:space="preserve"> approache</w:t>
      </w:r>
      <w:r w:rsidR="002D07EB">
        <w:t>d</w:t>
      </w:r>
      <w:r>
        <w:t xml:space="preserve"> 0.75</w:t>
      </w:r>
      <w:r w:rsidR="002D07EB">
        <w:t xml:space="preserve">, </w:t>
      </w:r>
      <w:r>
        <w:t xml:space="preserve">exposure </w:t>
      </w:r>
      <w:r w:rsidR="002D07EB">
        <w:t>was</w:t>
      </w:r>
      <w:r>
        <w:t xml:space="preserve"> split evenly between direct and indirect (Figure S2). Exposure </w:t>
      </w:r>
      <w:r w:rsidR="002D07EB">
        <w:t>was</w:t>
      </w:r>
      <w:r>
        <w:t xml:space="preserve"> even more sensitive to skin transfer efficiency values. The </w:t>
      </w:r>
      <w:r>
        <w:lastRenderedPageBreak/>
        <w:t xml:space="preserve">indirect exposure to the </w:t>
      </w:r>
      <w:r w:rsidR="00921F91">
        <w:t>HCW</w:t>
      </w:r>
      <w:r>
        <w:t>s remain</w:t>
      </w:r>
      <w:r w:rsidR="002D07EB">
        <w:t>ed</w:t>
      </w:r>
      <w:r>
        <w:t xml:space="preserve"> dominant regardless of the level of skin transfer efficiency, but for low values</w:t>
      </w:r>
      <w:r w:rsidR="00035F18">
        <w:t>,</w:t>
      </w:r>
      <w:r>
        <w:t xml:space="preserve"> direct exposure to </w:t>
      </w:r>
      <w:r w:rsidR="00201C91">
        <w:t xml:space="preserve">the </w:t>
      </w:r>
      <w:r>
        <w:t>colonized patient bec</w:t>
      </w:r>
      <w:r w:rsidR="002D07EB">
        <w:t>a</w:t>
      </w:r>
      <w:r>
        <w:t xml:space="preserve">me negligible (Figure S3). Likewise, for the uncolonized patient, the indirect exposure </w:t>
      </w:r>
      <w:r w:rsidR="002D07EB">
        <w:t>was</w:t>
      </w:r>
      <w:r>
        <w:t xml:space="preserve"> not dominant when the skin transfer efficiency </w:t>
      </w:r>
      <w:r w:rsidR="002D07EB">
        <w:t>was</w:t>
      </w:r>
      <w:r>
        <w:t xml:space="preserve"> high but </w:t>
      </w:r>
      <w:r w:rsidR="002D07EB">
        <w:t xml:space="preserve">became </w:t>
      </w:r>
      <w:r>
        <w:t>dominant for lower values (Figure S4).</w:t>
      </w:r>
    </w:p>
    <w:p w14:paraId="5A6CD6AC" w14:textId="6FC8C3E1" w:rsidR="00E03D36" w:rsidRDefault="00E03D36" w:rsidP="002D07EB">
      <w:pPr>
        <w:ind w:firstLine="720"/>
      </w:pPr>
      <w:r>
        <w:t>Survivability describes how quickly the pathogens die off from surfaces or hands. We examined the sensitivity due to both die-off rates by</w:t>
      </w:r>
      <w:r w:rsidR="002D07EB">
        <w:t xml:space="preserve"> </w:t>
      </w:r>
      <w:r w:rsidR="00C41066">
        <w:t xml:space="preserve">taking the following steps: </w:t>
      </w:r>
      <w:r w:rsidR="002D07EB">
        <w:t>(</w:t>
      </w:r>
      <w:r>
        <w:t>1) assigning a range of the nonporous surface die-off rate (</w:t>
      </w:r>
      <w:proofErr w:type="spellStart"/>
      <w:r>
        <w:t>μ</w:t>
      </w:r>
      <w:r w:rsidRPr="004F4AB9">
        <w:rPr>
          <w:vertAlign w:val="subscript"/>
        </w:rPr>
        <w:t>np</w:t>
      </w:r>
      <w:proofErr w:type="spellEnd"/>
      <w:r>
        <w:t xml:space="preserve">) between 1.6 </w:t>
      </w:r>
      <w:r w:rsidR="00050A57">
        <w:rPr>
          <w:rFonts w:ascii="Times New Roman" w:hAnsi="Times New Roman"/>
        </w:rPr>
        <w:t>×</w:t>
      </w:r>
      <w:r>
        <w:t xml:space="preserve"> 10</w:t>
      </w:r>
      <w:r w:rsidRPr="00685645">
        <w:rPr>
          <w:vertAlign w:val="superscript"/>
        </w:rPr>
        <w:t>-5</w:t>
      </w:r>
      <w:r>
        <w:t xml:space="preserve"> and 1.6 </w:t>
      </w:r>
      <w:r w:rsidR="00050A57">
        <w:rPr>
          <w:rFonts w:ascii="Times New Roman" w:hAnsi="Times New Roman"/>
        </w:rPr>
        <w:t>×</w:t>
      </w:r>
      <w:r>
        <w:t xml:space="preserve"> 10</w:t>
      </w:r>
      <w:r w:rsidRPr="00685645">
        <w:rPr>
          <w:vertAlign w:val="superscript"/>
        </w:rPr>
        <w:t>-3</w:t>
      </w:r>
      <w:r>
        <w:t xml:space="preserve"> min</w:t>
      </w:r>
      <w:r w:rsidRPr="00685645">
        <w:rPr>
          <w:vertAlign w:val="superscript"/>
        </w:rPr>
        <w:t>-1</w:t>
      </w:r>
      <w:r>
        <w:t xml:space="preserve">, where </w:t>
      </w:r>
      <w:proofErr w:type="spellStart"/>
      <w:r>
        <w:t>μ</w:t>
      </w:r>
      <w:r w:rsidRPr="004F4AB9">
        <w:rPr>
          <w:vertAlign w:val="subscript"/>
        </w:rPr>
        <w:t>np</w:t>
      </w:r>
      <w:proofErr w:type="spellEnd"/>
      <w:r>
        <w:rPr>
          <w:vertAlign w:val="subscript"/>
        </w:rPr>
        <w:t>,</w:t>
      </w:r>
      <w:r w:rsidR="00474648">
        <w:rPr>
          <w:vertAlign w:val="subscript"/>
        </w:rPr>
        <w:t xml:space="preserve"> </w:t>
      </w:r>
      <w:r>
        <w:t xml:space="preserve">was assigned </w:t>
      </w:r>
      <w:r w:rsidR="00C41066">
        <w:t xml:space="preserve">a value of </w:t>
      </w:r>
      <w:r>
        <w:t xml:space="preserve">2 </w:t>
      </w:r>
      <w:r w:rsidR="00050A57">
        <w:rPr>
          <w:rFonts w:ascii="Times New Roman" w:hAnsi="Times New Roman"/>
        </w:rPr>
        <w:t>×</w:t>
      </w:r>
      <w:r>
        <w:t xml:space="preserve"> 10</w:t>
      </w:r>
      <w:r w:rsidRPr="00685645">
        <w:rPr>
          <w:vertAlign w:val="superscript"/>
        </w:rPr>
        <w:t>-4</w:t>
      </w:r>
      <w:r w:rsidR="003B5049">
        <w:rPr>
          <w:vertAlign w:val="superscript"/>
        </w:rPr>
        <w:t xml:space="preserve"> </w:t>
      </w:r>
      <w:r>
        <w:t xml:space="preserve">in the main simulation; and </w:t>
      </w:r>
      <w:r w:rsidR="002D07EB">
        <w:t>(</w:t>
      </w:r>
      <w:r>
        <w:t>2) assigning a range of the skin die</w:t>
      </w:r>
      <w:r w:rsidR="00C41066">
        <w:t>-</w:t>
      </w:r>
      <w:r>
        <w:t>off rate (</w:t>
      </w:r>
      <w:proofErr w:type="spellStart"/>
      <w:r>
        <w:t>μ</w:t>
      </w:r>
      <w:r>
        <w:rPr>
          <w:vertAlign w:val="subscript"/>
        </w:rPr>
        <w:t>sk</w:t>
      </w:r>
      <w:proofErr w:type="spellEnd"/>
      <w:r>
        <w:t>) between 1</w:t>
      </w:r>
      <w:r w:rsidR="003B5049">
        <w:t xml:space="preserve"> </w:t>
      </w:r>
      <w:r w:rsidR="003B5049">
        <w:rPr>
          <w:rFonts w:ascii="Times New Roman" w:hAnsi="Times New Roman"/>
        </w:rPr>
        <w:t>×</w:t>
      </w:r>
      <w:r w:rsidR="003B5049">
        <w:t xml:space="preserve"> </w:t>
      </w:r>
      <w:r>
        <w:t>10</w:t>
      </w:r>
      <w:r w:rsidRPr="00685645">
        <w:rPr>
          <w:vertAlign w:val="superscript"/>
        </w:rPr>
        <w:t>-4</w:t>
      </w:r>
      <w:r>
        <w:t xml:space="preserve"> and 1</w:t>
      </w:r>
      <w:r w:rsidR="003B5049">
        <w:t xml:space="preserve"> </w:t>
      </w:r>
      <w:r w:rsidR="003B5049">
        <w:rPr>
          <w:rFonts w:ascii="Times New Roman" w:hAnsi="Times New Roman"/>
        </w:rPr>
        <w:t>×</w:t>
      </w:r>
      <w:r w:rsidR="003B5049">
        <w:t xml:space="preserve"> </w:t>
      </w:r>
      <w:r>
        <w:t>10</w:t>
      </w:r>
      <w:r w:rsidRPr="00685645">
        <w:rPr>
          <w:vertAlign w:val="superscript"/>
        </w:rPr>
        <w:t>-2</w:t>
      </w:r>
      <w:r>
        <w:t xml:space="preserve"> min</w:t>
      </w:r>
      <w:r w:rsidRPr="00685645">
        <w:rPr>
          <w:vertAlign w:val="superscript"/>
        </w:rPr>
        <w:t>-1</w:t>
      </w:r>
      <w:r>
        <w:t xml:space="preserve">, where </w:t>
      </w:r>
      <w:proofErr w:type="spellStart"/>
      <w:r>
        <w:t>μ</w:t>
      </w:r>
      <w:r>
        <w:rPr>
          <w:vertAlign w:val="subscript"/>
        </w:rPr>
        <w:t>sk</w:t>
      </w:r>
      <w:proofErr w:type="spellEnd"/>
      <w:r>
        <w:t xml:space="preserve"> was assigned </w:t>
      </w:r>
      <w:r w:rsidR="00C41066">
        <w:t xml:space="preserve">a value of </w:t>
      </w:r>
      <w:r>
        <w:t xml:space="preserve">3.53 </w:t>
      </w:r>
      <w:r w:rsidR="00050A57">
        <w:rPr>
          <w:rFonts w:ascii="Times New Roman" w:hAnsi="Times New Roman"/>
        </w:rPr>
        <w:t>×</w:t>
      </w:r>
      <w:r>
        <w:t xml:space="preserve"> 10</w:t>
      </w:r>
      <w:r>
        <w:rPr>
          <w:vertAlign w:val="superscript"/>
        </w:rPr>
        <w:t xml:space="preserve">-3 </w:t>
      </w:r>
      <w:r>
        <w:t xml:space="preserve">in the main simulation. The exposure to the </w:t>
      </w:r>
      <w:r w:rsidR="00921F91">
        <w:t>HCW</w:t>
      </w:r>
      <w:r w:rsidR="00C41066">
        <w:t xml:space="preserve"> </w:t>
      </w:r>
      <w:r w:rsidR="002D07EB">
        <w:t>was</w:t>
      </w:r>
      <w:r>
        <w:t xml:space="preserve"> not very sensitive to the range of nonporous die-off rate used (Figure S5), and the exposure to the uncolonized patient </w:t>
      </w:r>
      <w:r w:rsidR="002D07EB">
        <w:t>was</w:t>
      </w:r>
      <w:r>
        <w:t xml:space="preserve"> only somewhat more sensitive (Figure S6). Exposure to either the </w:t>
      </w:r>
      <w:r w:rsidR="00921F91">
        <w:t>HCW</w:t>
      </w:r>
      <w:r>
        <w:t xml:space="preserve"> or uncolonized patients </w:t>
      </w:r>
      <w:r w:rsidR="002D07EB">
        <w:t>was</w:t>
      </w:r>
      <w:r>
        <w:t xml:space="preserve"> more sensitive to the skin die-off rates explored, </w:t>
      </w:r>
      <w:r w:rsidR="00C41066">
        <w:t>al</w:t>
      </w:r>
      <w:r>
        <w:t xml:space="preserve">though none of the values resulted in changes in our qualitative conclusions (Figures S7 and S8). Interestingly, for very low skin die-off rates, the exposure to </w:t>
      </w:r>
      <w:r w:rsidR="00201C91">
        <w:t xml:space="preserve">the </w:t>
      </w:r>
      <w:r>
        <w:t>uncolonized patient beg</w:t>
      </w:r>
      <w:r w:rsidR="002D07EB">
        <w:t>an</w:t>
      </w:r>
      <w:r>
        <w:t xml:space="preserve"> to decrease because their contamination levels </w:t>
      </w:r>
      <w:r w:rsidR="002D07EB">
        <w:t>were</w:t>
      </w:r>
      <w:r>
        <w:t xml:space="preserve"> high compared to the contamination levels of the surfaces.  </w:t>
      </w:r>
    </w:p>
    <w:p w14:paraId="1C74588E" w14:textId="77777777" w:rsidR="00E03D36" w:rsidRDefault="00E03D36" w:rsidP="00E03D36">
      <w:pPr>
        <w:ind w:firstLine="720"/>
      </w:pPr>
      <w:r>
        <w:t xml:space="preserve">To examine how a human behavioral factor may affect exposure, we examined a range of </w:t>
      </w:r>
      <w:r w:rsidR="00921F91">
        <w:t>HCW</w:t>
      </w:r>
      <w:r>
        <w:t>’s surface and patient contact from 3 to 19 times per hour. In the main simulation</w:t>
      </w:r>
      <w:r w:rsidR="00702713">
        <w:t>,</w:t>
      </w:r>
      <w:r w:rsidR="00C41066">
        <w:t xml:space="preserve"> </w:t>
      </w:r>
      <w:r w:rsidR="00921F91">
        <w:t>HCW</w:t>
      </w:r>
      <w:r>
        <w:t>s touch</w:t>
      </w:r>
      <w:r w:rsidR="002D07EB">
        <w:t>ed</w:t>
      </w:r>
      <w:r>
        <w:t xml:space="preserve"> each patient and each surface 8 times per hour. Again, although we observe</w:t>
      </w:r>
      <w:r w:rsidR="002D07EB">
        <w:t>d</w:t>
      </w:r>
      <w:r>
        <w:t xml:space="preserve"> some variation</w:t>
      </w:r>
      <w:r w:rsidR="00C71B85">
        <w:t xml:space="preserve"> in exposure levels</w:t>
      </w:r>
      <w:r>
        <w:t xml:space="preserve">, </w:t>
      </w:r>
      <w:r w:rsidR="00532132">
        <w:t>the dominant exposure sources (indirect versus direct) remain the same</w:t>
      </w:r>
      <w:r>
        <w:t xml:space="preserve"> (Figure</w:t>
      </w:r>
      <w:r w:rsidR="00C41066">
        <w:t>s</w:t>
      </w:r>
      <w:r>
        <w:t xml:space="preserve"> S9 and S10). </w:t>
      </w:r>
    </w:p>
    <w:p w14:paraId="367611C8" w14:textId="7626F182" w:rsidR="00E03D36" w:rsidRDefault="00E03D36" w:rsidP="00E03D36">
      <w:pPr>
        <w:ind w:firstLine="720"/>
      </w:pPr>
      <w:r>
        <w:t>To further explore the variable nature of contact rates, we compared a highly touched nonporous surface (2.5</w:t>
      </w:r>
      <w:r w:rsidR="003B5049">
        <w:t xml:space="preserve"> </w:t>
      </w:r>
      <w:r w:rsidR="00506B54">
        <w:t>times</w:t>
      </w:r>
      <w:r>
        <w:t xml:space="preserve"> higher than baseline) with a minimally touched nonporous surface </w:t>
      </w:r>
      <w:r>
        <w:lastRenderedPageBreak/>
        <w:t>(0.5</w:t>
      </w:r>
      <w:r w:rsidR="00506B54">
        <w:t xml:space="preserve"> times</w:t>
      </w:r>
      <w:r>
        <w:t xml:space="preserve"> baseline) in terms of its impact on exposures with and without an intervention (Figure</w:t>
      </w:r>
      <w:r w:rsidR="00964017">
        <w:t>s</w:t>
      </w:r>
      <w:r>
        <w:t xml:space="preserve"> S11 and S12). The highly touched surface </w:t>
      </w:r>
      <w:r w:rsidR="00B06576">
        <w:t>was</w:t>
      </w:r>
      <w:r>
        <w:t xml:space="preserve"> a much larger source of exposure compared to the minimally touched surface. Surface wiping appear</w:t>
      </w:r>
      <w:r w:rsidR="00B06576">
        <w:t>ed</w:t>
      </w:r>
      <w:r>
        <w:t xml:space="preserve"> to be superior to daily decontamination in decreasing the exposure dose, primarily due to its increased frequency. Again, since our model structure did not allow for the exploration of spatial heterogeneity, the spatially specific nature of surface wiping </w:t>
      </w:r>
      <w:r w:rsidR="00B06576">
        <w:t>was</w:t>
      </w:r>
      <w:r>
        <w:t xml:space="preserve"> a feature that would provide additional benefits. </w:t>
      </w:r>
    </w:p>
    <w:p w14:paraId="6A950975" w14:textId="234AC31A" w:rsidR="00E03D36" w:rsidRDefault="00E03D36" w:rsidP="00E03D36">
      <w:pPr>
        <w:ind w:firstLine="720"/>
      </w:pPr>
      <w:r>
        <w:t>Finally, we performed a multivariate sensitivity analysis to examine the potential joint effects of nonporous surface transfer efficiency, skin die</w:t>
      </w:r>
      <w:r w:rsidR="00EB566E">
        <w:t>-</w:t>
      </w:r>
      <w:r>
        <w:t xml:space="preserve">off rate and </w:t>
      </w:r>
      <w:r w:rsidR="00921F91">
        <w:t>HCW</w:t>
      </w:r>
      <w:r>
        <w:t xml:space="preserve">’s contact rate. By comparing all </w:t>
      </w:r>
      <w:r w:rsidR="00EB566E">
        <w:t xml:space="preserve">the </w:t>
      </w:r>
      <w:r>
        <w:t xml:space="preserve">combinations of a high and low value, the results summarized in Table S3 suggest that each parameter roughly contributed </w:t>
      </w:r>
      <w:r w:rsidR="00EB566E">
        <w:t xml:space="preserve">to </w:t>
      </w:r>
      <w:r>
        <w:t>an independent effect to exposure. As the number of variables with high values increase</w:t>
      </w:r>
      <w:r w:rsidR="00B06576">
        <w:t>d</w:t>
      </w:r>
      <w:r w:rsidR="00A56521">
        <w:t>,</w:t>
      </w:r>
      <w:r>
        <w:t xml:space="preserve"> the exposure increase</w:t>
      </w:r>
      <w:r w:rsidR="00B06576">
        <w:t>d</w:t>
      </w:r>
      <w:r>
        <w:t>. Skin survivability seem</w:t>
      </w:r>
      <w:r w:rsidR="00B06576">
        <w:t>ed</w:t>
      </w:r>
      <w:r>
        <w:t xml:space="preserve"> to have the weakest effect and nonporous transfer efficiency</w:t>
      </w:r>
      <w:r w:rsidR="00A56521">
        <w:t>,</w:t>
      </w:r>
      <w:r>
        <w:t xml:space="preserve"> the strongest effect on exposure.  </w:t>
      </w:r>
    </w:p>
    <w:p w14:paraId="7298CB9B" w14:textId="77777777" w:rsidR="00E03D36" w:rsidRDefault="00E03D36" w:rsidP="00E03D36"/>
    <w:p w14:paraId="6AC7EE0B" w14:textId="77777777" w:rsidR="00917D1B" w:rsidRDefault="00917D1B" w:rsidP="00E03D36"/>
    <w:p w14:paraId="13041C34" w14:textId="77777777" w:rsidR="00934EF2" w:rsidRDefault="00934EF2" w:rsidP="007F17AC">
      <w:pPr>
        <w:rPr>
          <w:b/>
        </w:rPr>
      </w:pPr>
    </w:p>
    <w:p w14:paraId="1FBAA247" w14:textId="77777777" w:rsidR="00934EF2" w:rsidRDefault="00934EF2" w:rsidP="007F17AC">
      <w:pPr>
        <w:rPr>
          <w:b/>
        </w:rPr>
      </w:pPr>
    </w:p>
    <w:p w14:paraId="55F037C9" w14:textId="77777777" w:rsidR="00934EF2" w:rsidRDefault="00934EF2" w:rsidP="007F17AC">
      <w:pPr>
        <w:rPr>
          <w:b/>
        </w:rPr>
      </w:pPr>
    </w:p>
    <w:p w14:paraId="7B990A7C" w14:textId="77777777" w:rsidR="00934EF2" w:rsidRDefault="00934EF2" w:rsidP="007F17AC">
      <w:pPr>
        <w:rPr>
          <w:b/>
        </w:rPr>
      </w:pPr>
    </w:p>
    <w:p w14:paraId="3934298A" w14:textId="77777777" w:rsidR="00934EF2" w:rsidRDefault="00934EF2" w:rsidP="007F17AC">
      <w:pPr>
        <w:rPr>
          <w:b/>
        </w:rPr>
      </w:pPr>
    </w:p>
    <w:p w14:paraId="212A5B97" w14:textId="77777777" w:rsidR="00934EF2" w:rsidRDefault="00934EF2" w:rsidP="007F17AC">
      <w:pPr>
        <w:rPr>
          <w:b/>
        </w:rPr>
      </w:pPr>
    </w:p>
    <w:p w14:paraId="71087C21" w14:textId="77777777" w:rsidR="00934EF2" w:rsidRDefault="00934EF2" w:rsidP="007F17AC">
      <w:pPr>
        <w:rPr>
          <w:b/>
        </w:rPr>
      </w:pPr>
    </w:p>
    <w:p w14:paraId="6D8EFABE" w14:textId="77777777" w:rsidR="00CF65E8" w:rsidRDefault="00CF65E8" w:rsidP="002175B7">
      <w:pPr>
        <w:jc w:val="center"/>
        <w:rPr>
          <w:b/>
        </w:rPr>
      </w:pPr>
    </w:p>
    <w:p w14:paraId="21363580" w14:textId="77777777" w:rsidR="00CF65E8" w:rsidRDefault="00CF65E8" w:rsidP="002175B7">
      <w:pPr>
        <w:jc w:val="center"/>
        <w:rPr>
          <w:b/>
        </w:rPr>
      </w:pPr>
    </w:p>
    <w:p w14:paraId="37AF2753" w14:textId="77777777" w:rsidR="00751F0D" w:rsidRDefault="00751F0D" w:rsidP="00751F0D">
      <w:r w:rsidRPr="00AD5D66">
        <w:rPr>
          <w:b/>
        </w:rPr>
        <w:t>Figure S1</w:t>
      </w:r>
      <w:r>
        <w:rPr>
          <w:b/>
        </w:rPr>
        <w:t xml:space="preserve">. </w:t>
      </w:r>
      <w:proofErr w:type="gramStart"/>
      <w:r>
        <w:t xml:space="preserve">The proportion of the </w:t>
      </w:r>
      <w:r w:rsidR="00921F91">
        <w:t>HCW</w:t>
      </w:r>
      <w:r>
        <w:t>’s indirect exposure in the colonized patient’s room as a function of the nonporous surface transfer efficiency.</w:t>
      </w:r>
      <w:proofErr w:type="gramEnd"/>
      <w:r>
        <w:t xml:space="preserve"> Indirect exposure is the sum exposure from the porous and nonporous surfaces to the </w:t>
      </w:r>
      <w:r w:rsidR="00921F91">
        <w:t>HCW</w:t>
      </w:r>
      <w:r>
        <w:t xml:space="preserve">s. Percentage of indirect exposure to the </w:t>
      </w:r>
      <w:r w:rsidR="00921F91">
        <w:t>HCW</w:t>
      </w:r>
      <w:r>
        <w:t xml:space="preserve">s is shown above each bar. Simulation analysis in the main manuscript used 0.4 as the nonporous surface transfer efficiency, resulting in 70% indirect exposure to the </w:t>
      </w:r>
      <w:r w:rsidR="00921F91">
        <w:t>HCW</w:t>
      </w:r>
      <w:r>
        <w:t>s in the colonized patient’s room.</w:t>
      </w:r>
    </w:p>
    <w:p w14:paraId="55845AFE" w14:textId="77777777" w:rsidR="00934EF2" w:rsidRDefault="008B6694" w:rsidP="00751F0D">
      <w:r>
        <w:rPr>
          <w:noProof/>
        </w:rPr>
        <w:drawing>
          <wp:inline distT="0" distB="0" distL="0" distR="0" wp14:anchorId="26807BE8" wp14:editId="2A1E4435">
            <wp:extent cx="5943600" cy="4268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1_110113.pdf"/>
                    <pic:cNvPicPr/>
                  </pic:nvPicPr>
                  <pic:blipFill>
                    <a:blip r:embed="rId9">
                      <a:extLst>
                        <a:ext uri="{28A0092B-C50C-407E-A947-70E740481C1C}">
                          <a14:useLocalDpi xmlns:a14="http://schemas.microsoft.com/office/drawing/2010/main" val="0"/>
                        </a:ext>
                      </a:extLst>
                    </a:blip>
                    <a:stretch>
                      <a:fillRect/>
                    </a:stretch>
                  </pic:blipFill>
                  <pic:spPr>
                    <a:xfrm>
                      <a:off x="0" y="0"/>
                      <a:ext cx="5943600" cy="4268470"/>
                    </a:xfrm>
                    <a:prstGeom prst="rect">
                      <a:avLst/>
                    </a:prstGeom>
                  </pic:spPr>
                </pic:pic>
              </a:graphicData>
            </a:graphic>
          </wp:inline>
        </w:drawing>
      </w:r>
    </w:p>
    <w:p w14:paraId="51A392D2" w14:textId="77777777" w:rsidR="00934EF2" w:rsidRDefault="00934EF2" w:rsidP="00751F0D"/>
    <w:p w14:paraId="0B44663F" w14:textId="77777777" w:rsidR="00934EF2" w:rsidRDefault="00934EF2" w:rsidP="00751F0D">
      <w:pPr>
        <w:rPr>
          <w:b/>
        </w:rPr>
      </w:pPr>
    </w:p>
    <w:p w14:paraId="5A133E33" w14:textId="77777777" w:rsidR="00934EF2" w:rsidRDefault="00934EF2" w:rsidP="00751F0D">
      <w:pPr>
        <w:rPr>
          <w:b/>
        </w:rPr>
      </w:pPr>
    </w:p>
    <w:p w14:paraId="2F461706" w14:textId="77777777" w:rsidR="00E60C20" w:rsidRDefault="00E60C20" w:rsidP="00751F0D">
      <w:pPr>
        <w:rPr>
          <w:b/>
        </w:rPr>
      </w:pPr>
    </w:p>
    <w:p w14:paraId="2EEE1B9F" w14:textId="040F8009" w:rsidR="00751F0D" w:rsidRDefault="00751F0D" w:rsidP="00751F0D">
      <w:r w:rsidRPr="00AD5D66">
        <w:rPr>
          <w:b/>
        </w:rPr>
        <w:lastRenderedPageBreak/>
        <w:t>Figure S2</w:t>
      </w:r>
      <w:r>
        <w:rPr>
          <w:b/>
        </w:rPr>
        <w:t xml:space="preserve">. </w:t>
      </w:r>
      <w:proofErr w:type="gramStart"/>
      <w:r>
        <w:t>The proportion of the uncolonized patient’s indirect exposure as a function of the nonporous surface transfer efficiency.</w:t>
      </w:r>
      <w:proofErr w:type="gramEnd"/>
      <w:r>
        <w:t xml:space="preserve"> Indirect exposure is the sum exposure from the porous and nonporous surfaces to the uncolonized patient. Percentages of indirect exposure to the uncolonized patient are shown above each bar. Simulation analysis in the main manuscript used 0.4 as the nonporous surface transfer efficiency, resulting in 35% indirect exposure to the uncolonized patient.</w:t>
      </w:r>
    </w:p>
    <w:p w14:paraId="7FA65F73" w14:textId="77777777" w:rsidR="00934EF2" w:rsidRDefault="00896007" w:rsidP="00751F0D">
      <w:r>
        <w:rPr>
          <w:noProof/>
        </w:rPr>
        <w:drawing>
          <wp:inline distT="0" distB="0" distL="0" distR="0" wp14:anchorId="662B5F52" wp14:editId="28F4C43A">
            <wp:extent cx="5943600" cy="4025900"/>
            <wp:effectExtent l="0" t="0" r="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2_110113.pdf"/>
                    <pic:cNvPicPr/>
                  </pic:nvPicPr>
                  <pic:blipFill>
                    <a:blip r:embed="rId10">
                      <a:extLst>
                        <a:ext uri="{28A0092B-C50C-407E-A947-70E740481C1C}">
                          <a14:useLocalDpi xmlns:a14="http://schemas.microsoft.com/office/drawing/2010/main" val="0"/>
                        </a:ext>
                      </a:extLst>
                    </a:blip>
                    <a:stretch>
                      <a:fillRect/>
                    </a:stretch>
                  </pic:blipFill>
                  <pic:spPr>
                    <a:xfrm>
                      <a:off x="0" y="0"/>
                      <a:ext cx="5943600" cy="4025900"/>
                    </a:xfrm>
                    <a:prstGeom prst="rect">
                      <a:avLst/>
                    </a:prstGeom>
                  </pic:spPr>
                </pic:pic>
              </a:graphicData>
            </a:graphic>
          </wp:inline>
        </w:drawing>
      </w:r>
    </w:p>
    <w:p w14:paraId="2CA8C3ED" w14:textId="77777777" w:rsidR="002D0B85" w:rsidRDefault="002D0B85" w:rsidP="00751F0D">
      <w:pPr>
        <w:rPr>
          <w:b/>
        </w:rPr>
      </w:pPr>
    </w:p>
    <w:p w14:paraId="61712C65" w14:textId="77777777" w:rsidR="002D0B85" w:rsidRDefault="002D0B85" w:rsidP="00751F0D">
      <w:pPr>
        <w:rPr>
          <w:b/>
        </w:rPr>
      </w:pPr>
    </w:p>
    <w:p w14:paraId="4DC0FB9A" w14:textId="77777777" w:rsidR="002D0B85" w:rsidRDefault="002D0B85" w:rsidP="00751F0D">
      <w:pPr>
        <w:rPr>
          <w:b/>
        </w:rPr>
      </w:pPr>
    </w:p>
    <w:p w14:paraId="7F8125C6" w14:textId="77777777" w:rsidR="002D0B85" w:rsidRDefault="002D0B85" w:rsidP="00751F0D">
      <w:pPr>
        <w:rPr>
          <w:b/>
        </w:rPr>
      </w:pPr>
    </w:p>
    <w:p w14:paraId="18930D2D" w14:textId="578F6F1E" w:rsidR="00751F0D" w:rsidRDefault="00751F0D" w:rsidP="00751F0D">
      <w:r>
        <w:rPr>
          <w:b/>
        </w:rPr>
        <w:lastRenderedPageBreak/>
        <w:t xml:space="preserve">Figure S3. </w:t>
      </w:r>
      <w:r>
        <w:t xml:space="preserve">The </w:t>
      </w:r>
      <w:proofErr w:type="gramStart"/>
      <w:r>
        <w:t xml:space="preserve">proportion of the </w:t>
      </w:r>
      <w:r w:rsidR="00921F91">
        <w:t>HCW</w:t>
      </w:r>
      <w:r>
        <w:t>’s indirect exposure in the colonized patient’s room as a function of the skin transfer</w:t>
      </w:r>
      <w:proofErr w:type="gramEnd"/>
      <w:r>
        <w:t xml:space="preserve"> efficiency. Indirect exposure is the sum exposure from the porous and nonporous surfaces to the </w:t>
      </w:r>
      <w:r w:rsidR="00921F91">
        <w:t>HCW</w:t>
      </w:r>
      <w:r>
        <w:t xml:space="preserve">. Percentage of indirect exposure to the </w:t>
      </w:r>
      <w:r w:rsidR="00921F91">
        <w:t>HCW</w:t>
      </w:r>
      <w:r>
        <w:t xml:space="preserve">s is shown above each bar. Simulation analysis in the main manuscript used </w:t>
      </w:r>
      <w:r w:rsidR="00201C91">
        <w:t>0.35</w:t>
      </w:r>
      <w:r>
        <w:t xml:space="preserve"> as the skin transfer efficiency, resulting in 70% indirect exposure to the </w:t>
      </w:r>
      <w:r w:rsidR="00921F91">
        <w:t>HCW</w:t>
      </w:r>
      <w:r>
        <w:t>s in the colonized patient’s room.</w:t>
      </w:r>
    </w:p>
    <w:p w14:paraId="5C6D2EB8" w14:textId="77777777" w:rsidR="002D0B85" w:rsidRDefault="004C26F4" w:rsidP="00751F0D">
      <w:pPr>
        <w:rPr>
          <w:b/>
        </w:rPr>
      </w:pPr>
      <w:r w:rsidRPr="0070696A">
        <w:rPr>
          <w:b/>
          <w:noProof/>
        </w:rPr>
        <w:drawing>
          <wp:inline distT="0" distB="0" distL="0" distR="0" wp14:anchorId="5118AD13" wp14:editId="3AB4A119">
            <wp:extent cx="5943600" cy="41014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3_110113.pdf"/>
                    <pic:cNvPicPr/>
                  </pic:nvPicPr>
                  <pic:blipFill>
                    <a:blip r:embed="rId11">
                      <a:extLst>
                        <a:ext uri="{28A0092B-C50C-407E-A947-70E740481C1C}">
                          <a14:useLocalDpi xmlns:a14="http://schemas.microsoft.com/office/drawing/2010/main" val="0"/>
                        </a:ext>
                      </a:extLst>
                    </a:blip>
                    <a:stretch>
                      <a:fillRect/>
                    </a:stretch>
                  </pic:blipFill>
                  <pic:spPr>
                    <a:xfrm>
                      <a:off x="0" y="0"/>
                      <a:ext cx="5943600" cy="4101465"/>
                    </a:xfrm>
                    <a:prstGeom prst="rect">
                      <a:avLst/>
                    </a:prstGeom>
                  </pic:spPr>
                </pic:pic>
              </a:graphicData>
            </a:graphic>
          </wp:inline>
        </w:drawing>
      </w:r>
    </w:p>
    <w:p w14:paraId="63A62B99" w14:textId="77777777" w:rsidR="002D0B85" w:rsidRDefault="002D0B85" w:rsidP="00751F0D">
      <w:pPr>
        <w:rPr>
          <w:b/>
        </w:rPr>
      </w:pPr>
    </w:p>
    <w:p w14:paraId="78E375DA" w14:textId="77777777" w:rsidR="002D0B85" w:rsidRDefault="002D0B85" w:rsidP="00751F0D">
      <w:pPr>
        <w:rPr>
          <w:b/>
        </w:rPr>
      </w:pPr>
    </w:p>
    <w:p w14:paraId="492D3444" w14:textId="77777777" w:rsidR="002D0B85" w:rsidRDefault="002D0B85" w:rsidP="00751F0D">
      <w:pPr>
        <w:rPr>
          <w:b/>
        </w:rPr>
      </w:pPr>
    </w:p>
    <w:p w14:paraId="663AE925" w14:textId="77777777" w:rsidR="002D0B85" w:rsidRDefault="002D0B85" w:rsidP="00751F0D">
      <w:pPr>
        <w:rPr>
          <w:b/>
        </w:rPr>
      </w:pPr>
    </w:p>
    <w:p w14:paraId="7D0F257A" w14:textId="77777777" w:rsidR="002D0B85" w:rsidRDefault="002D0B85" w:rsidP="00751F0D">
      <w:pPr>
        <w:rPr>
          <w:b/>
        </w:rPr>
      </w:pPr>
    </w:p>
    <w:p w14:paraId="491DAEE2" w14:textId="77777777" w:rsidR="002D0B85" w:rsidRDefault="002D0B85" w:rsidP="00751F0D">
      <w:pPr>
        <w:rPr>
          <w:b/>
        </w:rPr>
      </w:pPr>
    </w:p>
    <w:p w14:paraId="12CAEDCB" w14:textId="51A87B90" w:rsidR="00751F0D" w:rsidRDefault="00751F0D" w:rsidP="00751F0D">
      <w:r>
        <w:rPr>
          <w:b/>
        </w:rPr>
        <w:lastRenderedPageBreak/>
        <w:t xml:space="preserve">Figure S4. </w:t>
      </w:r>
      <w:r>
        <w:t xml:space="preserve">The </w:t>
      </w:r>
      <w:proofErr w:type="gramStart"/>
      <w:r>
        <w:t>proportion of the uncolonized patient’s indirect exposure as a function of the skin transfer</w:t>
      </w:r>
      <w:proofErr w:type="gramEnd"/>
      <w:r>
        <w:t xml:space="preserve"> efficiency. Indirect exposure is the sum exposure from the porous and nonporous surfaces to the uncolonized patient. Percentages of indirect exposure to the uncolonized patient are shown above each bar. Simulation analysis in the main manuscript used </w:t>
      </w:r>
      <w:r w:rsidR="00201C91">
        <w:t>0.35</w:t>
      </w:r>
      <w:r w:rsidR="003B5049">
        <w:rPr>
          <w:vertAlign w:val="superscript"/>
        </w:rPr>
        <w:t xml:space="preserve"> </w:t>
      </w:r>
      <w:r>
        <w:t>as the skin transfer efficiency, resulting in 35% indirect exposure to the uncolonized patient.</w:t>
      </w:r>
    </w:p>
    <w:p w14:paraId="0E11487C" w14:textId="77777777" w:rsidR="002D0B85" w:rsidRDefault="004C26F4" w:rsidP="00751F0D">
      <w:pPr>
        <w:rPr>
          <w:b/>
        </w:rPr>
      </w:pPr>
      <w:r w:rsidRPr="0070696A">
        <w:rPr>
          <w:b/>
          <w:noProof/>
        </w:rPr>
        <w:drawing>
          <wp:inline distT="0" distB="0" distL="0" distR="0" wp14:anchorId="3E9504D6" wp14:editId="75E76DE4">
            <wp:extent cx="5943600" cy="43757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4_110113.pdf"/>
                    <pic:cNvPicPr/>
                  </pic:nvPicPr>
                  <pic:blipFill>
                    <a:blip r:embed="rId12">
                      <a:extLst>
                        <a:ext uri="{28A0092B-C50C-407E-A947-70E740481C1C}">
                          <a14:useLocalDpi xmlns:a14="http://schemas.microsoft.com/office/drawing/2010/main" val="0"/>
                        </a:ext>
                      </a:extLst>
                    </a:blip>
                    <a:stretch>
                      <a:fillRect/>
                    </a:stretch>
                  </pic:blipFill>
                  <pic:spPr>
                    <a:xfrm>
                      <a:off x="0" y="0"/>
                      <a:ext cx="5943600" cy="4375785"/>
                    </a:xfrm>
                    <a:prstGeom prst="rect">
                      <a:avLst/>
                    </a:prstGeom>
                  </pic:spPr>
                </pic:pic>
              </a:graphicData>
            </a:graphic>
          </wp:inline>
        </w:drawing>
      </w:r>
    </w:p>
    <w:p w14:paraId="48167851" w14:textId="77777777" w:rsidR="002D0B85" w:rsidRDefault="002D0B85" w:rsidP="00751F0D">
      <w:pPr>
        <w:rPr>
          <w:b/>
        </w:rPr>
      </w:pPr>
    </w:p>
    <w:p w14:paraId="211288E7" w14:textId="77777777" w:rsidR="002D0B85" w:rsidRDefault="002D0B85" w:rsidP="00751F0D">
      <w:pPr>
        <w:rPr>
          <w:b/>
        </w:rPr>
      </w:pPr>
    </w:p>
    <w:p w14:paraId="5F1AD8B6" w14:textId="77777777" w:rsidR="002D0B85" w:rsidRDefault="002D0B85" w:rsidP="00751F0D">
      <w:pPr>
        <w:rPr>
          <w:b/>
        </w:rPr>
      </w:pPr>
    </w:p>
    <w:p w14:paraId="23F8B34F" w14:textId="77777777" w:rsidR="002D0B85" w:rsidRDefault="002D0B85" w:rsidP="00751F0D">
      <w:pPr>
        <w:rPr>
          <w:b/>
        </w:rPr>
      </w:pPr>
    </w:p>
    <w:p w14:paraId="1703947A" w14:textId="479922B2" w:rsidR="00751F0D" w:rsidRDefault="00751F0D" w:rsidP="00751F0D">
      <w:r>
        <w:rPr>
          <w:b/>
        </w:rPr>
        <w:lastRenderedPageBreak/>
        <w:t xml:space="preserve">Figure S5. </w:t>
      </w:r>
      <w:r>
        <w:t xml:space="preserve">The proportion of the </w:t>
      </w:r>
      <w:r w:rsidR="00921F91">
        <w:t>HCW</w:t>
      </w:r>
      <w:r>
        <w:t xml:space="preserve">’s exposure in the colonized patient’s room that is indirect as a function of the nonporous surface die-off rate. Indirect exposure is the sum exposure from the porous and nonporous surfaces to the </w:t>
      </w:r>
      <w:r w:rsidR="00921F91">
        <w:t>HCW</w:t>
      </w:r>
      <w:r>
        <w:t xml:space="preserve">. Percentage of indirect exposure to the </w:t>
      </w:r>
      <w:r w:rsidR="00921F91">
        <w:t>HCW</w:t>
      </w:r>
      <w:r>
        <w:t xml:space="preserve">s is shown above each bar. Simulation analysis in the main manuscript used 2 </w:t>
      </w:r>
      <w:r w:rsidR="00050A57">
        <w:rPr>
          <w:rFonts w:ascii="Times New Roman" w:hAnsi="Times New Roman"/>
        </w:rPr>
        <w:t>×</w:t>
      </w:r>
      <w:r>
        <w:t xml:space="preserve"> 10</w:t>
      </w:r>
      <w:r w:rsidRPr="00F24471">
        <w:rPr>
          <w:vertAlign w:val="superscript"/>
        </w:rPr>
        <w:t>-4</w:t>
      </w:r>
      <w:r>
        <w:t xml:space="preserve"> min</w:t>
      </w:r>
      <w:r w:rsidRPr="00F24471">
        <w:rPr>
          <w:vertAlign w:val="superscript"/>
        </w:rPr>
        <w:t>-1</w:t>
      </w:r>
      <w:r>
        <w:t xml:space="preserve"> as the nonporous surface die-off rate, resulting in 70% indirect exposure to the </w:t>
      </w:r>
      <w:r w:rsidR="00921F91">
        <w:t>HCW</w:t>
      </w:r>
      <w:r>
        <w:t>s in the colonized patient’s room.</w:t>
      </w:r>
    </w:p>
    <w:p w14:paraId="7F63B753" w14:textId="77777777" w:rsidR="002D0B85" w:rsidRDefault="003E4F1C" w:rsidP="00751F0D">
      <w:pPr>
        <w:rPr>
          <w:b/>
        </w:rPr>
      </w:pPr>
      <w:r w:rsidRPr="0070696A">
        <w:rPr>
          <w:b/>
          <w:noProof/>
        </w:rPr>
        <w:drawing>
          <wp:inline distT="0" distB="0" distL="0" distR="0" wp14:anchorId="4A6FB019" wp14:editId="39C39B0E">
            <wp:extent cx="5943600" cy="4128770"/>
            <wp:effectExtent l="0" t="0" r="0" b="1143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5_110113.pdf"/>
                    <pic:cNvPicPr/>
                  </pic:nvPicPr>
                  <pic:blipFill>
                    <a:blip r:embed="rId13">
                      <a:extLst>
                        <a:ext uri="{28A0092B-C50C-407E-A947-70E740481C1C}">
                          <a14:useLocalDpi xmlns:a14="http://schemas.microsoft.com/office/drawing/2010/main" val="0"/>
                        </a:ext>
                      </a:extLst>
                    </a:blip>
                    <a:stretch>
                      <a:fillRect/>
                    </a:stretch>
                  </pic:blipFill>
                  <pic:spPr>
                    <a:xfrm>
                      <a:off x="0" y="0"/>
                      <a:ext cx="5943600" cy="4128770"/>
                    </a:xfrm>
                    <a:prstGeom prst="rect">
                      <a:avLst/>
                    </a:prstGeom>
                  </pic:spPr>
                </pic:pic>
              </a:graphicData>
            </a:graphic>
          </wp:inline>
        </w:drawing>
      </w:r>
    </w:p>
    <w:p w14:paraId="2F7CF565" w14:textId="77777777" w:rsidR="002D0B85" w:rsidRDefault="002D0B85" w:rsidP="00751F0D">
      <w:pPr>
        <w:rPr>
          <w:b/>
        </w:rPr>
      </w:pPr>
    </w:p>
    <w:p w14:paraId="67DF0279" w14:textId="77777777" w:rsidR="002D0B85" w:rsidRDefault="002D0B85" w:rsidP="00751F0D">
      <w:pPr>
        <w:rPr>
          <w:b/>
        </w:rPr>
      </w:pPr>
    </w:p>
    <w:p w14:paraId="716ED38A" w14:textId="77777777" w:rsidR="002D0B85" w:rsidRDefault="002D0B85" w:rsidP="00751F0D">
      <w:pPr>
        <w:rPr>
          <w:b/>
        </w:rPr>
      </w:pPr>
    </w:p>
    <w:p w14:paraId="43B65170" w14:textId="77777777" w:rsidR="002D0B85" w:rsidRDefault="002D0B85" w:rsidP="00751F0D">
      <w:pPr>
        <w:rPr>
          <w:b/>
        </w:rPr>
      </w:pPr>
    </w:p>
    <w:p w14:paraId="445F1CB7" w14:textId="7B05D767" w:rsidR="00751F0D" w:rsidRDefault="00751F0D" w:rsidP="00751F0D">
      <w:r>
        <w:rPr>
          <w:b/>
        </w:rPr>
        <w:lastRenderedPageBreak/>
        <w:t xml:space="preserve">Figure S6. </w:t>
      </w:r>
      <w:proofErr w:type="gramStart"/>
      <w:r>
        <w:t>The proportion of the uncolonized patient’s indirect exposure as a function of the nonporous surface die-off rate.</w:t>
      </w:r>
      <w:proofErr w:type="gramEnd"/>
      <w:r>
        <w:t xml:space="preserve"> Indirect exposure is the sum exposure from the porous and nonporous surfaces to the uncolonized patient. Percentages of indirect exposure to the uncolonized patient are shown above each bar. Simulation analysis in the main manuscript used 2 </w:t>
      </w:r>
      <w:r w:rsidR="00050A57">
        <w:rPr>
          <w:rFonts w:ascii="Times New Roman" w:hAnsi="Times New Roman"/>
        </w:rPr>
        <w:t>×</w:t>
      </w:r>
      <w:r>
        <w:t xml:space="preserve"> 10</w:t>
      </w:r>
      <w:r w:rsidRPr="00F24471">
        <w:rPr>
          <w:vertAlign w:val="superscript"/>
        </w:rPr>
        <w:t>-4</w:t>
      </w:r>
      <w:r>
        <w:t xml:space="preserve"> min</w:t>
      </w:r>
      <w:r w:rsidRPr="00F24471">
        <w:rPr>
          <w:vertAlign w:val="superscript"/>
        </w:rPr>
        <w:t>-1</w:t>
      </w:r>
      <w:r w:rsidR="000B41C2">
        <w:rPr>
          <w:vertAlign w:val="superscript"/>
        </w:rPr>
        <w:t xml:space="preserve"> </w:t>
      </w:r>
      <w:r>
        <w:t>as the nonporous surface die-off rate, resulting in 35% indirect exposure to the uncolonized patient.</w:t>
      </w:r>
    </w:p>
    <w:p w14:paraId="0FDD68F5" w14:textId="77777777" w:rsidR="002D0B85" w:rsidRDefault="003E4F1C" w:rsidP="00751F0D">
      <w:pPr>
        <w:rPr>
          <w:b/>
        </w:rPr>
      </w:pPr>
      <w:r w:rsidRPr="0070696A">
        <w:rPr>
          <w:b/>
          <w:noProof/>
        </w:rPr>
        <w:drawing>
          <wp:inline distT="0" distB="0" distL="0" distR="0" wp14:anchorId="2020381D" wp14:editId="0F1563B7">
            <wp:extent cx="5943600" cy="451421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6_110113.pdf"/>
                    <pic:cNvPicPr/>
                  </pic:nvPicPr>
                  <pic:blipFill>
                    <a:blip r:embed="rId14">
                      <a:extLst>
                        <a:ext uri="{28A0092B-C50C-407E-A947-70E740481C1C}">
                          <a14:useLocalDpi xmlns:a14="http://schemas.microsoft.com/office/drawing/2010/main" val="0"/>
                        </a:ext>
                      </a:extLst>
                    </a:blip>
                    <a:stretch>
                      <a:fillRect/>
                    </a:stretch>
                  </pic:blipFill>
                  <pic:spPr>
                    <a:xfrm>
                      <a:off x="0" y="0"/>
                      <a:ext cx="5943600" cy="4514215"/>
                    </a:xfrm>
                    <a:prstGeom prst="rect">
                      <a:avLst/>
                    </a:prstGeom>
                  </pic:spPr>
                </pic:pic>
              </a:graphicData>
            </a:graphic>
          </wp:inline>
        </w:drawing>
      </w:r>
    </w:p>
    <w:p w14:paraId="3C1035A1" w14:textId="77777777" w:rsidR="002D0B85" w:rsidRDefault="002D0B85" w:rsidP="00751F0D">
      <w:pPr>
        <w:rPr>
          <w:b/>
        </w:rPr>
      </w:pPr>
    </w:p>
    <w:p w14:paraId="54E624EC" w14:textId="77777777" w:rsidR="002D0B85" w:rsidRDefault="002D0B85" w:rsidP="00751F0D">
      <w:pPr>
        <w:rPr>
          <w:b/>
        </w:rPr>
      </w:pPr>
    </w:p>
    <w:p w14:paraId="1C235DDC" w14:textId="77777777" w:rsidR="002D0B85" w:rsidRDefault="002D0B85" w:rsidP="00751F0D">
      <w:pPr>
        <w:rPr>
          <w:b/>
        </w:rPr>
      </w:pPr>
    </w:p>
    <w:p w14:paraId="13D47886" w14:textId="2A25745E" w:rsidR="00751F0D" w:rsidRDefault="00751F0D" w:rsidP="00751F0D">
      <w:r>
        <w:rPr>
          <w:b/>
        </w:rPr>
        <w:lastRenderedPageBreak/>
        <w:t xml:space="preserve">Figure S7. </w:t>
      </w:r>
      <w:proofErr w:type="gramStart"/>
      <w:r>
        <w:t xml:space="preserve">The proportion of the </w:t>
      </w:r>
      <w:r w:rsidR="00921F91">
        <w:t>HCW</w:t>
      </w:r>
      <w:r>
        <w:t>’s indirect exposure in the colonized patient’s room as a function of the skin die-off rate.</w:t>
      </w:r>
      <w:proofErr w:type="gramEnd"/>
      <w:r>
        <w:t xml:space="preserve"> Indirect exposure is the sum exposure from the porous and nonporous surfaces to the </w:t>
      </w:r>
      <w:r w:rsidR="00921F91">
        <w:t>HCW</w:t>
      </w:r>
      <w:r>
        <w:t xml:space="preserve">. Percentage of indirect exposure to the </w:t>
      </w:r>
      <w:r w:rsidR="00921F91">
        <w:t>HCW</w:t>
      </w:r>
      <w:r>
        <w:t xml:space="preserve">s is shown above each bar. Simulation analysis in the main manuscript used 35.3 </w:t>
      </w:r>
      <w:r w:rsidR="00050A57">
        <w:rPr>
          <w:rFonts w:ascii="Times New Roman" w:hAnsi="Times New Roman"/>
        </w:rPr>
        <w:t>×</w:t>
      </w:r>
      <w:r>
        <w:t xml:space="preserve"> 10</w:t>
      </w:r>
      <w:r w:rsidRPr="00F24471">
        <w:rPr>
          <w:vertAlign w:val="superscript"/>
        </w:rPr>
        <w:t>-</w:t>
      </w:r>
      <w:r>
        <w:rPr>
          <w:vertAlign w:val="superscript"/>
        </w:rPr>
        <w:t>4</w:t>
      </w:r>
      <w:r>
        <w:t xml:space="preserve"> min</w:t>
      </w:r>
      <w:r w:rsidRPr="00F24471">
        <w:rPr>
          <w:vertAlign w:val="superscript"/>
        </w:rPr>
        <w:t>-1</w:t>
      </w:r>
      <w:r>
        <w:t xml:space="preserve"> as the skin die-off rate, resulting in 70% indirect exposure to the </w:t>
      </w:r>
      <w:r w:rsidR="00921F91">
        <w:t>HCW</w:t>
      </w:r>
      <w:r>
        <w:t>s in the colonized patient’s room.</w:t>
      </w:r>
    </w:p>
    <w:p w14:paraId="5920579D" w14:textId="77777777" w:rsidR="002D0B85" w:rsidRDefault="00A23F06" w:rsidP="00751F0D">
      <w:pPr>
        <w:rPr>
          <w:b/>
        </w:rPr>
      </w:pPr>
      <w:r w:rsidRPr="0070696A">
        <w:rPr>
          <w:b/>
          <w:noProof/>
        </w:rPr>
        <w:drawing>
          <wp:inline distT="0" distB="0" distL="0" distR="0" wp14:anchorId="429F1947" wp14:editId="6C99A2AA">
            <wp:extent cx="5943600" cy="41878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7_110113.pdf"/>
                    <pic:cNvPicPr/>
                  </pic:nvPicPr>
                  <pic:blipFill>
                    <a:blip r:embed="rId15">
                      <a:extLst>
                        <a:ext uri="{28A0092B-C50C-407E-A947-70E740481C1C}">
                          <a14:useLocalDpi xmlns:a14="http://schemas.microsoft.com/office/drawing/2010/main" val="0"/>
                        </a:ext>
                      </a:extLst>
                    </a:blip>
                    <a:stretch>
                      <a:fillRect/>
                    </a:stretch>
                  </pic:blipFill>
                  <pic:spPr>
                    <a:xfrm>
                      <a:off x="0" y="0"/>
                      <a:ext cx="5943600" cy="4187825"/>
                    </a:xfrm>
                    <a:prstGeom prst="rect">
                      <a:avLst/>
                    </a:prstGeom>
                  </pic:spPr>
                </pic:pic>
              </a:graphicData>
            </a:graphic>
          </wp:inline>
        </w:drawing>
      </w:r>
    </w:p>
    <w:p w14:paraId="48CDFEF2" w14:textId="77777777" w:rsidR="002D0B85" w:rsidRDefault="002D0B85" w:rsidP="00751F0D">
      <w:pPr>
        <w:rPr>
          <w:b/>
        </w:rPr>
      </w:pPr>
    </w:p>
    <w:p w14:paraId="21BA6CBF" w14:textId="77777777" w:rsidR="002D0B85" w:rsidRDefault="002D0B85" w:rsidP="00751F0D">
      <w:pPr>
        <w:rPr>
          <w:b/>
        </w:rPr>
      </w:pPr>
    </w:p>
    <w:p w14:paraId="07EAA545" w14:textId="77777777" w:rsidR="002D0B85" w:rsidRDefault="002D0B85" w:rsidP="00751F0D">
      <w:pPr>
        <w:rPr>
          <w:b/>
        </w:rPr>
      </w:pPr>
    </w:p>
    <w:p w14:paraId="4FD2FF4A" w14:textId="77777777" w:rsidR="002D0B85" w:rsidRDefault="002D0B85" w:rsidP="00751F0D">
      <w:pPr>
        <w:rPr>
          <w:b/>
        </w:rPr>
      </w:pPr>
    </w:p>
    <w:p w14:paraId="6C988EB3" w14:textId="77777777" w:rsidR="002D0B85" w:rsidRDefault="002D0B85" w:rsidP="00751F0D">
      <w:pPr>
        <w:rPr>
          <w:b/>
        </w:rPr>
      </w:pPr>
    </w:p>
    <w:p w14:paraId="33A75A8B" w14:textId="3C9BACEE" w:rsidR="00751F0D" w:rsidRDefault="00751F0D" w:rsidP="00751F0D">
      <w:r>
        <w:rPr>
          <w:b/>
        </w:rPr>
        <w:lastRenderedPageBreak/>
        <w:t xml:space="preserve">Figure S8. </w:t>
      </w:r>
      <w:proofErr w:type="gramStart"/>
      <w:r>
        <w:t xml:space="preserve">The proportion of the </w:t>
      </w:r>
      <w:r w:rsidR="00921F91">
        <w:t>HCW</w:t>
      </w:r>
      <w:r>
        <w:t>’s indirect exposure as a function of the skin die-off rate.</w:t>
      </w:r>
      <w:proofErr w:type="gramEnd"/>
      <w:r>
        <w:t xml:space="preserve"> Indirect exposure is the sum exposure from the porous and nonporous surfaces to the uncolonized patient. Percentages of indirect exposure to the </w:t>
      </w:r>
      <w:r w:rsidR="00921F91">
        <w:t>HCW</w:t>
      </w:r>
      <w:r>
        <w:t xml:space="preserve"> are shown above each bar. Simulation analysis in the main manuscript used 35.3 </w:t>
      </w:r>
      <w:r w:rsidR="00AC30EE">
        <w:rPr>
          <w:rFonts w:ascii="Times New Roman" w:hAnsi="Times New Roman"/>
        </w:rPr>
        <w:t>×</w:t>
      </w:r>
      <w:r>
        <w:t xml:space="preserve"> 10</w:t>
      </w:r>
      <w:r w:rsidRPr="00F24471">
        <w:rPr>
          <w:vertAlign w:val="superscript"/>
        </w:rPr>
        <w:t>-4</w:t>
      </w:r>
      <w:r>
        <w:t xml:space="preserve"> min</w:t>
      </w:r>
      <w:r w:rsidRPr="00F24471">
        <w:rPr>
          <w:vertAlign w:val="superscript"/>
        </w:rPr>
        <w:t>-1</w:t>
      </w:r>
      <w:r>
        <w:t xml:space="preserve"> as the skin die-off rate, resulting in 35% indirect exposure to the </w:t>
      </w:r>
      <w:r w:rsidR="00921F91">
        <w:t>HCW</w:t>
      </w:r>
      <w:r>
        <w:t>.</w:t>
      </w:r>
    </w:p>
    <w:p w14:paraId="36496787" w14:textId="77777777" w:rsidR="002D0B85" w:rsidRDefault="00A23F06" w:rsidP="00751F0D">
      <w:pPr>
        <w:rPr>
          <w:b/>
        </w:rPr>
      </w:pPr>
      <w:r w:rsidRPr="0070696A">
        <w:rPr>
          <w:b/>
          <w:noProof/>
        </w:rPr>
        <w:drawing>
          <wp:inline distT="0" distB="0" distL="0" distR="0" wp14:anchorId="5D0246D9" wp14:editId="3B64CCAC">
            <wp:extent cx="5943600" cy="43541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8_110113.pdf"/>
                    <pic:cNvPicPr/>
                  </pic:nvPicPr>
                  <pic:blipFill>
                    <a:blip r:embed="rId16">
                      <a:extLst>
                        <a:ext uri="{28A0092B-C50C-407E-A947-70E740481C1C}">
                          <a14:useLocalDpi xmlns:a14="http://schemas.microsoft.com/office/drawing/2010/main" val="0"/>
                        </a:ext>
                      </a:extLst>
                    </a:blip>
                    <a:stretch>
                      <a:fillRect/>
                    </a:stretch>
                  </pic:blipFill>
                  <pic:spPr>
                    <a:xfrm>
                      <a:off x="0" y="0"/>
                      <a:ext cx="5943600" cy="4354195"/>
                    </a:xfrm>
                    <a:prstGeom prst="rect">
                      <a:avLst/>
                    </a:prstGeom>
                  </pic:spPr>
                </pic:pic>
              </a:graphicData>
            </a:graphic>
          </wp:inline>
        </w:drawing>
      </w:r>
    </w:p>
    <w:p w14:paraId="39158880" w14:textId="77777777" w:rsidR="002D0B85" w:rsidRDefault="002D0B85" w:rsidP="00751F0D">
      <w:pPr>
        <w:rPr>
          <w:b/>
        </w:rPr>
      </w:pPr>
    </w:p>
    <w:p w14:paraId="0A2263E8" w14:textId="77777777" w:rsidR="002D0B85" w:rsidRDefault="002D0B85" w:rsidP="00751F0D">
      <w:pPr>
        <w:rPr>
          <w:b/>
        </w:rPr>
      </w:pPr>
    </w:p>
    <w:p w14:paraId="645F60BE" w14:textId="77777777" w:rsidR="002D0B85" w:rsidRDefault="002D0B85" w:rsidP="00751F0D">
      <w:pPr>
        <w:rPr>
          <w:b/>
        </w:rPr>
      </w:pPr>
    </w:p>
    <w:p w14:paraId="3A0F5255" w14:textId="77777777" w:rsidR="002D0B85" w:rsidRDefault="002D0B85" w:rsidP="00751F0D">
      <w:pPr>
        <w:rPr>
          <w:b/>
        </w:rPr>
      </w:pPr>
    </w:p>
    <w:p w14:paraId="78D663A3" w14:textId="77777777" w:rsidR="00E60C20" w:rsidRDefault="00E60C20" w:rsidP="00751F0D">
      <w:pPr>
        <w:rPr>
          <w:b/>
        </w:rPr>
      </w:pPr>
    </w:p>
    <w:p w14:paraId="53B95F79" w14:textId="77777777" w:rsidR="00751F0D" w:rsidRDefault="00751F0D" w:rsidP="00751F0D">
      <w:r>
        <w:rPr>
          <w:b/>
        </w:rPr>
        <w:lastRenderedPageBreak/>
        <w:t xml:space="preserve">Figure S9. </w:t>
      </w:r>
      <w:proofErr w:type="gramStart"/>
      <w:r>
        <w:t xml:space="preserve">The proportion of the </w:t>
      </w:r>
      <w:r w:rsidR="00921F91">
        <w:t>HCW</w:t>
      </w:r>
      <w:r>
        <w:t xml:space="preserve">’s indirect exposure as a function of the </w:t>
      </w:r>
      <w:r w:rsidR="00921F91">
        <w:t>HCW</w:t>
      </w:r>
      <w:r w:rsidR="008A72CD">
        <w:t>’</w:t>
      </w:r>
      <w:r>
        <w:t>s contact rate.</w:t>
      </w:r>
      <w:proofErr w:type="gramEnd"/>
      <w:r>
        <w:t xml:space="preserve"> The </w:t>
      </w:r>
      <w:r w:rsidR="00921F91">
        <w:t>HCW</w:t>
      </w:r>
      <w:r w:rsidR="008A72CD">
        <w:t>’s</w:t>
      </w:r>
      <w:r>
        <w:t xml:space="preserve"> contact </w:t>
      </w:r>
      <w:proofErr w:type="gramStart"/>
      <w:r>
        <w:t xml:space="preserve">rate of surfaces and </w:t>
      </w:r>
      <w:r w:rsidR="008A72CD">
        <w:t xml:space="preserve">of </w:t>
      </w:r>
      <w:r>
        <w:t>patients are</w:t>
      </w:r>
      <w:proofErr w:type="gramEnd"/>
      <w:r>
        <w:t xml:space="preserve"> assumed to be equal. Indirect exposure is the sum exposure from the porous and nonporous surfaces to the </w:t>
      </w:r>
      <w:r w:rsidR="00921F91">
        <w:t>HCW</w:t>
      </w:r>
      <w:r>
        <w:t xml:space="preserve">. Percentages of indirect exposure to the uncolonized patient are shown above each bar. Simulation analysis in the main manuscript used 8 as the number of times the </w:t>
      </w:r>
      <w:r w:rsidR="00921F91">
        <w:t>HCW</w:t>
      </w:r>
      <w:r>
        <w:t xml:space="preserve"> touches each surface and patient per visit, resulting in 70% indirect exposure to the uncolonized patient.</w:t>
      </w:r>
    </w:p>
    <w:p w14:paraId="09907728" w14:textId="77777777" w:rsidR="002D0B85" w:rsidRDefault="00BF0221" w:rsidP="00751F0D">
      <w:pPr>
        <w:rPr>
          <w:b/>
        </w:rPr>
      </w:pPr>
      <w:r w:rsidRPr="0070696A">
        <w:rPr>
          <w:b/>
          <w:noProof/>
        </w:rPr>
        <w:drawing>
          <wp:inline distT="0" distB="0" distL="0" distR="0" wp14:anchorId="250CB428" wp14:editId="73683BEB">
            <wp:extent cx="5943600" cy="4076700"/>
            <wp:effectExtent l="0" t="0" r="0" b="127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9_110113.pdf"/>
                    <pic:cNvPicPr/>
                  </pic:nvPicPr>
                  <pic:blipFill>
                    <a:blip r:embed="rId17">
                      <a:extLst>
                        <a:ext uri="{28A0092B-C50C-407E-A947-70E740481C1C}">
                          <a14:useLocalDpi xmlns:a14="http://schemas.microsoft.com/office/drawing/2010/main" val="0"/>
                        </a:ext>
                      </a:extLst>
                    </a:blip>
                    <a:stretch>
                      <a:fillRect/>
                    </a:stretch>
                  </pic:blipFill>
                  <pic:spPr>
                    <a:xfrm>
                      <a:off x="0" y="0"/>
                      <a:ext cx="5943600" cy="4076700"/>
                    </a:xfrm>
                    <a:prstGeom prst="rect">
                      <a:avLst/>
                    </a:prstGeom>
                  </pic:spPr>
                </pic:pic>
              </a:graphicData>
            </a:graphic>
          </wp:inline>
        </w:drawing>
      </w:r>
    </w:p>
    <w:p w14:paraId="0637F6FA" w14:textId="77777777" w:rsidR="002D0B85" w:rsidRDefault="002D0B85" w:rsidP="00751F0D">
      <w:pPr>
        <w:rPr>
          <w:b/>
        </w:rPr>
      </w:pPr>
    </w:p>
    <w:p w14:paraId="2C0A8633" w14:textId="77777777" w:rsidR="002D0B85" w:rsidRDefault="002D0B85" w:rsidP="00751F0D">
      <w:pPr>
        <w:rPr>
          <w:b/>
        </w:rPr>
      </w:pPr>
    </w:p>
    <w:p w14:paraId="2ACB20E7" w14:textId="77777777" w:rsidR="002D0B85" w:rsidRDefault="002D0B85" w:rsidP="00751F0D">
      <w:pPr>
        <w:rPr>
          <w:b/>
        </w:rPr>
      </w:pPr>
    </w:p>
    <w:p w14:paraId="4DBA179B" w14:textId="77777777" w:rsidR="002D0B85" w:rsidRDefault="002D0B85" w:rsidP="00751F0D">
      <w:pPr>
        <w:rPr>
          <w:b/>
        </w:rPr>
      </w:pPr>
    </w:p>
    <w:p w14:paraId="77287F67" w14:textId="77777777" w:rsidR="002D0B85" w:rsidRDefault="002D0B85" w:rsidP="00751F0D">
      <w:pPr>
        <w:rPr>
          <w:b/>
        </w:rPr>
      </w:pPr>
    </w:p>
    <w:p w14:paraId="67AC9A69" w14:textId="77777777" w:rsidR="002D0B85" w:rsidRDefault="002D0B85" w:rsidP="00751F0D">
      <w:pPr>
        <w:rPr>
          <w:b/>
        </w:rPr>
      </w:pPr>
    </w:p>
    <w:p w14:paraId="63ACA20F" w14:textId="77777777" w:rsidR="00751F0D" w:rsidRDefault="00751F0D" w:rsidP="00751F0D">
      <w:r>
        <w:rPr>
          <w:b/>
        </w:rPr>
        <w:t xml:space="preserve">Figure S10. </w:t>
      </w:r>
      <w:proofErr w:type="gramStart"/>
      <w:r>
        <w:t xml:space="preserve">The proportion of the uncolonized patient’s indirect exposure as a function of the </w:t>
      </w:r>
      <w:r w:rsidR="00921F91">
        <w:t>HCW</w:t>
      </w:r>
      <w:r>
        <w:t>s</w:t>
      </w:r>
      <w:r w:rsidR="00AC30EE">
        <w:t>’</w:t>
      </w:r>
      <w:r>
        <w:t xml:space="preserve"> contact rate.</w:t>
      </w:r>
      <w:proofErr w:type="gramEnd"/>
      <w:r>
        <w:t xml:space="preserve"> The </w:t>
      </w:r>
      <w:r w:rsidR="00921F91">
        <w:t>HCW</w:t>
      </w:r>
      <w:r w:rsidR="00AC30EE">
        <w:t>’s</w:t>
      </w:r>
      <w:r>
        <w:t xml:space="preserve"> contact rate</w:t>
      </w:r>
      <w:r w:rsidR="00AC30EE">
        <w:t>s</w:t>
      </w:r>
      <w:r>
        <w:t xml:space="preserve"> of surfaces and </w:t>
      </w:r>
      <w:r w:rsidR="00AC30EE">
        <w:t xml:space="preserve">of </w:t>
      </w:r>
      <w:r>
        <w:t xml:space="preserve">patients are assumed to be equal. Indirect exposure is the sum exposure from the porous and nonporous surfaces to the uncolonized patient. Percentages of indirect exposure to the uncolonized patient are shown above each bar. Simulation analysis in the main manuscript used 8 as the number of times the </w:t>
      </w:r>
      <w:r w:rsidR="00921F91">
        <w:t>HCW</w:t>
      </w:r>
      <w:r>
        <w:t xml:space="preserve"> touches each surface and patient per visit, resulting in 35% indirect exposure to the uncolonized patient.</w:t>
      </w:r>
    </w:p>
    <w:p w14:paraId="70D1F336" w14:textId="77777777" w:rsidR="00437401" w:rsidRDefault="00BF0221" w:rsidP="00751F0D">
      <w:pPr>
        <w:rPr>
          <w:b/>
        </w:rPr>
      </w:pPr>
      <w:r w:rsidRPr="0070696A">
        <w:rPr>
          <w:b/>
          <w:noProof/>
        </w:rPr>
        <w:drawing>
          <wp:inline distT="0" distB="0" distL="0" distR="0" wp14:anchorId="00CF9AF7" wp14:editId="37789B1F">
            <wp:extent cx="5943600" cy="40493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10_110113.pdf"/>
                    <pic:cNvPicPr/>
                  </pic:nvPicPr>
                  <pic:blipFill>
                    <a:blip r:embed="rId18">
                      <a:extLst>
                        <a:ext uri="{28A0092B-C50C-407E-A947-70E740481C1C}">
                          <a14:useLocalDpi xmlns:a14="http://schemas.microsoft.com/office/drawing/2010/main" val="0"/>
                        </a:ext>
                      </a:extLst>
                    </a:blip>
                    <a:stretch>
                      <a:fillRect/>
                    </a:stretch>
                  </pic:blipFill>
                  <pic:spPr>
                    <a:xfrm>
                      <a:off x="0" y="0"/>
                      <a:ext cx="5943600" cy="4049395"/>
                    </a:xfrm>
                    <a:prstGeom prst="rect">
                      <a:avLst/>
                    </a:prstGeom>
                  </pic:spPr>
                </pic:pic>
              </a:graphicData>
            </a:graphic>
          </wp:inline>
        </w:drawing>
      </w:r>
    </w:p>
    <w:p w14:paraId="416C4FAF" w14:textId="77777777" w:rsidR="00437401" w:rsidRDefault="00437401" w:rsidP="00751F0D">
      <w:pPr>
        <w:rPr>
          <w:b/>
        </w:rPr>
      </w:pPr>
    </w:p>
    <w:p w14:paraId="7339CA28" w14:textId="77777777" w:rsidR="00437401" w:rsidRDefault="00437401" w:rsidP="00751F0D">
      <w:pPr>
        <w:rPr>
          <w:b/>
        </w:rPr>
      </w:pPr>
    </w:p>
    <w:p w14:paraId="0B0D5BB8" w14:textId="77777777" w:rsidR="00437401" w:rsidRDefault="00437401" w:rsidP="00751F0D">
      <w:pPr>
        <w:rPr>
          <w:b/>
        </w:rPr>
      </w:pPr>
    </w:p>
    <w:p w14:paraId="1A8446A3" w14:textId="4DCD273F" w:rsidR="00751F0D" w:rsidRDefault="00751F0D" w:rsidP="00751F0D">
      <w:r w:rsidRPr="00A63F7A">
        <w:rPr>
          <w:b/>
        </w:rPr>
        <w:lastRenderedPageBreak/>
        <w:t xml:space="preserve">Figure </w:t>
      </w:r>
      <w:r>
        <w:rPr>
          <w:b/>
        </w:rPr>
        <w:t>S</w:t>
      </w:r>
      <w:r w:rsidRPr="00A63F7A">
        <w:rPr>
          <w:b/>
        </w:rPr>
        <w:t>11</w:t>
      </w:r>
      <w:r>
        <w:rPr>
          <w:b/>
        </w:rPr>
        <w:t xml:space="preserve">. </w:t>
      </w:r>
      <w:r>
        <w:t xml:space="preserve">Effects of daily decontamination and surface wiping in decreasing exposure to </w:t>
      </w:r>
      <w:r w:rsidR="00921F91">
        <w:t>HCW</w:t>
      </w:r>
      <w:r>
        <w:t xml:space="preserve">s. Three types of exposure are shown here: </w:t>
      </w:r>
      <w:r w:rsidR="00AC30EE">
        <w:t>(</w:t>
      </w:r>
      <w:r>
        <w:t xml:space="preserve">1) exposure from the colonized patient, </w:t>
      </w:r>
      <w:r w:rsidR="00AC30EE">
        <w:t>(</w:t>
      </w:r>
      <w:r>
        <w:t xml:space="preserve">2) exposure from minimally touched nonporous surface, and </w:t>
      </w:r>
      <w:r w:rsidR="00AC30EE">
        <w:t>(</w:t>
      </w:r>
      <w:r>
        <w:t xml:space="preserve">3) exposure from highly touched nonporous surface. The numbers </w:t>
      </w:r>
      <w:r w:rsidR="00AC30EE">
        <w:t>at</w:t>
      </w:r>
      <w:r>
        <w:t xml:space="preserve"> </w:t>
      </w:r>
      <w:r w:rsidR="00AC30EE">
        <w:t xml:space="preserve">the </w:t>
      </w:r>
      <w:r>
        <w:t xml:space="preserve">top of each bar are the percent reduction following the intervention compared to when there </w:t>
      </w:r>
      <w:r w:rsidR="00AC30EE">
        <w:t>was</w:t>
      </w:r>
      <w:r>
        <w:t xml:space="preserve"> no intervention. </w:t>
      </w:r>
    </w:p>
    <w:p w14:paraId="5F9695CF" w14:textId="77777777" w:rsidR="00437401" w:rsidRDefault="00BF0221" w:rsidP="00751F0D">
      <w:pPr>
        <w:rPr>
          <w:b/>
        </w:rPr>
      </w:pPr>
      <w:r w:rsidRPr="0070696A">
        <w:rPr>
          <w:b/>
          <w:noProof/>
        </w:rPr>
        <w:drawing>
          <wp:inline distT="0" distB="0" distL="0" distR="0" wp14:anchorId="28E3C03E" wp14:editId="4452D082">
            <wp:extent cx="5943600" cy="365315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11_110113.pdf"/>
                    <pic:cNvPicPr/>
                  </pic:nvPicPr>
                  <pic:blipFill>
                    <a:blip r:embed="rId19">
                      <a:extLst>
                        <a:ext uri="{28A0092B-C50C-407E-A947-70E740481C1C}">
                          <a14:useLocalDpi xmlns:a14="http://schemas.microsoft.com/office/drawing/2010/main" val="0"/>
                        </a:ext>
                      </a:extLst>
                    </a:blip>
                    <a:stretch>
                      <a:fillRect/>
                    </a:stretch>
                  </pic:blipFill>
                  <pic:spPr>
                    <a:xfrm>
                      <a:off x="0" y="0"/>
                      <a:ext cx="5943600" cy="3653155"/>
                    </a:xfrm>
                    <a:prstGeom prst="rect">
                      <a:avLst/>
                    </a:prstGeom>
                  </pic:spPr>
                </pic:pic>
              </a:graphicData>
            </a:graphic>
          </wp:inline>
        </w:drawing>
      </w:r>
    </w:p>
    <w:p w14:paraId="2EFE01B0" w14:textId="77777777" w:rsidR="00437401" w:rsidRDefault="00437401" w:rsidP="00751F0D">
      <w:pPr>
        <w:rPr>
          <w:b/>
        </w:rPr>
      </w:pPr>
    </w:p>
    <w:p w14:paraId="61938E75" w14:textId="77777777" w:rsidR="00437401" w:rsidRDefault="00437401" w:rsidP="00751F0D">
      <w:pPr>
        <w:rPr>
          <w:b/>
        </w:rPr>
      </w:pPr>
    </w:p>
    <w:p w14:paraId="74CD1051" w14:textId="77777777" w:rsidR="00437401" w:rsidRDefault="00437401" w:rsidP="00751F0D">
      <w:pPr>
        <w:rPr>
          <w:b/>
        </w:rPr>
      </w:pPr>
    </w:p>
    <w:p w14:paraId="79F7F041" w14:textId="77777777" w:rsidR="00437401" w:rsidRDefault="00437401" w:rsidP="00751F0D">
      <w:pPr>
        <w:rPr>
          <w:b/>
        </w:rPr>
      </w:pPr>
    </w:p>
    <w:p w14:paraId="37C8DF21" w14:textId="77777777" w:rsidR="00437401" w:rsidRDefault="00437401" w:rsidP="00751F0D">
      <w:pPr>
        <w:rPr>
          <w:b/>
        </w:rPr>
      </w:pPr>
    </w:p>
    <w:p w14:paraId="3024D606" w14:textId="77777777" w:rsidR="00437401" w:rsidRDefault="00437401" w:rsidP="00751F0D">
      <w:pPr>
        <w:rPr>
          <w:b/>
        </w:rPr>
      </w:pPr>
    </w:p>
    <w:p w14:paraId="10336047" w14:textId="77777777" w:rsidR="00E60C20" w:rsidRDefault="00E60C20" w:rsidP="00751F0D">
      <w:pPr>
        <w:rPr>
          <w:b/>
        </w:rPr>
      </w:pPr>
    </w:p>
    <w:p w14:paraId="1E012AD5" w14:textId="27434DDC" w:rsidR="00751F0D" w:rsidRDefault="00751F0D" w:rsidP="00751F0D">
      <w:r w:rsidRPr="00A63F7A">
        <w:rPr>
          <w:b/>
        </w:rPr>
        <w:lastRenderedPageBreak/>
        <w:t xml:space="preserve">Figure </w:t>
      </w:r>
      <w:r>
        <w:rPr>
          <w:b/>
        </w:rPr>
        <w:t>S</w:t>
      </w:r>
      <w:r w:rsidRPr="00A63F7A">
        <w:rPr>
          <w:b/>
        </w:rPr>
        <w:t>1</w:t>
      </w:r>
      <w:r>
        <w:rPr>
          <w:b/>
        </w:rPr>
        <w:t>2.</w:t>
      </w:r>
      <w:r w:rsidR="00DF3F59">
        <w:rPr>
          <w:b/>
        </w:rPr>
        <w:t xml:space="preserve"> </w:t>
      </w:r>
      <w:proofErr w:type="gramStart"/>
      <w:r>
        <w:t>Effects of daily decontamination and surface wiping in decreasing exposure to the uncolonized patient.</w:t>
      </w:r>
      <w:proofErr w:type="gramEnd"/>
      <w:r>
        <w:t xml:space="preserve"> Three types of exposure are shown here</w:t>
      </w:r>
      <w:r w:rsidR="00DF3F59">
        <w:t>:</w:t>
      </w:r>
      <w:r>
        <w:t xml:space="preserve"> </w:t>
      </w:r>
      <w:r w:rsidR="00DF3F59">
        <w:t>(</w:t>
      </w:r>
      <w:r>
        <w:t xml:space="preserve">1) exposure from </w:t>
      </w:r>
      <w:r w:rsidR="00921F91">
        <w:t>HCW</w:t>
      </w:r>
      <w:r>
        <w:t xml:space="preserve">s, </w:t>
      </w:r>
      <w:r w:rsidR="00DF3F59">
        <w:t>(</w:t>
      </w:r>
      <w:r>
        <w:t xml:space="preserve">2) exposure from minimally touched nonporous surface, and </w:t>
      </w:r>
      <w:r w:rsidR="00DF3F59">
        <w:t>(</w:t>
      </w:r>
      <w:r>
        <w:t xml:space="preserve">3) exposure from highly touched nonporous surface. The numbers </w:t>
      </w:r>
      <w:r w:rsidR="00DF3F59">
        <w:t>at</w:t>
      </w:r>
      <w:r>
        <w:t xml:space="preserve"> </w:t>
      </w:r>
      <w:r w:rsidR="00DF3F59">
        <w:t xml:space="preserve">the </w:t>
      </w:r>
      <w:r>
        <w:t xml:space="preserve">top of each bar are the percent reduction following the intervention compared to when there </w:t>
      </w:r>
      <w:r w:rsidR="00DF3F59">
        <w:t>was</w:t>
      </w:r>
      <w:r>
        <w:t xml:space="preserve"> no intervention.    </w:t>
      </w:r>
    </w:p>
    <w:p w14:paraId="2DD4F935" w14:textId="77777777" w:rsidR="00917D1B" w:rsidRDefault="00BF0221" w:rsidP="00751F0D">
      <w:pPr>
        <w:ind w:left="720" w:hanging="720"/>
      </w:pPr>
      <w:r>
        <w:rPr>
          <w:noProof/>
        </w:rPr>
        <w:drawing>
          <wp:inline distT="0" distB="0" distL="0" distR="0" wp14:anchorId="3815D7BB" wp14:editId="3901E5DE">
            <wp:extent cx="5943600" cy="370713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12_110113.pdf"/>
                    <pic:cNvPicPr/>
                  </pic:nvPicPr>
                  <pic:blipFill>
                    <a:blip r:embed="rId20">
                      <a:extLst>
                        <a:ext uri="{28A0092B-C50C-407E-A947-70E740481C1C}">
                          <a14:useLocalDpi xmlns:a14="http://schemas.microsoft.com/office/drawing/2010/main" val="0"/>
                        </a:ext>
                      </a:extLst>
                    </a:blip>
                    <a:stretch>
                      <a:fillRect/>
                    </a:stretch>
                  </pic:blipFill>
                  <pic:spPr>
                    <a:xfrm>
                      <a:off x="0" y="0"/>
                      <a:ext cx="5943600" cy="3707130"/>
                    </a:xfrm>
                    <a:prstGeom prst="rect">
                      <a:avLst/>
                    </a:prstGeom>
                  </pic:spPr>
                </pic:pic>
              </a:graphicData>
            </a:graphic>
          </wp:inline>
        </w:drawing>
      </w:r>
    </w:p>
    <w:p w14:paraId="5E693933" w14:textId="77777777" w:rsidR="00751F0D" w:rsidRDefault="00751F0D" w:rsidP="00751F0D">
      <w:pPr>
        <w:ind w:left="720" w:hanging="720"/>
      </w:pPr>
    </w:p>
    <w:p w14:paraId="05C4364B" w14:textId="77777777" w:rsidR="00751F0D" w:rsidRDefault="00751F0D" w:rsidP="00751F0D">
      <w:pPr>
        <w:ind w:left="720" w:hanging="720"/>
      </w:pPr>
    </w:p>
    <w:p w14:paraId="536389C7" w14:textId="77777777" w:rsidR="00751F0D" w:rsidRDefault="00751F0D" w:rsidP="00751F0D">
      <w:pPr>
        <w:ind w:left="720" w:hanging="720"/>
      </w:pPr>
    </w:p>
    <w:p w14:paraId="2CA9696A" w14:textId="77777777" w:rsidR="00751F0D" w:rsidRDefault="00751F0D" w:rsidP="00751F0D">
      <w:pPr>
        <w:rPr>
          <w:b/>
        </w:rPr>
        <w:sectPr w:rsidR="00751F0D" w:rsidSect="00377B18">
          <w:footerReference w:type="even" r:id="rId21"/>
          <w:footerReference w:type="default" r:id="rId22"/>
          <w:pgSz w:w="12240" w:h="15840"/>
          <w:pgMar w:top="1440" w:right="1440" w:bottom="1440" w:left="1440" w:header="720" w:footer="720" w:gutter="0"/>
          <w:cols w:space="720"/>
          <w:noEndnote/>
          <w:docGrid w:linePitch="326"/>
        </w:sectPr>
      </w:pPr>
    </w:p>
    <w:p w14:paraId="7A3DE457" w14:textId="678083D6" w:rsidR="00751F0D" w:rsidRDefault="00751F0D" w:rsidP="00751F0D">
      <w:r w:rsidRPr="00B047F1">
        <w:rPr>
          <w:b/>
        </w:rPr>
        <w:lastRenderedPageBreak/>
        <w:t>Table S</w:t>
      </w:r>
      <w:r>
        <w:rPr>
          <w:b/>
        </w:rPr>
        <w:t xml:space="preserve">3. </w:t>
      </w:r>
      <w:proofErr w:type="gramStart"/>
      <w:r>
        <w:t>Multivariate sensitivity analysis of nonporous surface transfer efficiency, skin survivability</w:t>
      </w:r>
      <w:r w:rsidR="00DF3F59">
        <w:t>,</w:t>
      </w:r>
      <w:r>
        <w:t xml:space="preserve"> and </w:t>
      </w:r>
      <w:r w:rsidR="00921F91">
        <w:t>HCW</w:t>
      </w:r>
      <w:r>
        <w:t>’s contact rate to surfaces and patients.</w:t>
      </w:r>
      <w:proofErr w:type="gramEnd"/>
      <w:r>
        <w:t xml:space="preserve"> These three parameters take on high or low values. The nonporous transfer efficiency (</w:t>
      </w:r>
      <w:proofErr w:type="spellStart"/>
      <w:proofErr w:type="gramStart"/>
      <w:r>
        <w:t>ρ</w:t>
      </w:r>
      <w:r w:rsidRPr="00861FB5">
        <w:rPr>
          <w:vertAlign w:val="subscript"/>
        </w:rPr>
        <w:t>np</w:t>
      </w:r>
      <w:proofErr w:type="spellEnd"/>
      <w:r>
        <w:t xml:space="preserve"> )</w:t>
      </w:r>
      <w:proofErr w:type="gramEnd"/>
      <w:r>
        <w:t xml:space="preserve"> is either 0.1 (low) or 0.6 (high). The skin die</w:t>
      </w:r>
      <w:r w:rsidR="00DF3F59">
        <w:t>-</w:t>
      </w:r>
      <w:r>
        <w:t>off rate (µ</w:t>
      </w:r>
      <w:proofErr w:type="spellStart"/>
      <w:r w:rsidRPr="00861FB5">
        <w:rPr>
          <w:vertAlign w:val="subscript"/>
        </w:rPr>
        <w:t>sk</w:t>
      </w:r>
      <w:proofErr w:type="spellEnd"/>
      <w:r>
        <w:t xml:space="preserve">) is either 1 </w:t>
      </w:r>
      <w:r w:rsidR="00DF3F59">
        <w:rPr>
          <w:rFonts w:ascii="Times New Roman" w:hAnsi="Times New Roman"/>
        </w:rPr>
        <w:t>×</w:t>
      </w:r>
      <w:r>
        <w:t xml:space="preserve"> 10</w:t>
      </w:r>
      <w:r w:rsidRPr="00861FB5">
        <w:rPr>
          <w:vertAlign w:val="superscript"/>
        </w:rPr>
        <w:t>-4</w:t>
      </w:r>
      <w:r>
        <w:t xml:space="preserve"> min</w:t>
      </w:r>
      <w:r w:rsidRPr="00861FB5">
        <w:rPr>
          <w:vertAlign w:val="superscript"/>
        </w:rPr>
        <w:t>-</w:t>
      </w:r>
      <w:proofErr w:type="gramStart"/>
      <w:r w:rsidRPr="00861FB5">
        <w:rPr>
          <w:vertAlign w:val="superscript"/>
        </w:rPr>
        <w:t>1</w:t>
      </w:r>
      <w:r>
        <w:t>(</w:t>
      </w:r>
      <w:proofErr w:type="gramEnd"/>
      <w:r>
        <w:t xml:space="preserve">low) or 1 </w:t>
      </w:r>
      <w:r w:rsidR="00DF3F59">
        <w:rPr>
          <w:rFonts w:ascii="Times New Roman" w:hAnsi="Times New Roman"/>
        </w:rPr>
        <w:t>×</w:t>
      </w:r>
      <w:r>
        <w:t xml:space="preserve"> 10</w:t>
      </w:r>
      <w:r w:rsidRPr="00861FB5">
        <w:rPr>
          <w:vertAlign w:val="superscript"/>
        </w:rPr>
        <w:t>-2</w:t>
      </w:r>
      <w:r>
        <w:t xml:space="preserve"> min</w:t>
      </w:r>
      <w:r>
        <w:rPr>
          <w:vertAlign w:val="superscript"/>
        </w:rPr>
        <w:t>-</w:t>
      </w:r>
      <w:r w:rsidRPr="00861FB5">
        <w:rPr>
          <w:vertAlign w:val="superscript"/>
        </w:rPr>
        <w:t>1</w:t>
      </w:r>
      <w:r>
        <w:t xml:space="preserve">(high). The </w:t>
      </w:r>
      <w:r w:rsidR="00921F91">
        <w:t>HCW</w:t>
      </w:r>
      <w:r>
        <w:t>’s contact rate (</w:t>
      </w:r>
      <w:proofErr w:type="spellStart"/>
      <w:r>
        <w:t>τ</w:t>
      </w:r>
      <w:r w:rsidR="003749DD">
        <w:rPr>
          <w:vertAlign w:val="subscript"/>
        </w:rPr>
        <w:t>hcw</w:t>
      </w:r>
      <w:r w:rsidRPr="00D207D5">
        <w:rPr>
          <w:vertAlign w:val="subscript"/>
        </w:rPr>
        <w:t>-pt</w:t>
      </w:r>
      <w:proofErr w:type="spellEnd"/>
      <w:r>
        <w:t xml:space="preserve">, </w:t>
      </w:r>
      <w:proofErr w:type="spellStart"/>
      <w:r>
        <w:t>τ</w:t>
      </w:r>
      <w:r w:rsidR="003749DD">
        <w:rPr>
          <w:vertAlign w:val="subscript"/>
        </w:rPr>
        <w:t>hcw</w:t>
      </w:r>
      <w:r w:rsidRPr="00D207D5">
        <w:rPr>
          <w:vertAlign w:val="subscript"/>
        </w:rPr>
        <w:t>-sf</w:t>
      </w:r>
      <w:proofErr w:type="spellEnd"/>
      <w:r>
        <w:t xml:space="preserve">) is either 2 times per visit (low) or 20 times per visit (high). The outcomes are indirect exposure levels to the </w:t>
      </w:r>
      <w:r w:rsidR="00921F91">
        <w:t>HCW</w:t>
      </w:r>
      <w:r>
        <w:t xml:space="preserve">, percentage of indirect exposure to the </w:t>
      </w:r>
      <w:r w:rsidR="00921F91">
        <w:t>HCW</w:t>
      </w:r>
      <w:r>
        <w:t>, indirect exposure levels to the uncolonized patient, and percentage of indirect exposure to the uncolonized patient. The color scales rank exposure levels (orange = highest exposure, yellow = lowest exposure).</w:t>
      </w:r>
    </w:p>
    <w:p w14:paraId="336DDFD5" w14:textId="77777777" w:rsidR="00751F0D" w:rsidRDefault="00751F0D" w:rsidP="00751F0D"/>
    <w:tbl>
      <w:tblPr>
        <w:tblW w:w="11503" w:type="dxa"/>
        <w:tblInd w:w="96" w:type="dxa"/>
        <w:tblLook w:val="04A0" w:firstRow="1" w:lastRow="0" w:firstColumn="1" w:lastColumn="0" w:noHBand="0" w:noVBand="1"/>
      </w:tblPr>
      <w:tblGrid>
        <w:gridCol w:w="2738"/>
        <w:gridCol w:w="1069"/>
        <w:gridCol w:w="1140"/>
        <w:gridCol w:w="1069"/>
        <w:gridCol w:w="1069"/>
        <w:gridCol w:w="1069"/>
        <w:gridCol w:w="1140"/>
        <w:gridCol w:w="1069"/>
        <w:gridCol w:w="1140"/>
      </w:tblGrid>
      <w:tr w:rsidR="00450524" w:rsidRPr="006D20B8" w14:paraId="4F605DE1" w14:textId="77777777" w:rsidTr="00450524">
        <w:trPr>
          <w:trHeight w:val="283"/>
        </w:trPr>
        <w:tc>
          <w:tcPr>
            <w:tcW w:w="2738" w:type="dxa"/>
            <w:tcBorders>
              <w:top w:val="single" w:sz="4" w:space="0" w:color="auto"/>
              <w:left w:val="single" w:sz="4" w:space="0" w:color="auto"/>
              <w:bottom w:val="nil"/>
              <w:right w:val="single" w:sz="4" w:space="0" w:color="auto"/>
            </w:tcBorders>
            <w:shd w:val="clear" w:color="auto" w:fill="auto"/>
            <w:noWrap/>
            <w:vAlign w:val="bottom"/>
            <w:hideMark/>
          </w:tcPr>
          <w:p w14:paraId="1930BC88" w14:textId="77777777" w:rsidR="00751F0D" w:rsidRPr="00EC1B2A" w:rsidRDefault="00751F0D" w:rsidP="001A6615">
            <w:pPr>
              <w:spacing w:line="240" w:lineRule="auto"/>
              <w:rPr>
                <w:rFonts w:eastAsia="Times New Roman"/>
                <w:color w:val="000000"/>
              </w:rPr>
            </w:pPr>
            <w:r>
              <w:rPr>
                <w:rFonts w:eastAsia="Times New Roman"/>
                <w:color w:val="000000"/>
              </w:rPr>
              <w:t>Nonporous t</w:t>
            </w:r>
            <w:r w:rsidRPr="00EC1B2A">
              <w:rPr>
                <w:rFonts w:eastAsia="Times New Roman"/>
                <w:color w:val="000000"/>
              </w:rPr>
              <w:t xml:space="preserve">ransfer efficiency </w:t>
            </w:r>
          </w:p>
        </w:tc>
        <w:tc>
          <w:tcPr>
            <w:tcW w:w="1069" w:type="dxa"/>
            <w:tcBorders>
              <w:top w:val="single" w:sz="4" w:space="0" w:color="auto"/>
              <w:left w:val="nil"/>
              <w:bottom w:val="nil"/>
              <w:right w:val="nil"/>
            </w:tcBorders>
            <w:shd w:val="clear" w:color="auto" w:fill="auto"/>
            <w:noWrap/>
            <w:vAlign w:val="bottom"/>
            <w:hideMark/>
          </w:tcPr>
          <w:p w14:paraId="7DBD7230"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low</w:t>
            </w:r>
            <w:proofErr w:type="gramEnd"/>
          </w:p>
        </w:tc>
        <w:tc>
          <w:tcPr>
            <w:tcW w:w="1140" w:type="dxa"/>
            <w:tcBorders>
              <w:top w:val="single" w:sz="4" w:space="0" w:color="auto"/>
              <w:left w:val="nil"/>
              <w:bottom w:val="nil"/>
              <w:right w:val="nil"/>
            </w:tcBorders>
            <w:shd w:val="clear" w:color="auto" w:fill="auto"/>
            <w:noWrap/>
            <w:vAlign w:val="bottom"/>
            <w:hideMark/>
          </w:tcPr>
          <w:p w14:paraId="67D291E6"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low</w:t>
            </w:r>
            <w:proofErr w:type="gramEnd"/>
          </w:p>
        </w:tc>
        <w:tc>
          <w:tcPr>
            <w:tcW w:w="1069" w:type="dxa"/>
            <w:tcBorders>
              <w:top w:val="single" w:sz="4" w:space="0" w:color="auto"/>
              <w:left w:val="nil"/>
              <w:bottom w:val="nil"/>
              <w:right w:val="nil"/>
            </w:tcBorders>
            <w:shd w:val="clear" w:color="auto" w:fill="auto"/>
            <w:noWrap/>
            <w:vAlign w:val="bottom"/>
            <w:hideMark/>
          </w:tcPr>
          <w:p w14:paraId="14340524"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low</w:t>
            </w:r>
            <w:proofErr w:type="gramEnd"/>
          </w:p>
        </w:tc>
        <w:tc>
          <w:tcPr>
            <w:tcW w:w="1069" w:type="dxa"/>
            <w:tcBorders>
              <w:top w:val="single" w:sz="4" w:space="0" w:color="auto"/>
              <w:left w:val="nil"/>
              <w:bottom w:val="nil"/>
              <w:right w:val="nil"/>
            </w:tcBorders>
            <w:shd w:val="clear" w:color="auto" w:fill="auto"/>
            <w:noWrap/>
            <w:vAlign w:val="bottom"/>
            <w:hideMark/>
          </w:tcPr>
          <w:p w14:paraId="2AB5EEBA"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low</w:t>
            </w:r>
            <w:proofErr w:type="gramEnd"/>
          </w:p>
        </w:tc>
        <w:tc>
          <w:tcPr>
            <w:tcW w:w="1069" w:type="dxa"/>
            <w:tcBorders>
              <w:top w:val="single" w:sz="4" w:space="0" w:color="auto"/>
              <w:left w:val="nil"/>
              <w:bottom w:val="nil"/>
              <w:right w:val="nil"/>
            </w:tcBorders>
            <w:shd w:val="clear" w:color="auto" w:fill="auto"/>
            <w:noWrap/>
            <w:vAlign w:val="bottom"/>
            <w:hideMark/>
          </w:tcPr>
          <w:p w14:paraId="20941556"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high</w:t>
            </w:r>
            <w:proofErr w:type="gramEnd"/>
          </w:p>
        </w:tc>
        <w:tc>
          <w:tcPr>
            <w:tcW w:w="1140" w:type="dxa"/>
            <w:tcBorders>
              <w:top w:val="single" w:sz="4" w:space="0" w:color="auto"/>
              <w:left w:val="nil"/>
              <w:bottom w:val="nil"/>
              <w:right w:val="nil"/>
            </w:tcBorders>
            <w:shd w:val="clear" w:color="auto" w:fill="auto"/>
            <w:noWrap/>
            <w:vAlign w:val="bottom"/>
            <w:hideMark/>
          </w:tcPr>
          <w:p w14:paraId="6C034DD2" w14:textId="77777777" w:rsidR="00751F0D" w:rsidRPr="00EC1B2A" w:rsidRDefault="00DF3F59" w:rsidP="001A6615">
            <w:pPr>
              <w:spacing w:line="240" w:lineRule="auto"/>
              <w:jc w:val="center"/>
              <w:rPr>
                <w:rFonts w:eastAsia="Times New Roman"/>
                <w:color w:val="000000"/>
              </w:rPr>
            </w:pPr>
            <w:r w:rsidRPr="00EC1B2A">
              <w:rPr>
                <w:rFonts w:eastAsia="Times New Roman"/>
                <w:color w:val="000000"/>
              </w:rPr>
              <w:t>H</w:t>
            </w:r>
            <w:r w:rsidR="00751F0D" w:rsidRPr="00EC1B2A">
              <w:rPr>
                <w:rFonts w:eastAsia="Times New Roman"/>
                <w:color w:val="000000"/>
              </w:rPr>
              <w:t>igh</w:t>
            </w:r>
          </w:p>
        </w:tc>
        <w:tc>
          <w:tcPr>
            <w:tcW w:w="1069" w:type="dxa"/>
            <w:tcBorders>
              <w:top w:val="single" w:sz="4" w:space="0" w:color="auto"/>
              <w:left w:val="nil"/>
              <w:bottom w:val="nil"/>
              <w:right w:val="nil"/>
            </w:tcBorders>
            <w:shd w:val="clear" w:color="auto" w:fill="auto"/>
            <w:noWrap/>
            <w:vAlign w:val="bottom"/>
            <w:hideMark/>
          </w:tcPr>
          <w:p w14:paraId="55CD595D"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high</w:t>
            </w:r>
            <w:proofErr w:type="gramEnd"/>
          </w:p>
        </w:tc>
        <w:tc>
          <w:tcPr>
            <w:tcW w:w="1140" w:type="dxa"/>
            <w:tcBorders>
              <w:top w:val="single" w:sz="4" w:space="0" w:color="auto"/>
              <w:left w:val="nil"/>
              <w:bottom w:val="nil"/>
              <w:right w:val="single" w:sz="4" w:space="0" w:color="auto"/>
            </w:tcBorders>
            <w:shd w:val="clear" w:color="auto" w:fill="auto"/>
            <w:noWrap/>
            <w:vAlign w:val="bottom"/>
            <w:hideMark/>
          </w:tcPr>
          <w:p w14:paraId="41EA2A2A"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high</w:t>
            </w:r>
            <w:proofErr w:type="gramEnd"/>
          </w:p>
        </w:tc>
      </w:tr>
      <w:tr w:rsidR="00450524" w:rsidRPr="006D20B8" w14:paraId="2D368B56" w14:textId="77777777" w:rsidTr="00450524">
        <w:trPr>
          <w:trHeight w:val="283"/>
        </w:trPr>
        <w:tc>
          <w:tcPr>
            <w:tcW w:w="2738" w:type="dxa"/>
            <w:tcBorders>
              <w:top w:val="nil"/>
              <w:left w:val="single" w:sz="4" w:space="0" w:color="auto"/>
              <w:bottom w:val="nil"/>
              <w:right w:val="single" w:sz="4" w:space="0" w:color="auto"/>
            </w:tcBorders>
            <w:shd w:val="clear" w:color="auto" w:fill="auto"/>
            <w:noWrap/>
            <w:vAlign w:val="bottom"/>
            <w:hideMark/>
          </w:tcPr>
          <w:p w14:paraId="3EFE6BA9" w14:textId="77777777" w:rsidR="00751F0D" w:rsidRPr="00EC1B2A" w:rsidRDefault="00751F0D" w:rsidP="001A6615">
            <w:pPr>
              <w:spacing w:line="240" w:lineRule="auto"/>
              <w:rPr>
                <w:rFonts w:eastAsia="Times New Roman"/>
                <w:color w:val="000000"/>
              </w:rPr>
            </w:pPr>
            <w:r>
              <w:rPr>
                <w:rFonts w:eastAsia="Times New Roman"/>
                <w:color w:val="000000"/>
              </w:rPr>
              <w:t>Skin s</w:t>
            </w:r>
            <w:r w:rsidRPr="00EC1B2A">
              <w:rPr>
                <w:rFonts w:eastAsia="Times New Roman"/>
                <w:color w:val="000000"/>
              </w:rPr>
              <w:t>urvivability</w:t>
            </w:r>
          </w:p>
        </w:tc>
        <w:tc>
          <w:tcPr>
            <w:tcW w:w="1069" w:type="dxa"/>
            <w:tcBorders>
              <w:top w:val="nil"/>
              <w:left w:val="nil"/>
              <w:bottom w:val="nil"/>
              <w:right w:val="nil"/>
            </w:tcBorders>
            <w:shd w:val="clear" w:color="auto" w:fill="auto"/>
            <w:noWrap/>
            <w:vAlign w:val="bottom"/>
            <w:hideMark/>
          </w:tcPr>
          <w:p w14:paraId="417513F4"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low</w:t>
            </w:r>
            <w:proofErr w:type="gramEnd"/>
          </w:p>
        </w:tc>
        <w:tc>
          <w:tcPr>
            <w:tcW w:w="1140" w:type="dxa"/>
            <w:tcBorders>
              <w:top w:val="nil"/>
              <w:left w:val="nil"/>
              <w:bottom w:val="nil"/>
              <w:right w:val="nil"/>
            </w:tcBorders>
            <w:shd w:val="clear" w:color="auto" w:fill="auto"/>
            <w:noWrap/>
            <w:vAlign w:val="bottom"/>
            <w:hideMark/>
          </w:tcPr>
          <w:p w14:paraId="438B3E26"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low</w:t>
            </w:r>
            <w:proofErr w:type="gramEnd"/>
          </w:p>
        </w:tc>
        <w:tc>
          <w:tcPr>
            <w:tcW w:w="1069" w:type="dxa"/>
            <w:tcBorders>
              <w:top w:val="nil"/>
              <w:left w:val="nil"/>
              <w:bottom w:val="nil"/>
              <w:right w:val="nil"/>
            </w:tcBorders>
            <w:shd w:val="clear" w:color="auto" w:fill="auto"/>
            <w:noWrap/>
            <w:vAlign w:val="bottom"/>
            <w:hideMark/>
          </w:tcPr>
          <w:p w14:paraId="4FDC0EB9"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high</w:t>
            </w:r>
            <w:proofErr w:type="gramEnd"/>
          </w:p>
        </w:tc>
        <w:tc>
          <w:tcPr>
            <w:tcW w:w="1069" w:type="dxa"/>
            <w:tcBorders>
              <w:top w:val="nil"/>
              <w:left w:val="nil"/>
              <w:bottom w:val="nil"/>
              <w:right w:val="nil"/>
            </w:tcBorders>
            <w:shd w:val="clear" w:color="auto" w:fill="auto"/>
            <w:noWrap/>
            <w:vAlign w:val="bottom"/>
            <w:hideMark/>
          </w:tcPr>
          <w:p w14:paraId="482D9DA8"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high</w:t>
            </w:r>
            <w:proofErr w:type="gramEnd"/>
          </w:p>
        </w:tc>
        <w:tc>
          <w:tcPr>
            <w:tcW w:w="1069" w:type="dxa"/>
            <w:tcBorders>
              <w:top w:val="nil"/>
              <w:left w:val="nil"/>
              <w:bottom w:val="nil"/>
              <w:right w:val="nil"/>
            </w:tcBorders>
            <w:shd w:val="clear" w:color="auto" w:fill="auto"/>
            <w:noWrap/>
            <w:vAlign w:val="bottom"/>
            <w:hideMark/>
          </w:tcPr>
          <w:p w14:paraId="190616B1"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low</w:t>
            </w:r>
            <w:proofErr w:type="gramEnd"/>
          </w:p>
        </w:tc>
        <w:tc>
          <w:tcPr>
            <w:tcW w:w="1140" w:type="dxa"/>
            <w:tcBorders>
              <w:top w:val="nil"/>
              <w:left w:val="nil"/>
              <w:bottom w:val="nil"/>
              <w:right w:val="nil"/>
            </w:tcBorders>
            <w:shd w:val="clear" w:color="auto" w:fill="auto"/>
            <w:noWrap/>
            <w:vAlign w:val="bottom"/>
            <w:hideMark/>
          </w:tcPr>
          <w:p w14:paraId="19A143EB" w14:textId="77777777" w:rsidR="00751F0D" w:rsidRPr="00EC1B2A" w:rsidRDefault="00DF3F59" w:rsidP="001A6615">
            <w:pPr>
              <w:spacing w:line="240" w:lineRule="auto"/>
              <w:jc w:val="center"/>
              <w:rPr>
                <w:rFonts w:eastAsia="Times New Roman"/>
                <w:color w:val="000000"/>
              </w:rPr>
            </w:pPr>
            <w:r w:rsidRPr="00EC1B2A">
              <w:rPr>
                <w:rFonts w:eastAsia="Times New Roman"/>
                <w:color w:val="000000"/>
              </w:rPr>
              <w:t>L</w:t>
            </w:r>
            <w:r w:rsidR="00751F0D" w:rsidRPr="00EC1B2A">
              <w:rPr>
                <w:rFonts w:eastAsia="Times New Roman"/>
                <w:color w:val="000000"/>
              </w:rPr>
              <w:t>ow</w:t>
            </w:r>
          </w:p>
        </w:tc>
        <w:tc>
          <w:tcPr>
            <w:tcW w:w="1069" w:type="dxa"/>
            <w:tcBorders>
              <w:top w:val="nil"/>
              <w:left w:val="nil"/>
              <w:bottom w:val="nil"/>
              <w:right w:val="nil"/>
            </w:tcBorders>
            <w:shd w:val="clear" w:color="auto" w:fill="auto"/>
            <w:noWrap/>
            <w:vAlign w:val="bottom"/>
            <w:hideMark/>
          </w:tcPr>
          <w:p w14:paraId="5AB74A03"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high</w:t>
            </w:r>
            <w:proofErr w:type="gramEnd"/>
          </w:p>
        </w:tc>
        <w:tc>
          <w:tcPr>
            <w:tcW w:w="1140" w:type="dxa"/>
            <w:tcBorders>
              <w:top w:val="nil"/>
              <w:left w:val="nil"/>
              <w:bottom w:val="nil"/>
              <w:right w:val="single" w:sz="4" w:space="0" w:color="auto"/>
            </w:tcBorders>
            <w:shd w:val="clear" w:color="auto" w:fill="auto"/>
            <w:noWrap/>
            <w:vAlign w:val="bottom"/>
            <w:hideMark/>
          </w:tcPr>
          <w:p w14:paraId="449F4568"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high</w:t>
            </w:r>
            <w:proofErr w:type="gramEnd"/>
          </w:p>
        </w:tc>
      </w:tr>
      <w:tr w:rsidR="00450524" w:rsidRPr="006D20B8" w14:paraId="1B18D881" w14:textId="77777777" w:rsidTr="00450524">
        <w:trPr>
          <w:trHeight w:val="283"/>
        </w:trPr>
        <w:tc>
          <w:tcPr>
            <w:tcW w:w="2738" w:type="dxa"/>
            <w:tcBorders>
              <w:top w:val="nil"/>
              <w:left w:val="single" w:sz="4" w:space="0" w:color="auto"/>
              <w:bottom w:val="nil"/>
              <w:right w:val="single" w:sz="4" w:space="0" w:color="auto"/>
            </w:tcBorders>
            <w:shd w:val="clear" w:color="auto" w:fill="auto"/>
            <w:noWrap/>
            <w:vAlign w:val="bottom"/>
            <w:hideMark/>
          </w:tcPr>
          <w:p w14:paraId="208C32F1" w14:textId="484E971D" w:rsidR="00751F0D" w:rsidRPr="00EC1B2A" w:rsidRDefault="00921F91" w:rsidP="00DF3F59">
            <w:pPr>
              <w:spacing w:line="240" w:lineRule="auto"/>
              <w:rPr>
                <w:rFonts w:eastAsia="Times New Roman"/>
                <w:color w:val="000000"/>
              </w:rPr>
            </w:pPr>
            <w:r>
              <w:rPr>
                <w:rFonts w:eastAsia="Times New Roman"/>
                <w:color w:val="000000"/>
              </w:rPr>
              <w:t>HCW</w:t>
            </w:r>
            <w:r w:rsidR="00DF3F59">
              <w:rPr>
                <w:rFonts w:eastAsia="Times New Roman"/>
                <w:color w:val="000000"/>
              </w:rPr>
              <w:t>’</w:t>
            </w:r>
            <w:r w:rsidR="00751F0D" w:rsidRPr="00EC1B2A">
              <w:rPr>
                <w:rFonts w:eastAsia="Times New Roman"/>
                <w:color w:val="000000"/>
              </w:rPr>
              <w:t>s contact rate</w:t>
            </w:r>
          </w:p>
        </w:tc>
        <w:tc>
          <w:tcPr>
            <w:tcW w:w="1069" w:type="dxa"/>
            <w:tcBorders>
              <w:top w:val="nil"/>
              <w:left w:val="nil"/>
              <w:bottom w:val="nil"/>
              <w:right w:val="nil"/>
            </w:tcBorders>
            <w:shd w:val="clear" w:color="auto" w:fill="auto"/>
            <w:noWrap/>
            <w:vAlign w:val="bottom"/>
            <w:hideMark/>
          </w:tcPr>
          <w:p w14:paraId="3D8B1314"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low</w:t>
            </w:r>
            <w:proofErr w:type="gramEnd"/>
          </w:p>
        </w:tc>
        <w:tc>
          <w:tcPr>
            <w:tcW w:w="1140" w:type="dxa"/>
            <w:tcBorders>
              <w:top w:val="nil"/>
              <w:left w:val="nil"/>
              <w:bottom w:val="nil"/>
              <w:right w:val="nil"/>
            </w:tcBorders>
            <w:shd w:val="clear" w:color="auto" w:fill="auto"/>
            <w:noWrap/>
            <w:vAlign w:val="bottom"/>
            <w:hideMark/>
          </w:tcPr>
          <w:p w14:paraId="1B67C3B4"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high</w:t>
            </w:r>
            <w:proofErr w:type="gramEnd"/>
          </w:p>
        </w:tc>
        <w:tc>
          <w:tcPr>
            <w:tcW w:w="1069" w:type="dxa"/>
            <w:tcBorders>
              <w:top w:val="nil"/>
              <w:left w:val="nil"/>
              <w:bottom w:val="nil"/>
              <w:right w:val="nil"/>
            </w:tcBorders>
            <w:shd w:val="clear" w:color="auto" w:fill="auto"/>
            <w:noWrap/>
            <w:vAlign w:val="bottom"/>
            <w:hideMark/>
          </w:tcPr>
          <w:p w14:paraId="76CB9745"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low</w:t>
            </w:r>
            <w:proofErr w:type="gramEnd"/>
          </w:p>
        </w:tc>
        <w:tc>
          <w:tcPr>
            <w:tcW w:w="1069" w:type="dxa"/>
            <w:tcBorders>
              <w:top w:val="nil"/>
              <w:left w:val="nil"/>
              <w:bottom w:val="nil"/>
              <w:right w:val="nil"/>
            </w:tcBorders>
            <w:shd w:val="clear" w:color="auto" w:fill="auto"/>
            <w:noWrap/>
            <w:vAlign w:val="bottom"/>
            <w:hideMark/>
          </w:tcPr>
          <w:p w14:paraId="7B772BD2"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high</w:t>
            </w:r>
            <w:proofErr w:type="gramEnd"/>
          </w:p>
        </w:tc>
        <w:tc>
          <w:tcPr>
            <w:tcW w:w="1069" w:type="dxa"/>
            <w:tcBorders>
              <w:top w:val="nil"/>
              <w:left w:val="nil"/>
              <w:bottom w:val="nil"/>
              <w:right w:val="nil"/>
            </w:tcBorders>
            <w:shd w:val="clear" w:color="auto" w:fill="auto"/>
            <w:noWrap/>
            <w:vAlign w:val="bottom"/>
            <w:hideMark/>
          </w:tcPr>
          <w:p w14:paraId="25D91DF0"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low</w:t>
            </w:r>
            <w:proofErr w:type="gramEnd"/>
          </w:p>
        </w:tc>
        <w:tc>
          <w:tcPr>
            <w:tcW w:w="1140" w:type="dxa"/>
            <w:tcBorders>
              <w:top w:val="nil"/>
              <w:left w:val="nil"/>
              <w:bottom w:val="nil"/>
              <w:right w:val="nil"/>
            </w:tcBorders>
            <w:shd w:val="clear" w:color="auto" w:fill="auto"/>
            <w:noWrap/>
            <w:vAlign w:val="bottom"/>
            <w:hideMark/>
          </w:tcPr>
          <w:p w14:paraId="155E4367"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high</w:t>
            </w:r>
            <w:proofErr w:type="gramEnd"/>
          </w:p>
        </w:tc>
        <w:tc>
          <w:tcPr>
            <w:tcW w:w="1069" w:type="dxa"/>
            <w:tcBorders>
              <w:top w:val="nil"/>
              <w:left w:val="nil"/>
              <w:bottom w:val="nil"/>
              <w:right w:val="nil"/>
            </w:tcBorders>
            <w:shd w:val="clear" w:color="auto" w:fill="auto"/>
            <w:noWrap/>
            <w:vAlign w:val="bottom"/>
            <w:hideMark/>
          </w:tcPr>
          <w:p w14:paraId="5C4C7745"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low</w:t>
            </w:r>
            <w:proofErr w:type="gramEnd"/>
          </w:p>
        </w:tc>
        <w:tc>
          <w:tcPr>
            <w:tcW w:w="1140" w:type="dxa"/>
            <w:tcBorders>
              <w:top w:val="nil"/>
              <w:left w:val="nil"/>
              <w:bottom w:val="nil"/>
              <w:right w:val="single" w:sz="4" w:space="0" w:color="auto"/>
            </w:tcBorders>
            <w:shd w:val="clear" w:color="auto" w:fill="auto"/>
            <w:noWrap/>
            <w:vAlign w:val="bottom"/>
            <w:hideMark/>
          </w:tcPr>
          <w:p w14:paraId="7C887C63" w14:textId="77777777" w:rsidR="00751F0D" w:rsidRPr="00EC1B2A" w:rsidRDefault="00751F0D" w:rsidP="001A6615">
            <w:pPr>
              <w:spacing w:line="240" w:lineRule="auto"/>
              <w:jc w:val="center"/>
              <w:rPr>
                <w:rFonts w:eastAsia="Times New Roman"/>
                <w:color w:val="000000"/>
              </w:rPr>
            </w:pPr>
            <w:proofErr w:type="gramStart"/>
            <w:r w:rsidRPr="00EC1B2A">
              <w:rPr>
                <w:rFonts w:eastAsia="Times New Roman"/>
                <w:color w:val="000000"/>
              </w:rPr>
              <w:t>high</w:t>
            </w:r>
            <w:proofErr w:type="gramEnd"/>
          </w:p>
        </w:tc>
      </w:tr>
      <w:tr w:rsidR="00450524" w:rsidRPr="006D20B8" w14:paraId="6184E9BA" w14:textId="77777777" w:rsidTr="00450524">
        <w:trPr>
          <w:trHeight w:val="283"/>
        </w:trPr>
        <w:tc>
          <w:tcPr>
            <w:tcW w:w="2738" w:type="dxa"/>
            <w:tcBorders>
              <w:top w:val="single" w:sz="4" w:space="0" w:color="auto"/>
              <w:left w:val="single" w:sz="4" w:space="0" w:color="auto"/>
              <w:bottom w:val="nil"/>
              <w:right w:val="single" w:sz="4" w:space="0" w:color="auto"/>
            </w:tcBorders>
            <w:shd w:val="clear" w:color="auto" w:fill="auto"/>
            <w:noWrap/>
            <w:vAlign w:val="bottom"/>
            <w:hideMark/>
          </w:tcPr>
          <w:p w14:paraId="23368E21" w14:textId="77777777" w:rsidR="00751F0D" w:rsidRDefault="00751F0D" w:rsidP="001A6615">
            <w:pPr>
              <w:spacing w:line="240" w:lineRule="auto"/>
              <w:rPr>
                <w:rFonts w:eastAsia="Times New Roman"/>
                <w:color w:val="000000"/>
              </w:rPr>
            </w:pPr>
            <w:r w:rsidRPr="00EC1B2A">
              <w:rPr>
                <w:rFonts w:eastAsia="Times New Roman"/>
                <w:color w:val="000000"/>
              </w:rPr>
              <w:t xml:space="preserve">Indirect exposure </w:t>
            </w:r>
          </w:p>
          <w:p w14:paraId="7EF7437A" w14:textId="0A07FC5E" w:rsidR="00751F0D" w:rsidRPr="00EC1B2A" w:rsidRDefault="00DF3F59" w:rsidP="00DF3F59">
            <w:pPr>
              <w:spacing w:line="240" w:lineRule="auto"/>
              <w:rPr>
                <w:rFonts w:eastAsia="Times New Roman"/>
                <w:color w:val="000000"/>
              </w:rPr>
            </w:pPr>
            <w:proofErr w:type="gramStart"/>
            <w:r>
              <w:rPr>
                <w:rFonts w:eastAsia="Times New Roman"/>
                <w:color w:val="000000"/>
              </w:rPr>
              <w:t>t</w:t>
            </w:r>
            <w:r w:rsidR="00751F0D" w:rsidRPr="00EC1B2A">
              <w:rPr>
                <w:rFonts w:eastAsia="Times New Roman"/>
                <w:color w:val="000000"/>
              </w:rPr>
              <w:t>o</w:t>
            </w:r>
            <w:proofErr w:type="gramEnd"/>
            <w:r>
              <w:rPr>
                <w:rFonts w:eastAsia="Times New Roman"/>
                <w:color w:val="000000"/>
              </w:rPr>
              <w:t xml:space="preserve"> </w:t>
            </w:r>
            <w:r w:rsidR="00921F91">
              <w:rPr>
                <w:rFonts w:eastAsia="Times New Roman"/>
                <w:color w:val="000000"/>
              </w:rPr>
              <w:t>HCW</w:t>
            </w:r>
          </w:p>
        </w:tc>
        <w:tc>
          <w:tcPr>
            <w:tcW w:w="1069" w:type="dxa"/>
            <w:tcBorders>
              <w:top w:val="single" w:sz="4" w:space="0" w:color="auto"/>
              <w:left w:val="nil"/>
              <w:bottom w:val="nil"/>
              <w:right w:val="nil"/>
            </w:tcBorders>
            <w:shd w:val="clear" w:color="000000" w:fill="FFDC8B"/>
            <w:noWrap/>
            <w:vAlign w:val="bottom"/>
            <w:hideMark/>
          </w:tcPr>
          <w:p w14:paraId="6EE4A810"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629.33</w:t>
            </w:r>
          </w:p>
        </w:tc>
        <w:tc>
          <w:tcPr>
            <w:tcW w:w="1140" w:type="dxa"/>
            <w:tcBorders>
              <w:top w:val="single" w:sz="4" w:space="0" w:color="auto"/>
              <w:left w:val="nil"/>
              <w:bottom w:val="nil"/>
              <w:right w:val="nil"/>
            </w:tcBorders>
            <w:shd w:val="clear" w:color="000000" w:fill="FFA457"/>
            <w:noWrap/>
            <w:vAlign w:val="bottom"/>
            <w:hideMark/>
          </w:tcPr>
          <w:p w14:paraId="55105AAF"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1254.57</w:t>
            </w:r>
          </w:p>
        </w:tc>
        <w:tc>
          <w:tcPr>
            <w:tcW w:w="1069" w:type="dxa"/>
            <w:tcBorders>
              <w:top w:val="single" w:sz="4" w:space="0" w:color="auto"/>
              <w:left w:val="nil"/>
              <w:bottom w:val="nil"/>
              <w:right w:val="nil"/>
            </w:tcBorders>
            <w:shd w:val="clear" w:color="000000" w:fill="FFEF9C"/>
            <w:noWrap/>
            <w:vAlign w:val="bottom"/>
            <w:hideMark/>
          </w:tcPr>
          <w:p w14:paraId="6F73C290"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417.39</w:t>
            </w:r>
          </w:p>
        </w:tc>
        <w:tc>
          <w:tcPr>
            <w:tcW w:w="1069" w:type="dxa"/>
            <w:tcBorders>
              <w:top w:val="single" w:sz="4" w:space="0" w:color="auto"/>
              <w:left w:val="nil"/>
              <w:bottom w:val="nil"/>
              <w:right w:val="nil"/>
            </w:tcBorders>
            <w:shd w:val="clear" w:color="000000" w:fill="FF843A"/>
            <w:noWrap/>
            <w:vAlign w:val="bottom"/>
            <w:hideMark/>
          </w:tcPr>
          <w:p w14:paraId="46FC0A18"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1609.3</w:t>
            </w:r>
          </w:p>
        </w:tc>
        <w:tc>
          <w:tcPr>
            <w:tcW w:w="1069" w:type="dxa"/>
            <w:tcBorders>
              <w:top w:val="single" w:sz="4" w:space="0" w:color="auto"/>
              <w:left w:val="nil"/>
              <w:bottom w:val="nil"/>
              <w:right w:val="nil"/>
            </w:tcBorders>
            <w:shd w:val="clear" w:color="000000" w:fill="FF9A4E"/>
            <w:noWrap/>
            <w:vAlign w:val="bottom"/>
            <w:hideMark/>
          </w:tcPr>
          <w:p w14:paraId="4E1C1741"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1371.7</w:t>
            </w:r>
          </w:p>
        </w:tc>
        <w:tc>
          <w:tcPr>
            <w:tcW w:w="1140" w:type="dxa"/>
            <w:tcBorders>
              <w:top w:val="single" w:sz="4" w:space="0" w:color="auto"/>
              <w:left w:val="nil"/>
              <w:bottom w:val="nil"/>
              <w:right w:val="nil"/>
            </w:tcBorders>
            <w:shd w:val="clear" w:color="000000" w:fill="FF8A3F"/>
            <w:noWrap/>
            <w:vAlign w:val="bottom"/>
            <w:hideMark/>
          </w:tcPr>
          <w:p w14:paraId="26B4FEF8"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1541.44</w:t>
            </w:r>
          </w:p>
        </w:tc>
        <w:tc>
          <w:tcPr>
            <w:tcW w:w="1069" w:type="dxa"/>
            <w:tcBorders>
              <w:top w:val="single" w:sz="4" w:space="0" w:color="auto"/>
              <w:left w:val="nil"/>
              <w:bottom w:val="nil"/>
              <w:right w:val="nil"/>
            </w:tcBorders>
            <w:shd w:val="clear" w:color="000000" w:fill="FFDB89"/>
            <w:noWrap/>
            <w:vAlign w:val="bottom"/>
            <w:hideMark/>
          </w:tcPr>
          <w:p w14:paraId="08A62838"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649.4</w:t>
            </w:r>
          </w:p>
        </w:tc>
        <w:tc>
          <w:tcPr>
            <w:tcW w:w="1140" w:type="dxa"/>
            <w:tcBorders>
              <w:top w:val="single" w:sz="4" w:space="0" w:color="auto"/>
              <w:left w:val="nil"/>
              <w:bottom w:val="nil"/>
              <w:right w:val="single" w:sz="4" w:space="0" w:color="auto"/>
            </w:tcBorders>
            <w:shd w:val="clear" w:color="000000" w:fill="FF7128"/>
            <w:noWrap/>
            <w:vAlign w:val="bottom"/>
            <w:hideMark/>
          </w:tcPr>
          <w:p w14:paraId="6961A1B1"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1819.26</w:t>
            </w:r>
          </w:p>
        </w:tc>
      </w:tr>
      <w:tr w:rsidR="00450524" w:rsidRPr="006D20B8" w14:paraId="20FBFCBF" w14:textId="77777777" w:rsidTr="00450524">
        <w:trPr>
          <w:trHeight w:val="283"/>
        </w:trPr>
        <w:tc>
          <w:tcPr>
            <w:tcW w:w="2738" w:type="dxa"/>
            <w:tcBorders>
              <w:top w:val="nil"/>
              <w:left w:val="single" w:sz="4" w:space="0" w:color="auto"/>
              <w:bottom w:val="single" w:sz="4" w:space="0" w:color="auto"/>
              <w:right w:val="single" w:sz="4" w:space="0" w:color="auto"/>
            </w:tcBorders>
            <w:shd w:val="clear" w:color="auto" w:fill="auto"/>
            <w:noWrap/>
            <w:vAlign w:val="bottom"/>
            <w:hideMark/>
          </w:tcPr>
          <w:p w14:paraId="43076A06" w14:textId="77777777" w:rsidR="00751F0D" w:rsidRDefault="00751F0D" w:rsidP="001A6615">
            <w:pPr>
              <w:spacing w:line="240" w:lineRule="auto"/>
              <w:rPr>
                <w:rFonts w:eastAsia="Times New Roman"/>
                <w:color w:val="000000"/>
              </w:rPr>
            </w:pPr>
            <w:r w:rsidRPr="00EC1B2A">
              <w:rPr>
                <w:rFonts w:eastAsia="Times New Roman"/>
                <w:color w:val="000000"/>
              </w:rPr>
              <w:t xml:space="preserve">% Indirect </w:t>
            </w:r>
            <w:r>
              <w:rPr>
                <w:rFonts w:eastAsia="Times New Roman"/>
                <w:color w:val="000000"/>
              </w:rPr>
              <w:t xml:space="preserve">exposure </w:t>
            </w:r>
          </w:p>
          <w:p w14:paraId="0E7B3FC6" w14:textId="6F696AE7" w:rsidR="00751F0D" w:rsidRPr="00EC1B2A" w:rsidRDefault="00DF3F59" w:rsidP="00DF3F59">
            <w:pPr>
              <w:spacing w:line="240" w:lineRule="auto"/>
              <w:rPr>
                <w:rFonts w:eastAsia="Times New Roman"/>
                <w:color w:val="000000"/>
              </w:rPr>
            </w:pPr>
            <w:proofErr w:type="gramStart"/>
            <w:r>
              <w:rPr>
                <w:rFonts w:eastAsia="Times New Roman"/>
                <w:color w:val="000000"/>
              </w:rPr>
              <w:t>t</w:t>
            </w:r>
            <w:r w:rsidR="00751F0D" w:rsidRPr="00EC1B2A">
              <w:rPr>
                <w:rFonts w:eastAsia="Times New Roman"/>
                <w:color w:val="000000"/>
              </w:rPr>
              <w:t>o</w:t>
            </w:r>
            <w:proofErr w:type="gramEnd"/>
            <w:r>
              <w:rPr>
                <w:rFonts w:eastAsia="Times New Roman"/>
                <w:color w:val="000000"/>
              </w:rPr>
              <w:t xml:space="preserve"> </w:t>
            </w:r>
            <w:r w:rsidR="00921F91">
              <w:rPr>
                <w:rFonts w:eastAsia="Times New Roman"/>
                <w:color w:val="000000"/>
              </w:rPr>
              <w:t>HCW</w:t>
            </w:r>
          </w:p>
        </w:tc>
        <w:tc>
          <w:tcPr>
            <w:tcW w:w="1069" w:type="dxa"/>
            <w:tcBorders>
              <w:top w:val="nil"/>
              <w:left w:val="nil"/>
              <w:bottom w:val="single" w:sz="4" w:space="0" w:color="auto"/>
              <w:right w:val="nil"/>
            </w:tcBorders>
            <w:shd w:val="clear" w:color="000000" w:fill="FFEF9C"/>
            <w:noWrap/>
            <w:vAlign w:val="bottom"/>
            <w:hideMark/>
          </w:tcPr>
          <w:p w14:paraId="294A4F5F"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37</w:t>
            </w:r>
          </w:p>
        </w:tc>
        <w:tc>
          <w:tcPr>
            <w:tcW w:w="1140" w:type="dxa"/>
            <w:tcBorders>
              <w:top w:val="nil"/>
              <w:left w:val="nil"/>
              <w:bottom w:val="single" w:sz="4" w:space="0" w:color="auto"/>
              <w:right w:val="nil"/>
            </w:tcBorders>
            <w:shd w:val="clear" w:color="000000" w:fill="FFD07F"/>
            <w:noWrap/>
            <w:vAlign w:val="bottom"/>
            <w:hideMark/>
          </w:tcPr>
          <w:p w14:paraId="22D3AB15"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49</w:t>
            </w:r>
          </w:p>
        </w:tc>
        <w:tc>
          <w:tcPr>
            <w:tcW w:w="1069" w:type="dxa"/>
            <w:tcBorders>
              <w:top w:val="nil"/>
              <w:left w:val="nil"/>
              <w:bottom w:val="single" w:sz="4" w:space="0" w:color="auto"/>
              <w:right w:val="nil"/>
            </w:tcBorders>
            <w:shd w:val="clear" w:color="000000" w:fill="FF994D"/>
            <w:noWrap/>
            <w:vAlign w:val="bottom"/>
            <w:hideMark/>
          </w:tcPr>
          <w:p w14:paraId="2D57079E"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70</w:t>
            </w:r>
          </w:p>
        </w:tc>
        <w:tc>
          <w:tcPr>
            <w:tcW w:w="1069" w:type="dxa"/>
            <w:tcBorders>
              <w:top w:val="nil"/>
              <w:left w:val="nil"/>
              <w:bottom w:val="single" w:sz="4" w:space="0" w:color="auto"/>
              <w:right w:val="nil"/>
            </w:tcBorders>
            <w:shd w:val="clear" w:color="000000" w:fill="FF7C32"/>
            <w:noWrap/>
            <w:vAlign w:val="bottom"/>
            <w:hideMark/>
          </w:tcPr>
          <w:p w14:paraId="7ECBFAB5"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81</w:t>
            </w:r>
          </w:p>
        </w:tc>
        <w:tc>
          <w:tcPr>
            <w:tcW w:w="1069" w:type="dxa"/>
            <w:tcBorders>
              <w:top w:val="nil"/>
              <w:left w:val="nil"/>
              <w:bottom w:val="single" w:sz="4" w:space="0" w:color="auto"/>
              <w:right w:val="nil"/>
            </w:tcBorders>
            <w:shd w:val="clear" w:color="000000" w:fill="FFA659"/>
            <w:noWrap/>
            <w:vAlign w:val="bottom"/>
            <w:hideMark/>
          </w:tcPr>
          <w:p w14:paraId="725DE870"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65</w:t>
            </w:r>
          </w:p>
        </w:tc>
        <w:tc>
          <w:tcPr>
            <w:tcW w:w="1140" w:type="dxa"/>
            <w:tcBorders>
              <w:top w:val="nil"/>
              <w:left w:val="nil"/>
              <w:bottom w:val="single" w:sz="4" w:space="0" w:color="auto"/>
              <w:right w:val="nil"/>
            </w:tcBorders>
            <w:shd w:val="clear" w:color="000000" w:fill="FFB062"/>
            <w:noWrap/>
            <w:vAlign w:val="bottom"/>
            <w:hideMark/>
          </w:tcPr>
          <w:p w14:paraId="17AB061A"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61</w:t>
            </w:r>
          </w:p>
        </w:tc>
        <w:tc>
          <w:tcPr>
            <w:tcW w:w="1069" w:type="dxa"/>
            <w:tcBorders>
              <w:top w:val="nil"/>
              <w:left w:val="nil"/>
              <w:bottom w:val="single" w:sz="4" w:space="0" w:color="auto"/>
              <w:right w:val="nil"/>
            </w:tcBorders>
            <w:shd w:val="clear" w:color="000000" w:fill="FF8137"/>
            <w:noWrap/>
            <w:vAlign w:val="bottom"/>
            <w:hideMark/>
          </w:tcPr>
          <w:p w14:paraId="1715DF33"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79</w:t>
            </w:r>
          </w:p>
        </w:tc>
        <w:tc>
          <w:tcPr>
            <w:tcW w:w="1140" w:type="dxa"/>
            <w:tcBorders>
              <w:top w:val="nil"/>
              <w:left w:val="nil"/>
              <w:bottom w:val="single" w:sz="4" w:space="0" w:color="auto"/>
              <w:right w:val="single" w:sz="4" w:space="0" w:color="auto"/>
            </w:tcBorders>
            <w:shd w:val="clear" w:color="000000" w:fill="FF7128"/>
            <w:noWrap/>
            <w:vAlign w:val="bottom"/>
            <w:hideMark/>
          </w:tcPr>
          <w:p w14:paraId="3D207381"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85</w:t>
            </w:r>
          </w:p>
        </w:tc>
      </w:tr>
      <w:tr w:rsidR="00450524" w:rsidRPr="006D20B8" w14:paraId="6ED03472" w14:textId="77777777" w:rsidTr="00450524">
        <w:trPr>
          <w:trHeight w:val="283"/>
        </w:trPr>
        <w:tc>
          <w:tcPr>
            <w:tcW w:w="2738" w:type="dxa"/>
            <w:tcBorders>
              <w:top w:val="nil"/>
              <w:left w:val="single" w:sz="4" w:space="0" w:color="auto"/>
              <w:bottom w:val="nil"/>
              <w:right w:val="single" w:sz="4" w:space="0" w:color="auto"/>
            </w:tcBorders>
            <w:shd w:val="clear" w:color="auto" w:fill="auto"/>
            <w:noWrap/>
            <w:vAlign w:val="bottom"/>
            <w:hideMark/>
          </w:tcPr>
          <w:p w14:paraId="7E1BFFE7" w14:textId="77777777" w:rsidR="00751F0D" w:rsidRDefault="00751F0D" w:rsidP="001A6615">
            <w:pPr>
              <w:spacing w:line="240" w:lineRule="auto"/>
              <w:rPr>
                <w:rFonts w:eastAsia="Times New Roman"/>
                <w:color w:val="000000"/>
              </w:rPr>
            </w:pPr>
            <w:r w:rsidRPr="00EC1B2A">
              <w:rPr>
                <w:rFonts w:eastAsia="Times New Roman"/>
                <w:color w:val="000000"/>
              </w:rPr>
              <w:t xml:space="preserve">Indirect exposure </w:t>
            </w:r>
          </w:p>
          <w:p w14:paraId="13353CED" w14:textId="77777777" w:rsidR="00751F0D" w:rsidRPr="00EC1B2A" w:rsidRDefault="00751F0D" w:rsidP="001A6615">
            <w:pPr>
              <w:spacing w:line="240" w:lineRule="auto"/>
              <w:rPr>
                <w:rFonts w:eastAsia="Times New Roman"/>
                <w:color w:val="000000"/>
              </w:rPr>
            </w:pPr>
            <w:r w:rsidRPr="00EC1B2A">
              <w:rPr>
                <w:rFonts w:eastAsia="Times New Roman"/>
                <w:color w:val="000000"/>
              </w:rPr>
              <w:t>to</w:t>
            </w:r>
            <w:r>
              <w:rPr>
                <w:rFonts w:eastAsia="Times New Roman"/>
                <w:color w:val="000000"/>
              </w:rPr>
              <w:t xml:space="preserve"> uncolonized patient</w:t>
            </w:r>
          </w:p>
        </w:tc>
        <w:tc>
          <w:tcPr>
            <w:tcW w:w="1069" w:type="dxa"/>
            <w:tcBorders>
              <w:top w:val="single" w:sz="4" w:space="0" w:color="auto"/>
              <w:left w:val="nil"/>
              <w:bottom w:val="nil"/>
              <w:right w:val="nil"/>
            </w:tcBorders>
            <w:shd w:val="clear" w:color="000000" w:fill="FFEF9C"/>
            <w:noWrap/>
            <w:vAlign w:val="bottom"/>
            <w:hideMark/>
          </w:tcPr>
          <w:p w14:paraId="7C6F1B3F"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0</w:t>
            </w:r>
          </w:p>
        </w:tc>
        <w:tc>
          <w:tcPr>
            <w:tcW w:w="1140" w:type="dxa"/>
            <w:tcBorders>
              <w:top w:val="single" w:sz="4" w:space="0" w:color="auto"/>
              <w:left w:val="nil"/>
              <w:bottom w:val="nil"/>
              <w:right w:val="nil"/>
            </w:tcBorders>
            <w:shd w:val="clear" w:color="000000" w:fill="FFEF9C"/>
            <w:noWrap/>
            <w:vAlign w:val="bottom"/>
            <w:hideMark/>
          </w:tcPr>
          <w:p w14:paraId="4D754735"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0.58</w:t>
            </w:r>
          </w:p>
        </w:tc>
        <w:tc>
          <w:tcPr>
            <w:tcW w:w="1069" w:type="dxa"/>
            <w:tcBorders>
              <w:top w:val="single" w:sz="4" w:space="0" w:color="auto"/>
              <w:left w:val="nil"/>
              <w:bottom w:val="nil"/>
              <w:right w:val="nil"/>
            </w:tcBorders>
            <w:shd w:val="clear" w:color="000000" w:fill="FFEA98"/>
            <w:noWrap/>
            <w:vAlign w:val="bottom"/>
            <w:hideMark/>
          </w:tcPr>
          <w:p w14:paraId="273997E5"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8.19</w:t>
            </w:r>
          </w:p>
        </w:tc>
        <w:tc>
          <w:tcPr>
            <w:tcW w:w="1069" w:type="dxa"/>
            <w:tcBorders>
              <w:top w:val="single" w:sz="4" w:space="0" w:color="auto"/>
              <w:left w:val="nil"/>
              <w:bottom w:val="nil"/>
              <w:right w:val="nil"/>
            </w:tcBorders>
            <w:shd w:val="clear" w:color="000000" w:fill="FFCD7D"/>
            <w:noWrap/>
            <w:vAlign w:val="bottom"/>
            <w:hideMark/>
          </w:tcPr>
          <w:p w14:paraId="6784E549"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54.38</w:t>
            </w:r>
          </w:p>
        </w:tc>
        <w:tc>
          <w:tcPr>
            <w:tcW w:w="1069" w:type="dxa"/>
            <w:tcBorders>
              <w:top w:val="single" w:sz="4" w:space="0" w:color="auto"/>
              <w:left w:val="nil"/>
              <w:bottom w:val="nil"/>
              <w:right w:val="nil"/>
            </w:tcBorders>
            <w:shd w:val="clear" w:color="000000" w:fill="FFBC6D"/>
            <w:noWrap/>
            <w:vAlign w:val="bottom"/>
            <w:hideMark/>
          </w:tcPr>
          <w:p w14:paraId="705D0B17"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80.62</w:t>
            </w:r>
          </w:p>
        </w:tc>
        <w:tc>
          <w:tcPr>
            <w:tcW w:w="1140" w:type="dxa"/>
            <w:tcBorders>
              <w:top w:val="single" w:sz="4" w:space="0" w:color="auto"/>
              <w:left w:val="nil"/>
              <w:bottom w:val="nil"/>
              <w:right w:val="nil"/>
            </w:tcBorders>
            <w:shd w:val="clear" w:color="000000" w:fill="FFCF7F"/>
            <w:noWrap/>
            <w:vAlign w:val="bottom"/>
            <w:hideMark/>
          </w:tcPr>
          <w:p w14:paraId="3C7F6EF0"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50.78</w:t>
            </w:r>
          </w:p>
        </w:tc>
        <w:tc>
          <w:tcPr>
            <w:tcW w:w="1069" w:type="dxa"/>
            <w:tcBorders>
              <w:top w:val="single" w:sz="4" w:space="0" w:color="auto"/>
              <w:left w:val="nil"/>
              <w:bottom w:val="nil"/>
              <w:right w:val="nil"/>
            </w:tcBorders>
            <w:shd w:val="clear" w:color="000000" w:fill="FFCC7C"/>
            <w:noWrap/>
            <w:vAlign w:val="bottom"/>
            <w:hideMark/>
          </w:tcPr>
          <w:p w14:paraId="7FCFB125"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55.12</w:t>
            </w:r>
          </w:p>
        </w:tc>
        <w:tc>
          <w:tcPr>
            <w:tcW w:w="1140" w:type="dxa"/>
            <w:tcBorders>
              <w:top w:val="single" w:sz="4" w:space="0" w:color="auto"/>
              <w:left w:val="nil"/>
              <w:bottom w:val="nil"/>
              <w:right w:val="single" w:sz="4" w:space="0" w:color="auto"/>
            </w:tcBorders>
            <w:shd w:val="clear" w:color="000000" w:fill="FF7128"/>
            <w:noWrap/>
            <w:vAlign w:val="bottom"/>
            <w:hideMark/>
          </w:tcPr>
          <w:p w14:paraId="5DCBCEFA"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198.1</w:t>
            </w:r>
          </w:p>
        </w:tc>
      </w:tr>
      <w:tr w:rsidR="00450524" w:rsidRPr="006D20B8" w14:paraId="596A4FC3" w14:textId="77777777" w:rsidTr="00450524">
        <w:trPr>
          <w:trHeight w:val="283"/>
        </w:trPr>
        <w:tc>
          <w:tcPr>
            <w:tcW w:w="2738" w:type="dxa"/>
            <w:tcBorders>
              <w:top w:val="nil"/>
              <w:left w:val="single" w:sz="4" w:space="0" w:color="auto"/>
              <w:bottom w:val="single" w:sz="4" w:space="0" w:color="auto"/>
              <w:right w:val="single" w:sz="4" w:space="0" w:color="auto"/>
            </w:tcBorders>
            <w:shd w:val="clear" w:color="auto" w:fill="auto"/>
            <w:noWrap/>
            <w:vAlign w:val="bottom"/>
            <w:hideMark/>
          </w:tcPr>
          <w:p w14:paraId="4478DB45" w14:textId="77777777" w:rsidR="00751F0D" w:rsidRDefault="00751F0D" w:rsidP="001A6615">
            <w:pPr>
              <w:spacing w:line="240" w:lineRule="auto"/>
              <w:rPr>
                <w:rFonts w:eastAsia="Times New Roman"/>
                <w:color w:val="000000"/>
              </w:rPr>
            </w:pPr>
            <w:r w:rsidRPr="00EC1B2A">
              <w:rPr>
                <w:rFonts w:eastAsia="Times New Roman"/>
                <w:color w:val="000000"/>
              </w:rPr>
              <w:t xml:space="preserve">% Indirect </w:t>
            </w:r>
            <w:r>
              <w:rPr>
                <w:rFonts w:eastAsia="Times New Roman"/>
                <w:color w:val="000000"/>
              </w:rPr>
              <w:t xml:space="preserve">exposure </w:t>
            </w:r>
          </w:p>
          <w:p w14:paraId="6B80C898" w14:textId="77777777" w:rsidR="00751F0D" w:rsidRPr="00EC1B2A" w:rsidRDefault="00751F0D" w:rsidP="001A6615">
            <w:pPr>
              <w:spacing w:line="240" w:lineRule="auto"/>
              <w:rPr>
                <w:rFonts w:eastAsia="Times New Roman"/>
                <w:color w:val="000000"/>
              </w:rPr>
            </w:pPr>
            <w:r w:rsidRPr="00EC1B2A">
              <w:rPr>
                <w:rFonts w:eastAsia="Times New Roman"/>
                <w:color w:val="000000"/>
              </w:rPr>
              <w:t>to</w:t>
            </w:r>
            <w:r>
              <w:rPr>
                <w:rFonts w:eastAsia="Times New Roman"/>
                <w:color w:val="000000"/>
              </w:rPr>
              <w:t xml:space="preserve"> uncolonized patient</w:t>
            </w:r>
          </w:p>
        </w:tc>
        <w:tc>
          <w:tcPr>
            <w:tcW w:w="1069" w:type="dxa"/>
            <w:tcBorders>
              <w:top w:val="nil"/>
              <w:left w:val="nil"/>
              <w:bottom w:val="single" w:sz="4" w:space="0" w:color="auto"/>
              <w:right w:val="nil"/>
            </w:tcBorders>
            <w:shd w:val="clear" w:color="000000" w:fill="FFEF9C"/>
            <w:noWrap/>
            <w:vAlign w:val="bottom"/>
            <w:hideMark/>
          </w:tcPr>
          <w:p w14:paraId="469C69F4"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0</w:t>
            </w:r>
          </w:p>
        </w:tc>
        <w:tc>
          <w:tcPr>
            <w:tcW w:w="1140" w:type="dxa"/>
            <w:tcBorders>
              <w:top w:val="nil"/>
              <w:left w:val="nil"/>
              <w:bottom w:val="single" w:sz="4" w:space="0" w:color="auto"/>
              <w:right w:val="nil"/>
            </w:tcBorders>
            <w:shd w:val="clear" w:color="000000" w:fill="FFEF9C"/>
            <w:noWrap/>
            <w:vAlign w:val="bottom"/>
            <w:hideMark/>
          </w:tcPr>
          <w:p w14:paraId="79997D7E"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0</w:t>
            </w:r>
          </w:p>
        </w:tc>
        <w:tc>
          <w:tcPr>
            <w:tcW w:w="1069" w:type="dxa"/>
            <w:tcBorders>
              <w:top w:val="nil"/>
              <w:left w:val="nil"/>
              <w:bottom w:val="single" w:sz="4" w:space="0" w:color="auto"/>
              <w:right w:val="nil"/>
            </w:tcBorders>
            <w:shd w:val="clear" w:color="000000" w:fill="FFC575"/>
            <w:noWrap/>
            <w:vAlign w:val="bottom"/>
            <w:hideMark/>
          </w:tcPr>
          <w:p w14:paraId="10705266"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20</w:t>
            </w:r>
          </w:p>
        </w:tc>
        <w:tc>
          <w:tcPr>
            <w:tcW w:w="1069" w:type="dxa"/>
            <w:tcBorders>
              <w:top w:val="nil"/>
              <w:left w:val="nil"/>
              <w:bottom w:val="single" w:sz="4" w:space="0" w:color="auto"/>
              <w:right w:val="nil"/>
            </w:tcBorders>
            <w:shd w:val="clear" w:color="000000" w:fill="FFD685"/>
            <w:noWrap/>
            <w:vAlign w:val="bottom"/>
            <w:hideMark/>
          </w:tcPr>
          <w:p w14:paraId="4015BDD7"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12</w:t>
            </w:r>
          </w:p>
        </w:tc>
        <w:tc>
          <w:tcPr>
            <w:tcW w:w="1069" w:type="dxa"/>
            <w:tcBorders>
              <w:top w:val="nil"/>
              <w:left w:val="nil"/>
              <w:bottom w:val="single" w:sz="4" w:space="0" w:color="auto"/>
              <w:right w:val="nil"/>
            </w:tcBorders>
            <w:shd w:val="clear" w:color="000000" w:fill="FFA457"/>
            <w:noWrap/>
            <w:vAlign w:val="bottom"/>
            <w:hideMark/>
          </w:tcPr>
          <w:p w14:paraId="1D20B015"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35.4</w:t>
            </w:r>
          </w:p>
        </w:tc>
        <w:tc>
          <w:tcPr>
            <w:tcW w:w="1140" w:type="dxa"/>
            <w:tcBorders>
              <w:top w:val="nil"/>
              <w:left w:val="nil"/>
              <w:bottom w:val="single" w:sz="4" w:space="0" w:color="auto"/>
              <w:right w:val="nil"/>
            </w:tcBorders>
            <w:shd w:val="clear" w:color="000000" w:fill="FFCE7E"/>
            <w:noWrap/>
            <w:vAlign w:val="bottom"/>
            <w:hideMark/>
          </w:tcPr>
          <w:p w14:paraId="0A0FDA57"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15.47</w:t>
            </w:r>
          </w:p>
        </w:tc>
        <w:tc>
          <w:tcPr>
            <w:tcW w:w="1069" w:type="dxa"/>
            <w:tcBorders>
              <w:top w:val="nil"/>
              <w:left w:val="nil"/>
              <w:bottom w:val="single" w:sz="4" w:space="0" w:color="auto"/>
              <w:right w:val="nil"/>
            </w:tcBorders>
            <w:shd w:val="clear" w:color="000000" w:fill="FF7128"/>
            <w:noWrap/>
            <w:vAlign w:val="bottom"/>
            <w:hideMark/>
          </w:tcPr>
          <w:p w14:paraId="1D3804BD"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59</w:t>
            </w:r>
          </w:p>
        </w:tc>
        <w:tc>
          <w:tcPr>
            <w:tcW w:w="1140" w:type="dxa"/>
            <w:tcBorders>
              <w:top w:val="nil"/>
              <w:left w:val="nil"/>
              <w:bottom w:val="single" w:sz="4" w:space="0" w:color="auto"/>
              <w:right w:val="single" w:sz="4" w:space="0" w:color="auto"/>
            </w:tcBorders>
            <w:shd w:val="clear" w:color="000000" w:fill="FFA054"/>
            <w:noWrap/>
            <w:vAlign w:val="bottom"/>
            <w:hideMark/>
          </w:tcPr>
          <w:p w14:paraId="091A84EE" w14:textId="77777777" w:rsidR="00751F0D" w:rsidRPr="00EC1B2A" w:rsidRDefault="00751F0D" w:rsidP="001A6615">
            <w:pPr>
              <w:spacing w:line="240" w:lineRule="auto"/>
              <w:jc w:val="center"/>
              <w:rPr>
                <w:rFonts w:eastAsia="Times New Roman"/>
                <w:color w:val="000000"/>
              </w:rPr>
            </w:pPr>
            <w:r w:rsidRPr="00EC1B2A">
              <w:rPr>
                <w:rFonts w:eastAsia="Times New Roman"/>
                <w:color w:val="000000"/>
              </w:rPr>
              <w:t>37</w:t>
            </w:r>
          </w:p>
        </w:tc>
      </w:tr>
    </w:tbl>
    <w:p w14:paraId="5E82D99C" w14:textId="77777777" w:rsidR="00751F0D" w:rsidRDefault="00751F0D" w:rsidP="00751F0D"/>
    <w:p w14:paraId="5CE3137B" w14:textId="77777777" w:rsidR="00751F0D" w:rsidRPr="00751F0D" w:rsidRDefault="00751F0D" w:rsidP="00751F0D">
      <w:pPr>
        <w:ind w:left="720" w:hanging="720"/>
      </w:pPr>
    </w:p>
    <w:sectPr w:rsidR="00751F0D" w:rsidRPr="00751F0D" w:rsidSect="00751F0D">
      <w:pgSz w:w="15840" w:h="12240" w:orient="landscape"/>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05FA7D" w14:textId="77777777" w:rsidR="00450524" w:rsidRDefault="00450524" w:rsidP="00C04759">
      <w:pPr>
        <w:spacing w:line="240" w:lineRule="auto"/>
      </w:pPr>
      <w:r>
        <w:separator/>
      </w:r>
    </w:p>
  </w:endnote>
  <w:endnote w:type="continuationSeparator" w:id="0">
    <w:p w14:paraId="0F78195B" w14:textId="77777777" w:rsidR="00450524" w:rsidRDefault="00450524" w:rsidP="00C047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charset w:val="80"/>
    <w:family w:val="modern"/>
    <w:pitch w:val="fixed"/>
    <w:sig w:usb0="E00002FF" w:usb1="6AC7FDFB" w:usb2="00000012"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9A32F6" w14:textId="77777777" w:rsidR="00450524" w:rsidRDefault="00450524" w:rsidP="00D322A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A1C9D4" w14:textId="77777777" w:rsidR="00450524" w:rsidRDefault="00450524" w:rsidP="00D322A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EC72C1" w14:textId="77777777" w:rsidR="00450524" w:rsidRDefault="00450524" w:rsidP="00D322A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24F20">
      <w:rPr>
        <w:rStyle w:val="PageNumber"/>
        <w:noProof/>
      </w:rPr>
      <w:t>1</w:t>
    </w:r>
    <w:r>
      <w:rPr>
        <w:rStyle w:val="PageNumber"/>
      </w:rPr>
      <w:fldChar w:fldCharType="end"/>
    </w:r>
  </w:p>
  <w:p w14:paraId="7DFB0A1C" w14:textId="77777777" w:rsidR="00450524" w:rsidRDefault="00450524" w:rsidP="00D322A5">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8338D7" w14:textId="77777777" w:rsidR="00450524" w:rsidRDefault="00450524" w:rsidP="00C04759">
      <w:pPr>
        <w:spacing w:line="240" w:lineRule="auto"/>
      </w:pPr>
      <w:r>
        <w:separator/>
      </w:r>
    </w:p>
  </w:footnote>
  <w:footnote w:type="continuationSeparator" w:id="0">
    <w:p w14:paraId="094CFC66" w14:textId="77777777" w:rsidR="00450524" w:rsidRDefault="00450524" w:rsidP="00C04759">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07E4F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072A246E"/>
    <w:lvl w:ilvl="0">
      <w:start w:val="1"/>
      <w:numFmt w:val="decimal"/>
      <w:lvlText w:val="%1."/>
      <w:lvlJc w:val="left"/>
      <w:pPr>
        <w:tabs>
          <w:tab w:val="num" w:pos="1800"/>
        </w:tabs>
        <w:ind w:left="1800" w:hanging="360"/>
      </w:pPr>
    </w:lvl>
  </w:abstractNum>
  <w:abstractNum w:abstractNumId="2">
    <w:nsid w:val="FFFFFF7D"/>
    <w:multiLevelType w:val="singleLevel"/>
    <w:tmpl w:val="E202E5D2"/>
    <w:lvl w:ilvl="0">
      <w:start w:val="1"/>
      <w:numFmt w:val="decimal"/>
      <w:lvlText w:val="%1."/>
      <w:lvlJc w:val="left"/>
      <w:pPr>
        <w:tabs>
          <w:tab w:val="num" w:pos="1440"/>
        </w:tabs>
        <w:ind w:left="1440" w:hanging="360"/>
      </w:pPr>
    </w:lvl>
  </w:abstractNum>
  <w:abstractNum w:abstractNumId="3">
    <w:nsid w:val="FFFFFF7E"/>
    <w:multiLevelType w:val="singleLevel"/>
    <w:tmpl w:val="95E85EBC"/>
    <w:lvl w:ilvl="0">
      <w:start w:val="1"/>
      <w:numFmt w:val="decimal"/>
      <w:lvlText w:val="%1."/>
      <w:lvlJc w:val="left"/>
      <w:pPr>
        <w:tabs>
          <w:tab w:val="num" w:pos="1080"/>
        </w:tabs>
        <w:ind w:left="1080" w:hanging="360"/>
      </w:pPr>
    </w:lvl>
  </w:abstractNum>
  <w:abstractNum w:abstractNumId="4">
    <w:nsid w:val="FFFFFF7F"/>
    <w:multiLevelType w:val="singleLevel"/>
    <w:tmpl w:val="2EB647D8"/>
    <w:lvl w:ilvl="0">
      <w:start w:val="1"/>
      <w:numFmt w:val="decimal"/>
      <w:lvlText w:val="%1."/>
      <w:lvlJc w:val="left"/>
      <w:pPr>
        <w:tabs>
          <w:tab w:val="num" w:pos="720"/>
        </w:tabs>
        <w:ind w:left="720" w:hanging="360"/>
      </w:pPr>
    </w:lvl>
  </w:abstractNum>
  <w:abstractNum w:abstractNumId="5">
    <w:nsid w:val="FFFFFF80"/>
    <w:multiLevelType w:val="singleLevel"/>
    <w:tmpl w:val="D40ECFF2"/>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55FC2BC2"/>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0212AEB6"/>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DA8E1C4E"/>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B44A095C"/>
    <w:lvl w:ilvl="0">
      <w:start w:val="1"/>
      <w:numFmt w:val="decimal"/>
      <w:lvlText w:val="%1."/>
      <w:lvlJc w:val="left"/>
      <w:pPr>
        <w:tabs>
          <w:tab w:val="num" w:pos="360"/>
        </w:tabs>
        <w:ind w:left="360" w:hanging="360"/>
      </w:pPr>
    </w:lvl>
  </w:abstractNum>
  <w:abstractNum w:abstractNumId="10">
    <w:nsid w:val="FFFFFF89"/>
    <w:multiLevelType w:val="singleLevel"/>
    <w:tmpl w:val="ACCE084C"/>
    <w:lvl w:ilvl="0">
      <w:start w:val="1"/>
      <w:numFmt w:val="bullet"/>
      <w:lvlText w:val=""/>
      <w:lvlJc w:val="left"/>
      <w:pPr>
        <w:tabs>
          <w:tab w:val="num" w:pos="360"/>
        </w:tabs>
        <w:ind w:left="360" w:hanging="360"/>
      </w:pPr>
      <w:rPr>
        <w:rFonts w:ascii="Symbol" w:hAnsi="Symbol" w:hint="default"/>
      </w:rPr>
    </w:lvl>
  </w:abstractNum>
  <w:abstractNum w:abstractNumId="11">
    <w:nsid w:val="0000000A"/>
    <w:multiLevelType w:val="multilevel"/>
    <w:tmpl w:val="0000000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2">
    <w:nsid w:val="00432735"/>
    <w:multiLevelType w:val="hybridMultilevel"/>
    <w:tmpl w:val="6FBAC9C6"/>
    <w:lvl w:ilvl="0" w:tplc="137AA9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02D96E3E"/>
    <w:multiLevelType w:val="hybridMultilevel"/>
    <w:tmpl w:val="B47A1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4D05FCC"/>
    <w:multiLevelType w:val="multilevel"/>
    <w:tmpl w:val="283853AA"/>
    <w:lvl w:ilvl="0">
      <w:start w:val="1"/>
      <w:numFmt w:val="decimal"/>
      <w:lvlText w:val="%1."/>
      <w:lvlJc w:val="left"/>
      <w:pPr>
        <w:ind w:left="360" w:hanging="360"/>
      </w:pPr>
      <w:rPr>
        <w:rFonts w:ascii="Times" w:eastAsia="Calibri" w:hAnsi="Times" w:cs="Times New Roman"/>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nsid w:val="05B35874"/>
    <w:multiLevelType w:val="hybridMultilevel"/>
    <w:tmpl w:val="2D3A62E2"/>
    <w:lvl w:ilvl="0" w:tplc="0409000F">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0D040175"/>
    <w:multiLevelType w:val="multilevel"/>
    <w:tmpl w:val="11E607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0D0B02F7"/>
    <w:multiLevelType w:val="hybridMultilevel"/>
    <w:tmpl w:val="75BA03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0FC947CC"/>
    <w:multiLevelType w:val="hybridMultilevel"/>
    <w:tmpl w:val="8A08BDF4"/>
    <w:lvl w:ilvl="0" w:tplc="DA6CED72">
      <w:start w:val="1"/>
      <w:numFmt w:val="decimal"/>
      <w:lvlText w:val="%1."/>
      <w:lvlJc w:val="left"/>
      <w:pPr>
        <w:ind w:left="360" w:hanging="360"/>
      </w:pPr>
      <w:rPr>
        <w:rFonts w:ascii="Times" w:eastAsia="Calibri" w:hAnsi="Times"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12CA7AA1"/>
    <w:multiLevelType w:val="multilevel"/>
    <w:tmpl w:val="BF0E34A6"/>
    <w:lvl w:ilvl="0">
      <w:start w:val="5"/>
      <w:numFmt w:val="decimal"/>
      <w:lvlText w:val="%1"/>
      <w:lvlJc w:val="left"/>
      <w:pPr>
        <w:ind w:left="660" w:hanging="660"/>
      </w:pPr>
      <w:rPr>
        <w:rFonts w:hint="default"/>
      </w:rPr>
    </w:lvl>
    <w:lvl w:ilvl="1">
      <w:start w:val="2"/>
      <w:numFmt w:val="decimal"/>
      <w:lvlText w:val="%1.%2"/>
      <w:lvlJc w:val="left"/>
      <w:pPr>
        <w:ind w:left="900" w:hanging="660"/>
      </w:pPr>
      <w:rPr>
        <w:rFonts w:hint="default"/>
      </w:rPr>
    </w:lvl>
    <w:lvl w:ilvl="2">
      <w:start w:val="3"/>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0">
    <w:nsid w:val="14263633"/>
    <w:multiLevelType w:val="multilevel"/>
    <w:tmpl w:val="488212B4"/>
    <w:lvl w:ilvl="0">
      <w:start w:val="1"/>
      <w:numFmt w:val="decimal"/>
      <w:lvlText w:val="%1."/>
      <w:lvlJc w:val="left"/>
      <w:pPr>
        <w:ind w:left="720" w:hanging="360"/>
      </w:pPr>
      <w:rPr>
        <w:rFonts w:hint="default"/>
      </w:rPr>
    </w:lvl>
    <w:lvl w:ilvl="1">
      <w:start w:val="2"/>
      <w:numFmt w:val="decimal"/>
      <w:isLgl/>
      <w:lvlText w:val="%1.%2."/>
      <w:lvlJc w:val="left"/>
      <w:pPr>
        <w:ind w:left="1200" w:hanging="720"/>
      </w:pPr>
      <w:rPr>
        <w:rFonts w:hint="default"/>
      </w:rPr>
    </w:lvl>
    <w:lvl w:ilvl="2">
      <w:start w:val="3"/>
      <w:numFmt w:val="decimal"/>
      <w:isLgl/>
      <w:lvlText w:val="%1.%2.%3."/>
      <w:lvlJc w:val="left"/>
      <w:pPr>
        <w:ind w:left="1320" w:hanging="720"/>
      </w:pPr>
      <w:rPr>
        <w:rFonts w:hint="default"/>
      </w:rPr>
    </w:lvl>
    <w:lvl w:ilvl="3">
      <w:start w:val="2"/>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21">
    <w:nsid w:val="145F348A"/>
    <w:multiLevelType w:val="multilevel"/>
    <w:tmpl w:val="886C0218"/>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16016133"/>
    <w:multiLevelType w:val="hybridMultilevel"/>
    <w:tmpl w:val="0AE429F6"/>
    <w:lvl w:ilvl="0" w:tplc="04090001">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1AFD1487"/>
    <w:multiLevelType w:val="hybridMultilevel"/>
    <w:tmpl w:val="333499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1BB77422"/>
    <w:multiLevelType w:val="hybridMultilevel"/>
    <w:tmpl w:val="68A85F00"/>
    <w:lvl w:ilvl="0" w:tplc="DAEE966C">
      <w:start w:val="1"/>
      <w:numFmt w:val="decimal"/>
      <w:lvlText w:val="%1."/>
      <w:lvlJc w:val="left"/>
      <w:pPr>
        <w:ind w:left="360" w:hanging="360"/>
      </w:pPr>
      <w:rPr>
        <w:rFonts w:ascii="Times" w:eastAsia="Calibri" w:hAnsi="Times"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1DBD1903"/>
    <w:multiLevelType w:val="hybridMultilevel"/>
    <w:tmpl w:val="A49A125C"/>
    <w:lvl w:ilvl="0" w:tplc="8702C83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20BD1BEC"/>
    <w:multiLevelType w:val="hybridMultilevel"/>
    <w:tmpl w:val="411C3A96"/>
    <w:lvl w:ilvl="0" w:tplc="0409000F">
      <w:start w:val="1"/>
      <w:numFmt w:val="decimal"/>
      <w:lvlText w:val="%1."/>
      <w:lvlJc w:val="left"/>
      <w:pPr>
        <w:ind w:left="720" w:hanging="360"/>
      </w:pPr>
      <w:rPr>
        <w:rFonts w:hint="default"/>
      </w:rPr>
    </w:lvl>
    <w:lvl w:ilvl="1" w:tplc="04090019">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1A9062F"/>
    <w:multiLevelType w:val="hybridMultilevel"/>
    <w:tmpl w:val="1EC6D5D0"/>
    <w:lvl w:ilvl="0" w:tplc="2C9A8542">
      <w:start w:val="1"/>
      <w:numFmt w:val="decimal"/>
      <w:lvlText w:val="%1."/>
      <w:lvlJc w:val="left"/>
      <w:pPr>
        <w:ind w:left="360" w:hanging="360"/>
      </w:pPr>
      <w:rPr>
        <w:rFonts w:ascii="Times" w:eastAsia="Calibri" w:hAnsi="Times" w:cs="Times New Roman"/>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22E31BA7"/>
    <w:multiLevelType w:val="multilevel"/>
    <w:tmpl w:val="08C2741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263E59FB"/>
    <w:multiLevelType w:val="hybridMultilevel"/>
    <w:tmpl w:val="2D3A62E2"/>
    <w:lvl w:ilvl="0" w:tplc="0409000F">
      <w:start w:val="1"/>
      <w:numFmt w:val="low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2AD44C73"/>
    <w:multiLevelType w:val="hybridMultilevel"/>
    <w:tmpl w:val="18061C50"/>
    <w:lvl w:ilvl="0" w:tplc="9FC60396">
      <w:start w:val="1"/>
      <w:numFmt w:val="decimal"/>
      <w:lvlText w:val="%1."/>
      <w:lvlJc w:val="left"/>
      <w:pPr>
        <w:ind w:left="360" w:hanging="360"/>
      </w:pPr>
      <w:rPr>
        <w:rFonts w:ascii="Times" w:eastAsia="Calibri" w:hAnsi="Times"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2D47423C"/>
    <w:multiLevelType w:val="hybridMultilevel"/>
    <w:tmpl w:val="2D3A62E2"/>
    <w:lvl w:ilvl="0" w:tplc="0409000F">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2D723A18"/>
    <w:multiLevelType w:val="hybridMultilevel"/>
    <w:tmpl w:val="2D3A62E2"/>
    <w:lvl w:ilvl="0" w:tplc="0409000F">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2E802FB2"/>
    <w:multiLevelType w:val="hybridMultilevel"/>
    <w:tmpl w:val="2D3A62E2"/>
    <w:lvl w:ilvl="0" w:tplc="0409000F">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33477ABC"/>
    <w:multiLevelType w:val="hybridMultilevel"/>
    <w:tmpl w:val="2D3A62E2"/>
    <w:lvl w:ilvl="0" w:tplc="0409000F">
      <w:start w:val="1"/>
      <w:numFmt w:val="low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33DB2587"/>
    <w:multiLevelType w:val="hybridMultilevel"/>
    <w:tmpl w:val="22045CA4"/>
    <w:lvl w:ilvl="0" w:tplc="68E804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34031DBB"/>
    <w:multiLevelType w:val="multilevel"/>
    <w:tmpl w:val="51C6A426"/>
    <w:lvl w:ilvl="0">
      <w:start w:val="1"/>
      <w:numFmt w:val="decimal"/>
      <w:lvlText w:val="%1."/>
      <w:lvlJc w:val="left"/>
      <w:pPr>
        <w:ind w:left="360" w:hanging="36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nsid w:val="3AD82BC7"/>
    <w:multiLevelType w:val="hybridMultilevel"/>
    <w:tmpl w:val="2D3A62E2"/>
    <w:lvl w:ilvl="0" w:tplc="0409000F">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F5312FA"/>
    <w:multiLevelType w:val="hybridMultilevel"/>
    <w:tmpl w:val="2D3A62E2"/>
    <w:lvl w:ilvl="0" w:tplc="0409000F">
      <w:start w:val="1"/>
      <w:numFmt w:val="lowerLetter"/>
      <w:lvlText w:val="%1."/>
      <w:lvlJc w:val="left"/>
      <w:pPr>
        <w:ind w:left="1440" w:hanging="360"/>
      </w:pPr>
      <w:rPr>
        <w:rFonts w:hint="default"/>
      </w:rPr>
    </w:lvl>
    <w:lvl w:ilvl="1" w:tplc="04090019">
      <w:start w:val="1"/>
      <w:numFmt w:val="lowerRoman"/>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403A3C87"/>
    <w:multiLevelType w:val="hybridMultilevel"/>
    <w:tmpl w:val="2D3A62E2"/>
    <w:lvl w:ilvl="0" w:tplc="0409000F">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426A2B36"/>
    <w:multiLevelType w:val="hybridMultilevel"/>
    <w:tmpl w:val="2D3A62E2"/>
    <w:lvl w:ilvl="0" w:tplc="0409000F">
      <w:start w:val="1"/>
      <w:numFmt w:val="low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42824949"/>
    <w:multiLevelType w:val="hybridMultilevel"/>
    <w:tmpl w:val="2D3A62E2"/>
    <w:lvl w:ilvl="0" w:tplc="0409000F">
      <w:start w:val="1"/>
      <w:numFmt w:val="lowerLetter"/>
      <w:lvlText w:val="%1."/>
      <w:lvlJc w:val="left"/>
      <w:pPr>
        <w:ind w:left="1440" w:hanging="360"/>
      </w:pPr>
      <w:rPr>
        <w:rFonts w:hint="default"/>
      </w:rPr>
    </w:lvl>
    <w:lvl w:ilvl="1" w:tplc="04090019">
      <w:start w:val="1"/>
      <w:numFmt w:val="lowerRoman"/>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43F556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47D323BA"/>
    <w:multiLevelType w:val="hybridMultilevel"/>
    <w:tmpl w:val="F9387DAA"/>
    <w:lvl w:ilvl="0" w:tplc="0409000F">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C6F0668"/>
    <w:multiLevelType w:val="hybridMultilevel"/>
    <w:tmpl w:val="2D3A62E2"/>
    <w:lvl w:ilvl="0" w:tplc="0409000F">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552D760C"/>
    <w:multiLevelType w:val="hybridMultilevel"/>
    <w:tmpl w:val="AE022B2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55B4EBF"/>
    <w:multiLevelType w:val="multilevel"/>
    <w:tmpl w:val="886C0218"/>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55F84EA0"/>
    <w:multiLevelType w:val="hybridMultilevel"/>
    <w:tmpl w:val="E318BD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8C41D5C"/>
    <w:multiLevelType w:val="hybridMultilevel"/>
    <w:tmpl w:val="54E67BCE"/>
    <w:lvl w:ilvl="0" w:tplc="1F0679A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9">
    <w:nsid w:val="5A3E3F90"/>
    <w:multiLevelType w:val="hybridMultilevel"/>
    <w:tmpl w:val="D466DF8C"/>
    <w:lvl w:ilvl="0" w:tplc="AE80E636">
      <w:start w:val="1"/>
      <w:numFmt w:val="decimal"/>
      <w:lvlText w:val="%1."/>
      <w:lvlJc w:val="left"/>
      <w:pPr>
        <w:ind w:left="360" w:hanging="360"/>
      </w:pPr>
      <w:rPr>
        <w:rFonts w:ascii="Times" w:eastAsia="Calibri" w:hAnsi="Times"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5EDC6B27"/>
    <w:multiLevelType w:val="hybridMultilevel"/>
    <w:tmpl w:val="2D3A62E2"/>
    <w:lvl w:ilvl="0" w:tplc="0409000F">
      <w:start w:val="1"/>
      <w:numFmt w:val="low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5FA3393E"/>
    <w:multiLevelType w:val="hybridMultilevel"/>
    <w:tmpl w:val="CF28DE3A"/>
    <w:lvl w:ilvl="0" w:tplc="E5A6C51A">
      <w:start w:val="1"/>
      <w:numFmt w:val="decimal"/>
      <w:lvlText w:val="%1."/>
      <w:lvlJc w:val="left"/>
      <w:pPr>
        <w:ind w:left="360" w:hanging="360"/>
      </w:pPr>
      <w:rPr>
        <w:rFonts w:ascii="Times" w:eastAsia="Calibri" w:hAnsi="Times"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607E1F4E"/>
    <w:multiLevelType w:val="multilevel"/>
    <w:tmpl w:val="51C6A426"/>
    <w:lvl w:ilvl="0">
      <w:start w:val="1"/>
      <w:numFmt w:val="decimal"/>
      <w:lvlText w:val="%1."/>
      <w:lvlJc w:val="left"/>
      <w:pPr>
        <w:ind w:left="360" w:hanging="36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3">
    <w:nsid w:val="63352A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63504321"/>
    <w:multiLevelType w:val="hybridMultilevel"/>
    <w:tmpl w:val="326A8EB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64887062"/>
    <w:multiLevelType w:val="hybridMultilevel"/>
    <w:tmpl w:val="2D3A62E2"/>
    <w:lvl w:ilvl="0" w:tplc="0409000F">
      <w:start w:val="1"/>
      <w:numFmt w:val="low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nsid w:val="66AF02CC"/>
    <w:multiLevelType w:val="multilevel"/>
    <w:tmpl w:val="DFB2530C"/>
    <w:lvl w:ilvl="0">
      <w:start w:val="1"/>
      <w:numFmt w:val="decimal"/>
      <w:lvlText w:val="%1."/>
      <w:lvlJc w:val="left"/>
      <w:pPr>
        <w:ind w:left="720" w:hanging="360"/>
      </w:pPr>
    </w:lvl>
    <w:lvl w:ilvl="1">
      <w:start w:val="2"/>
      <w:numFmt w:val="decimal"/>
      <w:lvlText w:val="%1.%2."/>
      <w:lvlJc w:val="left"/>
      <w:pPr>
        <w:ind w:left="1200" w:hanging="720"/>
      </w:pPr>
    </w:lvl>
    <w:lvl w:ilvl="2">
      <w:start w:val="3"/>
      <w:numFmt w:val="decimal"/>
      <w:lvlText w:val="%1.%2.%3."/>
      <w:lvlJc w:val="left"/>
      <w:pPr>
        <w:ind w:left="1320" w:hanging="720"/>
      </w:pPr>
    </w:lvl>
    <w:lvl w:ilvl="3">
      <w:start w:val="2"/>
      <w:numFmt w:val="decimal"/>
      <w:lvlText w:val="%1.%2.%3.%4."/>
      <w:lvlJc w:val="left"/>
      <w:pPr>
        <w:ind w:left="1440" w:hanging="720"/>
      </w:pPr>
    </w:lvl>
    <w:lvl w:ilvl="4">
      <w:start w:val="1"/>
      <w:numFmt w:val="decimal"/>
      <w:lvlText w:val="%1.%2.%3.%4.%5."/>
      <w:lvlJc w:val="left"/>
      <w:pPr>
        <w:ind w:left="1920" w:hanging="1080"/>
      </w:pPr>
    </w:lvl>
    <w:lvl w:ilvl="5">
      <w:start w:val="1"/>
      <w:numFmt w:val="decimal"/>
      <w:lvlText w:val="%1.%2.%3.%4.%5.%6."/>
      <w:lvlJc w:val="left"/>
      <w:pPr>
        <w:ind w:left="2040" w:hanging="1080"/>
      </w:pPr>
    </w:lvl>
    <w:lvl w:ilvl="6">
      <w:start w:val="1"/>
      <w:numFmt w:val="decimal"/>
      <w:lvlText w:val="%1.%2.%3.%4.%5.%6.%7."/>
      <w:lvlJc w:val="left"/>
      <w:pPr>
        <w:ind w:left="2520" w:hanging="1440"/>
      </w:pPr>
    </w:lvl>
    <w:lvl w:ilvl="7">
      <w:start w:val="1"/>
      <w:numFmt w:val="decimal"/>
      <w:lvlText w:val="%1.%2.%3.%4.%5.%6.%7.%8."/>
      <w:lvlJc w:val="left"/>
      <w:pPr>
        <w:ind w:left="2640" w:hanging="1440"/>
      </w:pPr>
    </w:lvl>
    <w:lvl w:ilvl="8">
      <w:start w:val="1"/>
      <w:numFmt w:val="decimal"/>
      <w:lvlText w:val="%1.%2.%3.%4.%5.%6.%7.%8.%9."/>
      <w:lvlJc w:val="left"/>
      <w:pPr>
        <w:ind w:left="3120" w:hanging="1800"/>
      </w:pPr>
    </w:lvl>
  </w:abstractNum>
  <w:abstractNum w:abstractNumId="57">
    <w:nsid w:val="68E85FCB"/>
    <w:multiLevelType w:val="hybridMultilevel"/>
    <w:tmpl w:val="2D3A62E2"/>
    <w:lvl w:ilvl="0" w:tplc="0409000F">
      <w:start w:val="1"/>
      <w:numFmt w:val="low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nsid w:val="72241A66"/>
    <w:multiLevelType w:val="multilevel"/>
    <w:tmpl w:val="05D646B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nsid w:val="722C5908"/>
    <w:multiLevelType w:val="multilevel"/>
    <w:tmpl w:val="BF0E34A6"/>
    <w:lvl w:ilvl="0">
      <w:start w:val="5"/>
      <w:numFmt w:val="decimal"/>
      <w:lvlText w:val="%1"/>
      <w:lvlJc w:val="left"/>
      <w:pPr>
        <w:ind w:left="660" w:hanging="660"/>
      </w:pPr>
      <w:rPr>
        <w:rFonts w:hint="default"/>
      </w:rPr>
    </w:lvl>
    <w:lvl w:ilvl="1">
      <w:start w:val="2"/>
      <w:numFmt w:val="decimal"/>
      <w:lvlText w:val="%1.%2"/>
      <w:lvlJc w:val="left"/>
      <w:pPr>
        <w:ind w:left="900" w:hanging="660"/>
      </w:pPr>
      <w:rPr>
        <w:rFonts w:hint="default"/>
      </w:rPr>
    </w:lvl>
    <w:lvl w:ilvl="2">
      <w:start w:val="3"/>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60">
    <w:nsid w:val="724A59A3"/>
    <w:multiLevelType w:val="hybridMultilevel"/>
    <w:tmpl w:val="D6C4B754"/>
    <w:lvl w:ilvl="0" w:tplc="5386C4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nsid w:val="77F54230"/>
    <w:multiLevelType w:val="hybridMultilevel"/>
    <w:tmpl w:val="966ACB66"/>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89969A0"/>
    <w:multiLevelType w:val="hybridMultilevel"/>
    <w:tmpl w:val="4AF2BEE8"/>
    <w:lvl w:ilvl="0" w:tplc="78FE354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7A1C4517"/>
    <w:multiLevelType w:val="hybridMultilevel"/>
    <w:tmpl w:val="CC5EE5B4"/>
    <w:lvl w:ilvl="0" w:tplc="22B263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7B536423"/>
    <w:multiLevelType w:val="hybridMultilevel"/>
    <w:tmpl w:val="2D3A62E2"/>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7B9C6105"/>
    <w:multiLevelType w:val="hybridMultilevel"/>
    <w:tmpl w:val="42D65EAA"/>
    <w:lvl w:ilvl="0" w:tplc="04090001">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nsid w:val="7CC01BBB"/>
    <w:multiLevelType w:val="hybridMultilevel"/>
    <w:tmpl w:val="2D3A62E2"/>
    <w:lvl w:ilvl="0" w:tplc="0409000F">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nsid w:val="7DA31882"/>
    <w:multiLevelType w:val="multilevel"/>
    <w:tmpl w:val="BF0E34A6"/>
    <w:lvl w:ilvl="0">
      <w:start w:val="5"/>
      <w:numFmt w:val="decimal"/>
      <w:lvlText w:val="%1"/>
      <w:lvlJc w:val="left"/>
      <w:pPr>
        <w:ind w:left="660" w:hanging="660"/>
      </w:pPr>
      <w:rPr>
        <w:rFonts w:hint="default"/>
      </w:rPr>
    </w:lvl>
    <w:lvl w:ilvl="1">
      <w:start w:val="2"/>
      <w:numFmt w:val="decimal"/>
      <w:lvlText w:val="%1.%2"/>
      <w:lvlJc w:val="left"/>
      <w:pPr>
        <w:ind w:left="900" w:hanging="660"/>
      </w:pPr>
      <w:rPr>
        <w:rFonts w:hint="default"/>
      </w:rPr>
    </w:lvl>
    <w:lvl w:ilvl="2">
      <w:start w:val="3"/>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68">
    <w:nsid w:val="7E0438DD"/>
    <w:multiLevelType w:val="hybridMultilevel"/>
    <w:tmpl w:val="2D3A62E2"/>
    <w:lvl w:ilvl="0" w:tplc="0409000F">
      <w:start w:val="1"/>
      <w:numFmt w:val="lowerRoman"/>
      <w:lvlText w:val="%1."/>
      <w:lvlJc w:val="left"/>
      <w:pPr>
        <w:ind w:left="1080" w:hanging="360"/>
      </w:pPr>
      <w:rPr>
        <w:rFonts w:hint="default"/>
      </w:rPr>
    </w:lvl>
    <w:lvl w:ilvl="1" w:tplc="04090019">
      <w:start w:val="1"/>
      <w:numFmt w:val="lowerRoman"/>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nsid w:val="7EB35DDF"/>
    <w:multiLevelType w:val="multilevel"/>
    <w:tmpl w:val="11E607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8"/>
  </w:num>
  <w:num w:numId="2">
    <w:abstractNumId w:val="69"/>
  </w:num>
  <w:num w:numId="3">
    <w:abstractNumId w:val="16"/>
  </w:num>
  <w:num w:numId="4">
    <w:abstractNumId w:val="21"/>
  </w:num>
  <w:num w:numId="5">
    <w:abstractNumId w:val="46"/>
  </w:num>
  <w:num w:numId="6">
    <w:abstractNumId w:val="45"/>
  </w:num>
  <w:num w:numId="7">
    <w:abstractNumId w:val="58"/>
  </w:num>
  <w:num w:numId="8">
    <w:abstractNumId w:val="20"/>
  </w:num>
  <w:num w:numId="9">
    <w:abstractNumId w:val="64"/>
  </w:num>
  <w:num w:numId="10">
    <w:abstractNumId w:val="37"/>
  </w:num>
  <w:num w:numId="11">
    <w:abstractNumId w:val="68"/>
  </w:num>
  <w:num w:numId="12">
    <w:abstractNumId w:val="41"/>
  </w:num>
  <w:num w:numId="13">
    <w:abstractNumId w:val="38"/>
  </w:num>
  <w:num w:numId="14">
    <w:abstractNumId w:val="29"/>
  </w:num>
  <w:num w:numId="15">
    <w:abstractNumId w:val="33"/>
  </w:num>
  <w:num w:numId="16">
    <w:abstractNumId w:val="15"/>
  </w:num>
  <w:num w:numId="17">
    <w:abstractNumId w:val="34"/>
  </w:num>
  <w:num w:numId="18">
    <w:abstractNumId w:val="39"/>
  </w:num>
  <w:num w:numId="19">
    <w:abstractNumId w:val="44"/>
  </w:num>
  <w:num w:numId="20">
    <w:abstractNumId w:val="55"/>
  </w:num>
  <w:num w:numId="21">
    <w:abstractNumId w:val="32"/>
  </w:num>
  <w:num w:numId="22">
    <w:abstractNumId w:val="66"/>
  </w:num>
  <w:num w:numId="23">
    <w:abstractNumId w:val="57"/>
  </w:num>
  <w:num w:numId="24">
    <w:abstractNumId w:val="31"/>
  </w:num>
  <w:num w:numId="25">
    <w:abstractNumId w:val="40"/>
  </w:num>
  <w:num w:numId="26">
    <w:abstractNumId w:val="22"/>
  </w:num>
  <w:num w:numId="27">
    <w:abstractNumId w:val="65"/>
  </w:num>
  <w:num w:numId="28">
    <w:abstractNumId w:val="50"/>
  </w:num>
  <w:num w:numId="29">
    <w:abstractNumId w:val="26"/>
  </w:num>
  <w:num w:numId="30">
    <w:abstractNumId w:val="0"/>
  </w:num>
  <w:num w:numId="31">
    <w:abstractNumId w:val="13"/>
  </w:num>
  <w:num w:numId="32">
    <w:abstractNumId w:val="51"/>
  </w:num>
  <w:num w:numId="33">
    <w:abstractNumId w:val="62"/>
  </w:num>
  <w:num w:numId="34">
    <w:abstractNumId w:val="14"/>
  </w:num>
  <w:num w:numId="35">
    <w:abstractNumId w:val="24"/>
  </w:num>
  <w:num w:numId="36">
    <w:abstractNumId w:val="49"/>
  </w:num>
  <w:num w:numId="37">
    <w:abstractNumId w:val="30"/>
  </w:num>
  <w:num w:numId="38">
    <w:abstractNumId w:val="17"/>
  </w:num>
  <w:num w:numId="39">
    <w:abstractNumId w:val="18"/>
  </w:num>
  <w:num w:numId="40">
    <w:abstractNumId w:val="23"/>
  </w:num>
  <w:num w:numId="41">
    <w:abstractNumId w:val="27"/>
  </w:num>
  <w:num w:numId="42">
    <w:abstractNumId w:val="53"/>
  </w:num>
  <w:num w:numId="43">
    <w:abstractNumId w:val="42"/>
  </w:num>
  <w:num w:numId="44">
    <w:abstractNumId w:val="11"/>
  </w:num>
  <w:num w:numId="45">
    <w:abstractNumId w:val="36"/>
  </w:num>
  <w:num w:numId="46">
    <w:abstractNumId w:val="52"/>
  </w:num>
  <w:num w:numId="47">
    <w:abstractNumId w:val="10"/>
  </w:num>
  <w:num w:numId="48">
    <w:abstractNumId w:val="8"/>
  </w:num>
  <w:num w:numId="49">
    <w:abstractNumId w:val="7"/>
  </w:num>
  <w:num w:numId="50">
    <w:abstractNumId w:val="6"/>
  </w:num>
  <w:num w:numId="51">
    <w:abstractNumId w:val="5"/>
  </w:num>
  <w:num w:numId="52">
    <w:abstractNumId w:val="9"/>
  </w:num>
  <w:num w:numId="53">
    <w:abstractNumId w:val="4"/>
  </w:num>
  <w:num w:numId="54">
    <w:abstractNumId w:val="3"/>
  </w:num>
  <w:num w:numId="55">
    <w:abstractNumId w:val="2"/>
  </w:num>
  <w:num w:numId="56">
    <w:abstractNumId w:val="1"/>
  </w:num>
  <w:num w:numId="57">
    <w:abstractNumId w:val="43"/>
  </w:num>
  <w:num w:numId="58">
    <w:abstractNumId w:val="61"/>
  </w:num>
  <w:num w:numId="59">
    <w:abstractNumId w:val="54"/>
  </w:num>
  <w:num w:numId="60">
    <w:abstractNumId w:val="47"/>
  </w:num>
  <w:num w:numId="61">
    <w:abstractNumId w:val="48"/>
  </w:num>
  <w:num w:numId="62">
    <w:abstractNumId w:val="59"/>
  </w:num>
  <w:num w:numId="63">
    <w:abstractNumId w:val="35"/>
  </w:num>
  <w:num w:numId="64">
    <w:abstractNumId w:val="12"/>
  </w:num>
  <w:num w:numId="65">
    <w:abstractNumId w:val="63"/>
  </w:num>
  <w:num w:numId="66">
    <w:abstractNumId w:val="60"/>
  </w:num>
  <w:num w:numId="67">
    <w:abstractNumId w:val="56"/>
  </w:num>
  <w:num w:numId="68">
    <w:abstractNumId w:val="67"/>
  </w:num>
  <w:num w:numId="69">
    <w:abstractNumId w:val="25"/>
  </w:num>
  <w:num w:numId="70">
    <w:abstractNumId w:val="1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Infectious Disease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HyperlinksEnabled&gt;1&lt;/HyperlinksEnabled&gt;&lt;HyperlinksVisible&gt;0&lt;/HyperlinksVisible&gt;&lt;/ENLayout&gt;"/>
    <w:docVar w:name="EN.Libraries" w:val="&lt;Libraries&gt;&lt;item db-id=&quot;sxaepz0wuvv0s0etzw5x90f290tfxe5fre9p&quot;&gt;MRSA Library&lt;record-ids&gt;&lt;item&gt;171&lt;/item&gt;&lt;item&gt;181&lt;/item&gt;&lt;item&gt;191&lt;/item&gt;&lt;item&gt;234&lt;/item&gt;&lt;item&gt;306&lt;/item&gt;&lt;item&gt;394&lt;/item&gt;&lt;item&gt;403&lt;/item&gt;&lt;item&gt;407&lt;/item&gt;&lt;item&gt;408&lt;/item&gt;&lt;item&gt;409&lt;/item&gt;&lt;item&gt;414&lt;/item&gt;&lt;item&gt;417&lt;/item&gt;&lt;item&gt;422&lt;/item&gt;&lt;item&gt;423&lt;/item&gt;&lt;item&gt;424&lt;/item&gt;&lt;item&gt;426&lt;/item&gt;&lt;item&gt;427&lt;/item&gt;&lt;item&gt;429&lt;/item&gt;&lt;item&gt;431&lt;/item&gt;&lt;item&gt;432&lt;/item&gt;&lt;item&gt;435&lt;/item&gt;&lt;item&gt;437&lt;/item&gt;&lt;item&gt;441&lt;/item&gt;&lt;item&gt;492&lt;/item&gt;&lt;item&gt;526&lt;/item&gt;&lt;item&gt;534&lt;/item&gt;&lt;item&gt;536&lt;/item&gt;&lt;item&gt;562&lt;/item&gt;&lt;item&gt;564&lt;/item&gt;&lt;item&gt;657&lt;/item&gt;&lt;item&gt;744&lt;/item&gt;&lt;item&gt;899&lt;/item&gt;&lt;item&gt;900&lt;/item&gt;&lt;item&gt;901&lt;/item&gt;&lt;item&gt;902&lt;/item&gt;&lt;item&gt;904&lt;/item&gt;&lt;item&gt;905&lt;/item&gt;&lt;item&gt;906&lt;/item&gt;&lt;item&gt;907&lt;/item&gt;&lt;item&gt;937&lt;/item&gt;&lt;item&gt;938&lt;/item&gt;&lt;item&gt;940&lt;/item&gt;&lt;/record-ids&gt;&lt;/item&gt;&lt;/Libraries&gt;"/>
  </w:docVars>
  <w:rsids>
    <w:rsidRoot w:val="003D5E76"/>
    <w:rsid w:val="00000D2A"/>
    <w:rsid w:val="00002A31"/>
    <w:rsid w:val="00005EC3"/>
    <w:rsid w:val="00015931"/>
    <w:rsid w:val="000161ED"/>
    <w:rsid w:val="0001664E"/>
    <w:rsid w:val="00022BFA"/>
    <w:rsid w:val="00024F20"/>
    <w:rsid w:val="0002587B"/>
    <w:rsid w:val="00027589"/>
    <w:rsid w:val="00032A14"/>
    <w:rsid w:val="000354DB"/>
    <w:rsid w:val="00035F18"/>
    <w:rsid w:val="00041391"/>
    <w:rsid w:val="0004545F"/>
    <w:rsid w:val="00047A17"/>
    <w:rsid w:val="00050A57"/>
    <w:rsid w:val="00051023"/>
    <w:rsid w:val="000513E3"/>
    <w:rsid w:val="00053BB0"/>
    <w:rsid w:val="00057B31"/>
    <w:rsid w:val="0007323D"/>
    <w:rsid w:val="00076191"/>
    <w:rsid w:val="00077034"/>
    <w:rsid w:val="00077BA6"/>
    <w:rsid w:val="00085AC6"/>
    <w:rsid w:val="000867CD"/>
    <w:rsid w:val="00090403"/>
    <w:rsid w:val="0009057E"/>
    <w:rsid w:val="00094797"/>
    <w:rsid w:val="000B1476"/>
    <w:rsid w:val="000B1FDB"/>
    <w:rsid w:val="000B41C2"/>
    <w:rsid w:val="000B589C"/>
    <w:rsid w:val="000C0671"/>
    <w:rsid w:val="000C0E78"/>
    <w:rsid w:val="000C187F"/>
    <w:rsid w:val="000C1E59"/>
    <w:rsid w:val="000C3D07"/>
    <w:rsid w:val="000D098C"/>
    <w:rsid w:val="000D35DE"/>
    <w:rsid w:val="000D543A"/>
    <w:rsid w:val="000D59CE"/>
    <w:rsid w:val="000E1B16"/>
    <w:rsid w:val="000E3CC6"/>
    <w:rsid w:val="000E46ED"/>
    <w:rsid w:val="000E4B5B"/>
    <w:rsid w:val="000E4F11"/>
    <w:rsid w:val="000E5195"/>
    <w:rsid w:val="000E64DB"/>
    <w:rsid w:val="000E6E41"/>
    <w:rsid w:val="000F1F4F"/>
    <w:rsid w:val="000F33A6"/>
    <w:rsid w:val="000F6093"/>
    <w:rsid w:val="000F6D5F"/>
    <w:rsid w:val="000F739C"/>
    <w:rsid w:val="00101892"/>
    <w:rsid w:val="001128B5"/>
    <w:rsid w:val="0011458D"/>
    <w:rsid w:val="0012058E"/>
    <w:rsid w:val="00120A96"/>
    <w:rsid w:val="001320BF"/>
    <w:rsid w:val="00135168"/>
    <w:rsid w:val="001356EF"/>
    <w:rsid w:val="0013747C"/>
    <w:rsid w:val="00143B66"/>
    <w:rsid w:val="0014718C"/>
    <w:rsid w:val="00152F76"/>
    <w:rsid w:val="0016163C"/>
    <w:rsid w:val="001627FC"/>
    <w:rsid w:val="0017180A"/>
    <w:rsid w:val="00171FFF"/>
    <w:rsid w:val="0017324B"/>
    <w:rsid w:val="00177BD1"/>
    <w:rsid w:val="001848D0"/>
    <w:rsid w:val="00184F11"/>
    <w:rsid w:val="00185555"/>
    <w:rsid w:val="001868E0"/>
    <w:rsid w:val="0019112B"/>
    <w:rsid w:val="00191E0A"/>
    <w:rsid w:val="00194A83"/>
    <w:rsid w:val="00194BA3"/>
    <w:rsid w:val="0019541C"/>
    <w:rsid w:val="00196A43"/>
    <w:rsid w:val="00196F1B"/>
    <w:rsid w:val="001976B5"/>
    <w:rsid w:val="001979EA"/>
    <w:rsid w:val="001A01A2"/>
    <w:rsid w:val="001A17E0"/>
    <w:rsid w:val="001A1AF9"/>
    <w:rsid w:val="001A526E"/>
    <w:rsid w:val="001A6615"/>
    <w:rsid w:val="001B1F97"/>
    <w:rsid w:val="001B329C"/>
    <w:rsid w:val="001B4B27"/>
    <w:rsid w:val="001B5590"/>
    <w:rsid w:val="001B60E5"/>
    <w:rsid w:val="001B6853"/>
    <w:rsid w:val="001C7163"/>
    <w:rsid w:val="001D1C9C"/>
    <w:rsid w:val="001D20E2"/>
    <w:rsid w:val="001D4525"/>
    <w:rsid w:val="001D7FCB"/>
    <w:rsid w:val="001E1A24"/>
    <w:rsid w:val="001E53B2"/>
    <w:rsid w:val="001F2161"/>
    <w:rsid w:val="001F37D2"/>
    <w:rsid w:val="001F403F"/>
    <w:rsid w:val="001F4349"/>
    <w:rsid w:val="001F7976"/>
    <w:rsid w:val="00200496"/>
    <w:rsid w:val="00201C91"/>
    <w:rsid w:val="00203BBD"/>
    <w:rsid w:val="0020474B"/>
    <w:rsid w:val="00206347"/>
    <w:rsid w:val="00206BA8"/>
    <w:rsid w:val="0021059A"/>
    <w:rsid w:val="00212861"/>
    <w:rsid w:val="002149B4"/>
    <w:rsid w:val="0021609F"/>
    <w:rsid w:val="002175B7"/>
    <w:rsid w:val="00221262"/>
    <w:rsid w:val="002224EA"/>
    <w:rsid w:val="00231392"/>
    <w:rsid w:val="00240387"/>
    <w:rsid w:val="002409E8"/>
    <w:rsid w:val="00241148"/>
    <w:rsid w:val="002438B8"/>
    <w:rsid w:val="00246144"/>
    <w:rsid w:val="002461CF"/>
    <w:rsid w:val="00250A93"/>
    <w:rsid w:val="00251973"/>
    <w:rsid w:val="00252D0D"/>
    <w:rsid w:val="002572E2"/>
    <w:rsid w:val="002634E2"/>
    <w:rsid w:val="00264A83"/>
    <w:rsid w:val="00265016"/>
    <w:rsid w:val="0028302F"/>
    <w:rsid w:val="0028713F"/>
    <w:rsid w:val="00287414"/>
    <w:rsid w:val="0028777D"/>
    <w:rsid w:val="00290A80"/>
    <w:rsid w:val="00291BD9"/>
    <w:rsid w:val="002958BD"/>
    <w:rsid w:val="0029738E"/>
    <w:rsid w:val="002A1FDB"/>
    <w:rsid w:val="002A332A"/>
    <w:rsid w:val="002A34B6"/>
    <w:rsid w:val="002A48E2"/>
    <w:rsid w:val="002A4ED8"/>
    <w:rsid w:val="002B10CC"/>
    <w:rsid w:val="002B4E32"/>
    <w:rsid w:val="002B6362"/>
    <w:rsid w:val="002C1E68"/>
    <w:rsid w:val="002C7C3D"/>
    <w:rsid w:val="002D07EB"/>
    <w:rsid w:val="002D0B85"/>
    <w:rsid w:val="002D483E"/>
    <w:rsid w:val="002D6363"/>
    <w:rsid w:val="002D6957"/>
    <w:rsid w:val="002E2C44"/>
    <w:rsid w:val="002F0091"/>
    <w:rsid w:val="002F1E43"/>
    <w:rsid w:val="002F2D87"/>
    <w:rsid w:val="002F60A5"/>
    <w:rsid w:val="002F615C"/>
    <w:rsid w:val="003026D8"/>
    <w:rsid w:val="00306EEB"/>
    <w:rsid w:val="00320558"/>
    <w:rsid w:val="003205BA"/>
    <w:rsid w:val="0032098A"/>
    <w:rsid w:val="00324F1A"/>
    <w:rsid w:val="00325739"/>
    <w:rsid w:val="00325740"/>
    <w:rsid w:val="0032657E"/>
    <w:rsid w:val="00330917"/>
    <w:rsid w:val="00341E23"/>
    <w:rsid w:val="00342CC3"/>
    <w:rsid w:val="0034306E"/>
    <w:rsid w:val="00344DB5"/>
    <w:rsid w:val="003454AC"/>
    <w:rsid w:val="003504AC"/>
    <w:rsid w:val="003505E2"/>
    <w:rsid w:val="00354A0A"/>
    <w:rsid w:val="0035515A"/>
    <w:rsid w:val="00355F52"/>
    <w:rsid w:val="0035771B"/>
    <w:rsid w:val="003577A8"/>
    <w:rsid w:val="0036161F"/>
    <w:rsid w:val="00364C82"/>
    <w:rsid w:val="00365FAA"/>
    <w:rsid w:val="0036780C"/>
    <w:rsid w:val="00367D53"/>
    <w:rsid w:val="00370A3F"/>
    <w:rsid w:val="00373E52"/>
    <w:rsid w:val="003749DD"/>
    <w:rsid w:val="00377543"/>
    <w:rsid w:val="00377B18"/>
    <w:rsid w:val="00377EC7"/>
    <w:rsid w:val="0038064E"/>
    <w:rsid w:val="003808E2"/>
    <w:rsid w:val="003843DC"/>
    <w:rsid w:val="0038787F"/>
    <w:rsid w:val="00387A0D"/>
    <w:rsid w:val="00387DD5"/>
    <w:rsid w:val="003968BE"/>
    <w:rsid w:val="003968EE"/>
    <w:rsid w:val="0039698C"/>
    <w:rsid w:val="0039704C"/>
    <w:rsid w:val="003A2CB9"/>
    <w:rsid w:val="003B3F46"/>
    <w:rsid w:val="003B5049"/>
    <w:rsid w:val="003B6428"/>
    <w:rsid w:val="003B6A70"/>
    <w:rsid w:val="003C0279"/>
    <w:rsid w:val="003C24B4"/>
    <w:rsid w:val="003C31AF"/>
    <w:rsid w:val="003C4FC4"/>
    <w:rsid w:val="003D5162"/>
    <w:rsid w:val="003D5E76"/>
    <w:rsid w:val="003E15A4"/>
    <w:rsid w:val="003E1ADB"/>
    <w:rsid w:val="003E4F1C"/>
    <w:rsid w:val="003E5B30"/>
    <w:rsid w:val="003F1614"/>
    <w:rsid w:val="003F3172"/>
    <w:rsid w:val="003F4DF2"/>
    <w:rsid w:val="003F6003"/>
    <w:rsid w:val="004052AE"/>
    <w:rsid w:val="00407864"/>
    <w:rsid w:val="00407C8E"/>
    <w:rsid w:val="00410BDD"/>
    <w:rsid w:val="004126BD"/>
    <w:rsid w:val="004127C7"/>
    <w:rsid w:val="0041352C"/>
    <w:rsid w:val="004239D9"/>
    <w:rsid w:val="0042434C"/>
    <w:rsid w:val="00426092"/>
    <w:rsid w:val="004277ED"/>
    <w:rsid w:val="00430021"/>
    <w:rsid w:val="00432091"/>
    <w:rsid w:val="00433093"/>
    <w:rsid w:val="00437401"/>
    <w:rsid w:val="00441EF9"/>
    <w:rsid w:val="00442367"/>
    <w:rsid w:val="004465A2"/>
    <w:rsid w:val="00450524"/>
    <w:rsid w:val="004520AA"/>
    <w:rsid w:val="00453EA5"/>
    <w:rsid w:val="004547EC"/>
    <w:rsid w:val="0045794B"/>
    <w:rsid w:val="00462947"/>
    <w:rsid w:val="00462C49"/>
    <w:rsid w:val="004639A6"/>
    <w:rsid w:val="004669BD"/>
    <w:rsid w:val="00466BBF"/>
    <w:rsid w:val="00470123"/>
    <w:rsid w:val="00471FC8"/>
    <w:rsid w:val="0047269F"/>
    <w:rsid w:val="0047374A"/>
    <w:rsid w:val="00473DCA"/>
    <w:rsid w:val="00474648"/>
    <w:rsid w:val="00474AAA"/>
    <w:rsid w:val="00481A07"/>
    <w:rsid w:val="0048396F"/>
    <w:rsid w:val="004849B0"/>
    <w:rsid w:val="004854EA"/>
    <w:rsid w:val="00485D1A"/>
    <w:rsid w:val="00486881"/>
    <w:rsid w:val="00486DA2"/>
    <w:rsid w:val="00490EBC"/>
    <w:rsid w:val="00492957"/>
    <w:rsid w:val="00493A40"/>
    <w:rsid w:val="004947EB"/>
    <w:rsid w:val="004974AC"/>
    <w:rsid w:val="004A11A1"/>
    <w:rsid w:val="004A7F16"/>
    <w:rsid w:val="004B04F9"/>
    <w:rsid w:val="004B15B9"/>
    <w:rsid w:val="004C0522"/>
    <w:rsid w:val="004C26F4"/>
    <w:rsid w:val="004C58E2"/>
    <w:rsid w:val="004C6891"/>
    <w:rsid w:val="004C6C5F"/>
    <w:rsid w:val="004C7B31"/>
    <w:rsid w:val="004D07F6"/>
    <w:rsid w:val="004D08BD"/>
    <w:rsid w:val="004D08E1"/>
    <w:rsid w:val="004D2E9F"/>
    <w:rsid w:val="004D3D21"/>
    <w:rsid w:val="004D7D86"/>
    <w:rsid w:val="004E1581"/>
    <w:rsid w:val="004E1D16"/>
    <w:rsid w:val="004F18C5"/>
    <w:rsid w:val="004F2601"/>
    <w:rsid w:val="004F5B41"/>
    <w:rsid w:val="004F6A7E"/>
    <w:rsid w:val="004F7015"/>
    <w:rsid w:val="005004DD"/>
    <w:rsid w:val="00506B54"/>
    <w:rsid w:val="00511265"/>
    <w:rsid w:val="005136D0"/>
    <w:rsid w:val="0051442E"/>
    <w:rsid w:val="005155F6"/>
    <w:rsid w:val="00517332"/>
    <w:rsid w:val="00522083"/>
    <w:rsid w:val="00531A83"/>
    <w:rsid w:val="0053204E"/>
    <w:rsid w:val="00532132"/>
    <w:rsid w:val="0053225A"/>
    <w:rsid w:val="00534B51"/>
    <w:rsid w:val="00535EDD"/>
    <w:rsid w:val="0053754C"/>
    <w:rsid w:val="00537E34"/>
    <w:rsid w:val="005435E0"/>
    <w:rsid w:val="005447F0"/>
    <w:rsid w:val="00552FD3"/>
    <w:rsid w:val="00553D20"/>
    <w:rsid w:val="0055421C"/>
    <w:rsid w:val="0055466C"/>
    <w:rsid w:val="00555419"/>
    <w:rsid w:val="0056419A"/>
    <w:rsid w:val="00571D20"/>
    <w:rsid w:val="00571DE3"/>
    <w:rsid w:val="00575451"/>
    <w:rsid w:val="00576CB6"/>
    <w:rsid w:val="00580A83"/>
    <w:rsid w:val="00581778"/>
    <w:rsid w:val="00582B69"/>
    <w:rsid w:val="00583A2E"/>
    <w:rsid w:val="00583EAE"/>
    <w:rsid w:val="0058514D"/>
    <w:rsid w:val="0059050A"/>
    <w:rsid w:val="00595609"/>
    <w:rsid w:val="005A1E33"/>
    <w:rsid w:val="005A1EBA"/>
    <w:rsid w:val="005A1F75"/>
    <w:rsid w:val="005B1EE6"/>
    <w:rsid w:val="005B2016"/>
    <w:rsid w:val="005C2AA2"/>
    <w:rsid w:val="005C2DF3"/>
    <w:rsid w:val="005C3747"/>
    <w:rsid w:val="005C4144"/>
    <w:rsid w:val="005C4D66"/>
    <w:rsid w:val="005C4F21"/>
    <w:rsid w:val="005C66A5"/>
    <w:rsid w:val="005C7233"/>
    <w:rsid w:val="005D16FE"/>
    <w:rsid w:val="005D4E6C"/>
    <w:rsid w:val="005D685F"/>
    <w:rsid w:val="005E036A"/>
    <w:rsid w:val="005E32DD"/>
    <w:rsid w:val="005E3B26"/>
    <w:rsid w:val="005E4856"/>
    <w:rsid w:val="005E76D5"/>
    <w:rsid w:val="005F0E54"/>
    <w:rsid w:val="005F19F8"/>
    <w:rsid w:val="005F1D12"/>
    <w:rsid w:val="005F2075"/>
    <w:rsid w:val="005F33A9"/>
    <w:rsid w:val="005F4287"/>
    <w:rsid w:val="005F5C74"/>
    <w:rsid w:val="006013A4"/>
    <w:rsid w:val="0060331A"/>
    <w:rsid w:val="00603469"/>
    <w:rsid w:val="0061254A"/>
    <w:rsid w:val="00613D34"/>
    <w:rsid w:val="00614B88"/>
    <w:rsid w:val="00631559"/>
    <w:rsid w:val="00632350"/>
    <w:rsid w:val="00632F73"/>
    <w:rsid w:val="00633953"/>
    <w:rsid w:val="00641162"/>
    <w:rsid w:val="00642CCE"/>
    <w:rsid w:val="006438D0"/>
    <w:rsid w:val="006439BA"/>
    <w:rsid w:val="00663029"/>
    <w:rsid w:val="00665BAF"/>
    <w:rsid w:val="00671ED8"/>
    <w:rsid w:val="00673FC0"/>
    <w:rsid w:val="00682C7B"/>
    <w:rsid w:val="00686666"/>
    <w:rsid w:val="006873E6"/>
    <w:rsid w:val="006A66CA"/>
    <w:rsid w:val="006B14F1"/>
    <w:rsid w:val="006C30BC"/>
    <w:rsid w:val="006C4A15"/>
    <w:rsid w:val="006C5F77"/>
    <w:rsid w:val="006D4BE3"/>
    <w:rsid w:val="006E259E"/>
    <w:rsid w:val="006E358D"/>
    <w:rsid w:val="006F5386"/>
    <w:rsid w:val="006F5867"/>
    <w:rsid w:val="00702241"/>
    <w:rsid w:val="00702713"/>
    <w:rsid w:val="007036F8"/>
    <w:rsid w:val="00705263"/>
    <w:rsid w:val="00705B7C"/>
    <w:rsid w:val="00705C91"/>
    <w:rsid w:val="0070696A"/>
    <w:rsid w:val="00712FD0"/>
    <w:rsid w:val="007208F0"/>
    <w:rsid w:val="007209D8"/>
    <w:rsid w:val="00731DDF"/>
    <w:rsid w:val="00734FCA"/>
    <w:rsid w:val="0074494A"/>
    <w:rsid w:val="00751F0D"/>
    <w:rsid w:val="007555A4"/>
    <w:rsid w:val="0075652F"/>
    <w:rsid w:val="00756929"/>
    <w:rsid w:val="0076321C"/>
    <w:rsid w:val="0076560F"/>
    <w:rsid w:val="00765C21"/>
    <w:rsid w:val="007768BE"/>
    <w:rsid w:val="0078438E"/>
    <w:rsid w:val="00784D82"/>
    <w:rsid w:val="007856C8"/>
    <w:rsid w:val="00786372"/>
    <w:rsid w:val="00786409"/>
    <w:rsid w:val="007939FA"/>
    <w:rsid w:val="007A172A"/>
    <w:rsid w:val="007A385A"/>
    <w:rsid w:val="007A5541"/>
    <w:rsid w:val="007A64BA"/>
    <w:rsid w:val="007B1A3F"/>
    <w:rsid w:val="007B444E"/>
    <w:rsid w:val="007C3635"/>
    <w:rsid w:val="007C3CB8"/>
    <w:rsid w:val="007C79A7"/>
    <w:rsid w:val="007D196C"/>
    <w:rsid w:val="007E1074"/>
    <w:rsid w:val="007E198B"/>
    <w:rsid w:val="007E23A7"/>
    <w:rsid w:val="007E41C1"/>
    <w:rsid w:val="007E480A"/>
    <w:rsid w:val="007E7062"/>
    <w:rsid w:val="007F17AC"/>
    <w:rsid w:val="007F3D7D"/>
    <w:rsid w:val="007F69A3"/>
    <w:rsid w:val="00801118"/>
    <w:rsid w:val="00801928"/>
    <w:rsid w:val="00801E6A"/>
    <w:rsid w:val="00801F94"/>
    <w:rsid w:val="00802587"/>
    <w:rsid w:val="008036FD"/>
    <w:rsid w:val="008042EA"/>
    <w:rsid w:val="008124B7"/>
    <w:rsid w:val="00820265"/>
    <w:rsid w:val="00820731"/>
    <w:rsid w:val="008212AB"/>
    <w:rsid w:val="0082172A"/>
    <w:rsid w:val="00822A93"/>
    <w:rsid w:val="00822B1C"/>
    <w:rsid w:val="00825090"/>
    <w:rsid w:val="00827A5A"/>
    <w:rsid w:val="00832984"/>
    <w:rsid w:val="00843880"/>
    <w:rsid w:val="008448C0"/>
    <w:rsid w:val="00846AB5"/>
    <w:rsid w:val="008473AD"/>
    <w:rsid w:val="008500F4"/>
    <w:rsid w:val="00851454"/>
    <w:rsid w:val="00851DA7"/>
    <w:rsid w:val="00855F75"/>
    <w:rsid w:val="00857398"/>
    <w:rsid w:val="008651D0"/>
    <w:rsid w:val="008705BE"/>
    <w:rsid w:val="00870610"/>
    <w:rsid w:val="008708DF"/>
    <w:rsid w:val="00870C11"/>
    <w:rsid w:val="008813E1"/>
    <w:rsid w:val="008824C9"/>
    <w:rsid w:val="008827CD"/>
    <w:rsid w:val="00882A42"/>
    <w:rsid w:val="008838F5"/>
    <w:rsid w:val="00887C60"/>
    <w:rsid w:val="0089304B"/>
    <w:rsid w:val="00896007"/>
    <w:rsid w:val="00896BAD"/>
    <w:rsid w:val="00897755"/>
    <w:rsid w:val="00897E5C"/>
    <w:rsid w:val="008A5284"/>
    <w:rsid w:val="008A5484"/>
    <w:rsid w:val="008A72CD"/>
    <w:rsid w:val="008B35ED"/>
    <w:rsid w:val="008B6694"/>
    <w:rsid w:val="008B7412"/>
    <w:rsid w:val="008C2C02"/>
    <w:rsid w:val="008D070B"/>
    <w:rsid w:val="008E4411"/>
    <w:rsid w:val="008F36E9"/>
    <w:rsid w:val="008F3DA1"/>
    <w:rsid w:val="008F58DC"/>
    <w:rsid w:val="008F7C1F"/>
    <w:rsid w:val="009005E7"/>
    <w:rsid w:val="00905257"/>
    <w:rsid w:val="009058D5"/>
    <w:rsid w:val="00906156"/>
    <w:rsid w:val="00906264"/>
    <w:rsid w:val="00906279"/>
    <w:rsid w:val="00911855"/>
    <w:rsid w:val="00912FE7"/>
    <w:rsid w:val="00913240"/>
    <w:rsid w:val="0091464A"/>
    <w:rsid w:val="00917BF4"/>
    <w:rsid w:val="00917D1B"/>
    <w:rsid w:val="00921F91"/>
    <w:rsid w:val="009223CB"/>
    <w:rsid w:val="009235A6"/>
    <w:rsid w:val="00924FE5"/>
    <w:rsid w:val="009342FC"/>
    <w:rsid w:val="00934812"/>
    <w:rsid w:val="00934EF2"/>
    <w:rsid w:val="00935E74"/>
    <w:rsid w:val="00936063"/>
    <w:rsid w:val="00945EA4"/>
    <w:rsid w:val="00951383"/>
    <w:rsid w:val="00953694"/>
    <w:rsid w:val="0095658D"/>
    <w:rsid w:val="00957AB6"/>
    <w:rsid w:val="009612F1"/>
    <w:rsid w:val="00964017"/>
    <w:rsid w:val="009700CD"/>
    <w:rsid w:val="00973B98"/>
    <w:rsid w:val="0098373F"/>
    <w:rsid w:val="009838A5"/>
    <w:rsid w:val="009850BC"/>
    <w:rsid w:val="00985AD1"/>
    <w:rsid w:val="00985F92"/>
    <w:rsid w:val="00986114"/>
    <w:rsid w:val="009866D6"/>
    <w:rsid w:val="00994DBC"/>
    <w:rsid w:val="00997FCA"/>
    <w:rsid w:val="009A3B1F"/>
    <w:rsid w:val="009A4055"/>
    <w:rsid w:val="009B07FC"/>
    <w:rsid w:val="009B12C6"/>
    <w:rsid w:val="009B3D63"/>
    <w:rsid w:val="009C673F"/>
    <w:rsid w:val="009C6837"/>
    <w:rsid w:val="009D27C3"/>
    <w:rsid w:val="009D2ACF"/>
    <w:rsid w:val="009F0E71"/>
    <w:rsid w:val="009F48B4"/>
    <w:rsid w:val="009F6CA9"/>
    <w:rsid w:val="00A00CA2"/>
    <w:rsid w:val="00A03307"/>
    <w:rsid w:val="00A0457C"/>
    <w:rsid w:val="00A0464D"/>
    <w:rsid w:val="00A055F2"/>
    <w:rsid w:val="00A1292B"/>
    <w:rsid w:val="00A15570"/>
    <w:rsid w:val="00A15A3C"/>
    <w:rsid w:val="00A16E33"/>
    <w:rsid w:val="00A23B44"/>
    <w:rsid w:val="00A23F06"/>
    <w:rsid w:val="00A305B8"/>
    <w:rsid w:val="00A357F8"/>
    <w:rsid w:val="00A3672B"/>
    <w:rsid w:val="00A41F2A"/>
    <w:rsid w:val="00A451C8"/>
    <w:rsid w:val="00A4551C"/>
    <w:rsid w:val="00A4680D"/>
    <w:rsid w:val="00A505DC"/>
    <w:rsid w:val="00A54303"/>
    <w:rsid w:val="00A55F52"/>
    <w:rsid w:val="00A56521"/>
    <w:rsid w:val="00A61BBC"/>
    <w:rsid w:val="00A61DFB"/>
    <w:rsid w:val="00A64634"/>
    <w:rsid w:val="00A65946"/>
    <w:rsid w:val="00A66106"/>
    <w:rsid w:val="00A72AA6"/>
    <w:rsid w:val="00A75360"/>
    <w:rsid w:val="00A76806"/>
    <w:rsid w:val="00A77A2F"/>
    <w:rsid w:val="00A8090A"/>
    <w:rsid w:val="00A8397B"/>
    <w:rsid w:val="00A851CD"/>
    <w:rsid w:val="00A85FA9"/>
    <w:rsid w:val="00A87606"/>
    <w:rsid w:val="00A918FB"/>
    <w:rsid w:val="00A93B56"/>
    <w:rsid w:val="00AA14D5"/>
    <w:rsid w:val="00AA1FA1"/>
    <w:rsid w:val="00AA5768"/>
    <w:rsid w:val="00AB24D3"/>
    <w:rsid w:val="00AB3C32"/>
    <w:rsid w:val="00AB7D5C"/>
    <w:rsid w:val="00AC12CA"/>
    <w:rsid w:val="00AC30EE"/>
    <w:rsid w:val="00AC703F"/>
    <w:rsid w:val="00AD1F12"/>
    <w:rsid w:val="00AD2E2C"/>
    <w:rsid w:val="00AD4F38"/>
    <w:rsid w:val="00AD5599"/>
    <w:rsid w:val="00AE178B"/>
    <w:rsid w:val="00AE3C26"/>
    <w:rsid w:val="00AF318A"/>
    <w:rsid w:val="00AF3898"/>
    <w:rsid w:val="00AF4C3A"/>
    <w:rsid w:val="00AF7E83"/>
    <w:rsid w:val="00B00F80"/>
    <w:rsid w:val="00B041C6"/>
    <w:rsid w:val="00B06576"/>
    <w:rsid w:val="00B079E0"/>
    <w:rsid w:val="00B112D8"/>
    <w:rsid w:val="00B22A6B"/>
    <w:rsid w:val="00B2640A"/>
    <w:rsid w:val="00B31089"/>
    <w:rsid w:val="00B408DA"/>
    <w:rsid w:val="00B46866"/>
    <w:rsid w:val="00B50BE0"/>
    <w:rsid w:val="00B51379"/>
    <w:rsid w:val="00B51956"/>
    <w:rsid w:val="00B6644D"/>
    <w:rsid w:val="00B66887"/>
    <w:rsid w:val="00B70EBD"/>
    <w:rsid w:val="00B717D2"/>
    <w:rsid w:val="00B817B8"/>
    <w:rsid w:val="00B82C76"/>
    <w:rsid w:val="00B83948"/>
    <w:rsid w:val="00B8557C"/>
    <w:rsid w:val="00B900AB"/>
    <w:rsid w:val="00B908B0"/>
    <w:rsid w:val="00B93A53"/>
    <w:rsid w:val="00B953F9"/>
    <w:rsid w:val="00B96005"/>
    <w:rsid w:val="00BA03D5"/>
    <w:rsid w:val="00BA2D6E"/>
    <w:rsid w:val="00BA4F4C"/>
    <w:rsid w:val="00BA593F"/>
    <w:rsid w:val="00BB6950"/>
    <w:rsid w:val="00BB6D74"/>
    <w:rsid w:val="00BC2880"/>
    <w:rsid w:val="00BC7F93"/>
    <w:rsid w:val="00BD728C"/>
    <w:rsid w:val="00BE084E"/>
    <w:rsid w:val="00BE232A"/>
    <w:rsid w:val="00BE5C09"/>
    <w:rsid w:val="00BE7213"/>
    <w:rsid w:val="00BF0221"/>
    <w:rsid w:val="00BF040C"/>
    <w:rsid w:val="00BF07AC"/>
    <w:rsid w:val="00BF3B87"/>
    <w:rsid w:val="00BF5131"/>
    <w:rsid w:val="00BF718A"/>
    <w:rsid w:val="00C04759"/>
    <w:rsid w:val="00C05F37"/>
    <w:rsid w:val="00C109C7"/>
    <w:rsid w:val="00C10ABD"/>
    <w:rsid w:val="00C17A0D"/>
    <w:rsid w:val="00C22188"/>
    <w:rsid w:val="00C22D66"/>
    <w:rsid w:val="00C23630"/>
    <w:rsid w:val="00C23DC1"/>
    <w:rsid w:val="00C26EFE"/>
    <w:rsid w:val="00C2767A"/>
    <w:rsid w:val="00C27A3B"/>
    <w:rsid w:val="00C31FBA"/>
    <w:rsid w:val="00C35563"/>
    <w:rsid w:val="00C35FA0"/>
    <w:rsid w:val="00C41066"/>
    <w:rsid w:val="00C47B35"/>
    <w:rsid w:val="00C47D7C"/>
    <w:rsid w:val="00C55A9B"/>
    <w:rsid w:val="00C6183D"/>
    <w:rsid w:val="00C6221D"/>
    <w:rsid w:val="00C6430D"/>
    <w:rsid w:val="00C651D5"/>
    <w:rsid w:val="00C707EE"/>
    <w:rsid w:val="00C710DE"/>
    <w:rsid w:val="00C71674"/>
    <w:rsid w:val="00C71B85"/>
    <w:rsid w:val="00C7228F"/>
    <w:rsid w:val="00C82CF1"/>
    <w:rsid w:val="00C927FE"/>
    <w:rsid w:val="00C92A19"/>
    <w:rsid w:val="00C92ABB"/>
    <w:rsid w:val="00C948CC"/>
    <w:rsid w:val="00CA072C"/>
    <w:rsid w:val="00CA1AED"/>
    <w:rsid w:val="00CA31CD"/>
    <w:rsid w:val="00CA4A0D"/>
    <w:rsid w:val="00CA4CB7"/>
    <w:rsid w:val="00CB0DE3"/>
    <w:rsid w:val="00CB6C59"/>
    <w:rsid w:val="00CB7614"/>
    <w:rsid w:val="00CC0233"/>
    <w:rsid w:val="00CC02C3"/>
    <w:rsid w:val="00CC0915"/>
    <w:rsid w:val="00CC1585"/>
    <w:rsid w:val="00CC4F59"/>
    <w:rsid w:val="00CD0F91"/>
    <w:rsid w:val="00CD3E7E"/>
    <w:rsid w:val="00CD410E"/>
    <w:rsid w:val="00CD4EB6"/>
    <w:rsid w:val="00CE0142"/>
    <w:rsid w:val="00CE06F2"/>
    <w:rsid w:val="00CE0F9B"/>
    <w:rsid w:val="00CE19E8"/>
    <w:rsid w:val="00CE467C"/>
    <w:rsid w:val="00CE4CCF"/>
    <w:rsid w:val="00CE558F"/>
    <w:rsid w:val="00CE5DFA"/>
    <w:rsid w:val="00CF3CC3"/>
    <w:rsid w:val="00CF65E8"/>
    <w:rsid w:val="00CF6764"/>
    <w:rsid w:val="00CF7BD8"/>
    <w:rsid w:val="00D0750D"/>
    <w:rsid w:val="00D1288D"/>
    <w:rsid w:val="00D13171"/>
    <w:rsid w:val="00D13944"/>
    <w:rsid w:val="00D13E55"/>
    <w:rsid w:val="00D15500"/>
    <w:rsid w:val="00D17C13"/>
    <w:rsid w:val="00D17E81"/>
    <w:rsid w:val="00D23103"/>
    <w:rsid w:val="00D249C3"/>
    <w:rsid w:val="00D30FD6"/>
    <w:rsid w:val="00D320CF"/>
    <w:rsid w:val="00D322A5"/>
    <w:rsid w:val="00D40C3E"/>
    <w:rsid w:val="00D43312"/>
    <w:rsid w:val="00D43FA7"/>
    <w:rsid w:val="00D45CF1"/>
    <w:rsid w:val="00D478F0"/>
    <w:rsid w:val="00D54A47"/>
    <w:rsid w:val="00D61C94"/>
    <w:rsid w:val="00D75AFB"/>
    <w:rsid w:val="00D76A23"/>
    <w:rsid w:val="00D77BF5"/>
    <w:rsid w:val="00D80A10"/>
    <w:rsid w:val="00D84F03"/>
    <w:rsid w:val="00D90A58"/>
    <w:rsid w:val="00D92976"/>
    <w:rsid w:val="00D9408E"/>
    <w:rsid w:val="00D9505D"/>
    <w:rsid w:val="00D95B06"/>
    <w:rsid w:val="00D96A9F"/>
    <w:rsid w:val="00DA2653"/>
    <w:rsid w:val="00DA307C"/>
    <w:rsid w:val="00DA4AB5"/>
    <w:rsid w:val="00DC1A2C"/>
    <w:rsid w:val="00DC5072"/>
    <w:rsid w:val="00DC591C"/>
    <w:rsid w:val="00DD047A"/>
    <w:rsid w:val="00DD77C3"/>
    <w:rsid w:val="00DE35FF"/>
    <w:rsid w:val="00DE3819"/>
    <w:rsid w:val="00DE401C"/>
    <w:rsid w:val="00DE7E01"/>
    <w:rsid w:val="00DF0075"/>
    <w:rsid w:val="00DF3F59"/>
    <w:rsid w:val="00DF5308"/>
    <w:rsid w:val="00E03D36"/>
    <w:rsid w:val="00E05223"/>
    <w:rsid w:val="00E06A0B"/>
    <w:rsid w:val="00E11EB6"/>
    <w:rsid w:val="00E12356"/>
    <w:rsid w:val="00E12456"/>
    <w:rsid w:val="00E153C9"/>
    <w:rsid w:val="00E26FEB"/>
    <w:rsid w:val="00E27E6D"/>
    <w:rsid w:val="00E32B23"/>
    <w:rsid w:val="00E3661E"/>
    <w:rsid w:val="00E4164E"/>
    <w:rsid w:val="00E42A7E"/>
    <w:rsid w:val="00E43511"/>
    <w:rsid w:val="00E53F5B"/>
    <w:rsid w:val="00E5605A"/>
    <w:rsid w:val="00E60C20"/>
    <w:rsid w:val="00E67089"/>
    <w:rsid w:val="00E67AC6"/>
    <w:rsid w:val="00E702E9"/>
    <w:rsid w:val="00E73203"/>
    <w:rsid w:val="00E77091"/>
    <w:rsid w:val="00E77938"/>
    <w:rsid w:val="00E80B05"/>
    <w:rsid w:val="00E80C21"/>
    <w:rsid w:val="00E823D5"/>
    <w:rsid w:val="00E86783"/>
    <w:rsid w:val="00E86D42"/>
    <w:rsid w:val="00E923D2"/>
    <w:rsid w:val="00E92DE3"/>
    <w:rsid w:val="00EA064E"/>
    <w:rsid w:val="00EA1DB6"/>
    <w:rsid w:val="00EA7CC6"/>
    <w:rsid w:val="00EB566E"/>
    <w:rsid w:val="00EC157E"/>
    <w:rsid w:val="00EC420E"/>
    <w:rsid w:val="00ED043B"/>
    <w:rsid w:val="00ED1AFC"/>
    <w:rsid w:val="00EE22D7"/>
    <w:rsid w:val="00EE36E0"/>
    <w:rsid w:val="00EE3A16"/>
    <w:rsid w:val="00EF2773"/>
    <w:rsid w:val="00EF2BD2"/>
    <w:rsid w:val="00EF6832"/>
    <w:rsid w:val="00EF6909"/>
    <w:rsid w:val="00EF7C4D"/>
    <w:rsid w:val="00F031EE"/>
    <w:rsid w:val="00F06CBD"/>
    <w:rsid w:val="00F10D38"/>
    <w:rsid w:val="00F17D1F"/>
    <w:rsid w:val="00F21849"/>
    <w:rsid w:val="00F240D6"/>
    <w:rsid w:val="00F245E3"/>
    <w:rsid w:val="00F26EF8"/>
    <w:rsid w:val="00F322B6"/>
    <w:rsid w:val="00F33897"/>
    <w:rsid w:val="00F34275"/>
    <w:rsid w:val="00F37E9A"/>
    <w:rsid w:val="00F4798E"/>
    <w:rsid w:val="00F50001"/>
    <w:rsid w:val="00F5123E"/>
    <w:rsid w:val="00F71433"/>
    <w:rsid w:val="00F71695"/>
    <w:rsid w:val="00F71A7D"/>
    <w:rsid w:val="00F73E55"/>
    <w:rsid w:val="00F744F5"/>
    <w:rsid w:val="00F81DD5"/>
    <w:rsid w:val="00F83F2C"/>
    <w:rsid w:val="00F85C1E"/>
    <w:rsid w:val="00F860BE"/>
    <w:rsid w:val="00F9337E"/>
    <w:rsid w:val="00F933F7"/>
    <w:rsid w:val="00F9491A"/>
    <w:rsid w:val="00F97D27"/>
    <w:rsid w:val="00FA0D65"/>
    <w:rsid w:val="00FA1AFC"/>
    <w:rsid w:val="00FB3B4B"/>
    <w:rsid w:val="00FC5C33"/>
    <w:rsid w:val="00FC6422"/>
    <w:rsid w:val="00FC6FFA"/>
    <w:rsid w:val="00FE1BD2"/>
    <w:rsid w:val="00FF2487"/>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2F3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0"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8B0"/>
    <w:pPr>
      <w:spacing w:line="480" w:lineRule="auto"/>
    </w:pPr>
    <w:rPr>
      <w:rFonts w:ascii="Times" w:hAnsi="Times" w:cs="Times New Roman"/>
      <w:sz w:val="24"/>
      <w:szCs w:val="24"/>
    </w:rPr>
  </w:style>
  <w:style w:type="paragraph" w:styleId="Heading1">
    <w:name w:val="heading 1"/>
    <w:basedOn w:val="Normal"/>
    <w:next w:val="Normal"/>
    <w:link w:val="Heading1Char"/>
    <w:qFormat/>
    <w:rsid w:val="00B908B0"/>
    <w:pPr>
      <w:keepNext/>
      <w:widowControl w:val="0"/>
      <w:suppressAutoHyphens/>
      <w:spacing w:before="240" w:after="60"/>
      <w:jc w:val="center"/>
      <w:outlineLvl w:val="0"/>
    </w:pPr>
    <w:rPr>
      <w:rFonts w:ascii="Times New Roman" w:eastAsia="Times New Roman" w:hAnsi="Times New Roman"/>
      <w:b/>
      <w:bCs/>
      <w:kern w:val="32"/>
      <w:szCs w:val="32"/>
      <w:lang w:val="x-none" w:eastAsia="x-none"/>
    </w:rPr>
  </w:style>
  <w:style w:type="paragraph" w:styleId="Heading2">
    <w:name w:val="heading 2"/>
    <w:basedOn w:val="Normal"/>
    <w:next w:val="Normal"/>
    <w:link w:val="Heading2Char"/>
    <w:uiPriority w:val="9"/>
    <w:unhideWhenUsed/>
    <w:qFormat/>
    <w:rsid w:val="00B908B0"/>
    <w:pPr>
      <w:keepNext/>
      <w:keepLines/>
      <w:spacing w:before="200"/>
      <w:outlineLvl w:val="1"/>
    </w:pPr>
    <w:rPr>
      <w:rFonts w:ascii="Cambria" w:eastAsia="Times New Roman" w:hAnsi="Cambria"/>
      <w:b/>
      <w:bCs/>
      <w:color w:val="4F81BD"/>
      <w:sz w:val="26"/>
      <w:szCs w:val="26"/>
      <w:lang w:val="x-none" w:eastAsia="x-none"/>
    </w:rPr>
  </w:style>
  <w:style w:type="paragraph" w:styleId="Heading3">
    <w:name w:val="heading 3"/>
    <w:basedOn w:val="Normal"/>
    <w:next w:val="Normal"/>
    <w:link w:val="Heading3Char"/>
    <w:uiPriority w:val="9"/>
    <w:unhideWhenUsed/>
    <w:qFormat/>
    <w:rsid w:val="00B908B0"/>
    <w:pPr>
      <w:keepNext/>
      <w:keepLines/>
      <w:spacing w:before="200" w:line="240" w:lineRule="auto"/>
      <w:outlineLvl w:val="2"/>
    </w:pPr>
    <w:rPr>
      <w:rFonts w:ascii="Cambria" w:eastAsia="Times New Roman" w:hAnsi="Cambria"/>
      <w:b/>
      <w:bCs/>
      <w:color w:val="4F81BD"/>
      <w:lang w:val="x-none" w:eastAsia="x-none"/>
    </w:rPr>
  </w:style>
  <w:style w:type="paragraph" w:styleId="Heading4">
    <w:name w:val="heading 4"/>
    <w:basedOn w:val="Normal"/>
    <w:next w:val="Normal"/>
    <w:link w:val="Heading4Char"/>
    <w:uiPriority w:val="9"/>
    <w:unhideWhenUsed/>
    <w:qFormat/>
    <w:rsid w:val="00B908B0"/>
    <w:pPr>
      <w:keepNext/>
      <w:keepLines/>
      <w:spacing w:before="200"/>
      <w:outlineLvl w:val="3"/>
    </w:pPr>
    <w:rPr>
      <w:rFonts w:ascii="Cambria" w:eastAsia="Times New Roman" w:hAnsi="Cambria"/>
      <w:b/>
      <w:bCs/>
      <w:i/>
      <w:iCs/>
      <w:color w:val="4F81BD"/>
      <w:lang w:val="x-none" w:eastAsia="x-none"/>
    </w:rPr>
  </w:style>
  <w:style w:type="paragraph" w:styleId="Heading5">
    <w:name w:val="heading 5"/>
    <w:basedOn w:val="Normal"/>
    <w:next w:val="Normal"/>
    <w:link w:val="Heading5Char"/>
    <w:uiPriority w:val="9"/>
    <w:unhideWhenUsed/>
    <w:qFormat/>
    <w:rsid w:val="00B908B0"/>
    <w:pPr>
      <w:keepNext/>
      <w:keepLines/>
      <w:spacing w:before="200" w:line="240" w:lineRule="auto"/>
      <w:outlineLvl w:val="4"/>
    </w:pPr>
    <w:rPr>
      <w:rFonts w:ascii="Cambria" w:eastAsia="Times New Roman" w:hAnsi="Cambria"/>
      <w:color w:val="243F60"/>
      <w:lang w:val="x-none" w:eastAsia="x-none"/>
    </w:rPr>
  </w:style>
  <w:style w:type="paragraph" w:styleId="Heading6">
    <w:name w:val="heading 6"/>
    <w:basedOn w:val="Normal"/>
    <w:next w:val="Normal"/>
    <w:link w:val="Heading6Char"/>
    <w:uiPriority w:val="9"/>
    <w:unhideWhenUsed/>
    <w:qFormat/>
    <w:rsid w:val="00B908B0"/>
    <w:pPr>
      <w:keepNext/>
      <w:keepLines/>
      <w:spacing w:before="200"/>
      <w:outlineLvl w:val="5"/>
    </w:pPr>
    <w:rPr>
      <w:rFonts w:ascii="Cambria" w:eastAsia="Times New Roman" w:hAnsi="Cambria"/>
      <w:i/>
      <w:iCs/>
      <w:color w:val="243F60"/>
      <w:lang w:val="x-none" w:eastAsia="x-none"/>
    </w:rPr>
  </w:style>
  <w:style w:type="paragraph" w:styleId="Heading7">
    <w:name w:val="heading 7"/>
    <w:basedOn w:val="Normal"/>
    <w:next w:val="Normal"/>
    <w:link w:val="Heading7Char"/>
    <w:uiPriority w:val="9"/>
    <w:unhideWhenUsed/>
    <w:qFormat/>
    <w:rsid w:val="00B908B0"/>
    <w:pPr>
      <w:keepNext/>
      <w:keepLines/>
      <w:spacing w:before="200"/>
      <w:outlineLvl w:val="6"/>
    </w:pPr>
    <w:rPr>
      <w:rFonts w:ascii="Times New Roman" w:eastAsia="Times New Roman" w:hAnsi="Times New Roman"/>
      <w:b/>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908B0"/>
    <w:rPr>
      <w:rFonts w:ascii="Times New Roman" w:eastAsia="Times New Roman" w:hAnsi="Times New Roman" w:cs="Times New Roman"/>
      <w:b/>
      <w:bCs/>
      <w:kern w:val="32"/>
      <w:sz w:val="24"/>
      <w:szCs w:val="32"/>
    </w:rPr>
  </w:style>
  <w:style w:type="character" w:customStyle="1" w:styleId="Heading2Char">
    <w:name w:val="Heading 2 Char"/>
    <w:link w:val="Heading2"/>
    <w:uiPriority w:val="9"/>
    <w:rsid w:val="00B908B0"/>
    <w:rPr>
      <w:rFonts w:ascii="Cambria" w:eastAsia="Times New Roman" w:hAnsi="Cambria" w:cs="Times New Roman"/>
      <w:b/>
      <w:bCs/>
      <w:color w:val="4F81BD"/>
      <w:sz w:val="26"/>
      <w:szCs w:val="26"/>
    </w:rPr>
  </w:style>
  <w:style w:type="character" w:customStyle="1" w:styleId="Heading3Char">
    <w:name w:val="Heading 3 Char"/>
    <w:link w:val="Heading3"/>
    <w:uiPriority w:val="9"/>
    <w:rsid w:val="00B908B0"/>
    <w:rPr>
      <w:rFonts w:ascii="Cambria" w:eastAsia="Times New Roman" w:hAnsi="Cambria" w:cs="Times New Roman"/>
      <w:b/>
      <w:bCs/>
      <w:color w:val="4F81BD"/>
      <w:sz w:val="24"/>
      <w:szCs w:val="24"/>
    </w:rPr>
  </w:style>
  <w:style w:type="character" w:customStyle="1" w:styleId="Heading4Char">
    <w:name w:val="Heading 4 Char"/>
    <w:link w:val="Heading4"/>
    <w:uiPriority w:val="9"/>
    <w:rsid w:val="00B908B0"/>
    <w:rPr>
      <w:rFonts w:ascii="Cambria" w:eastAsia="Times New Roman" w:hAnsi="Cambria" w:cs="Times New Roman"/>
      <w:b/>
      <w:bCs/>
      <w:i/>
      <w:iCs/>
      <w:color w:val="4F81BD"/>
      <w:sz w:val="24"/>
      <w:szCs w:val="24"/>
    </w:rPr>
  </w:style>
  <w:style w:type="character" w:customStyle="1" w:styleId="Heading5Char">
    <w:name w:val="Heading 5 Char"/>
    <w:link w:val="Heading5"/>
    <w:uiPriority w:val="9"/>
    <w:rsid w:val="00B908B0"/>
    <w:rPr>
      <w:rFonts w:ascii="Cambria" w:eastAsia="Times New Roman" w:hAnsi="Cambria" w:cs="Times New Roman"/>
      <w:color w:val="243F60"/>
      <w:sz w:val="24"/>
      <w:szCs w:val="24"/>
    </w:rPr>
  </w:style>
  <w:style w:type="character" w:customStyle="1" w:styleId="Heading6Char">
    <w:name w:val="Heading 6 Char"/>
    <w:link w:val="Heading6"/>
    <w:uiPriority w:val="9"/>
    <w:rsid w:val="00B908B0"/>
    <w:rPr>
      <w:rFonts w:ascii="Cambria" w:eastAsia="Times New Roman" w:hAnsi="Cambria" w:cs="Times New Roman"/>
      <w:i/>
      <w:iCs/>
      <w:color w:val="243F60"/>
      <w:sz w:val="24"/>
      <w:szCs w:val="24"/>
    </w:rPr>
  </w:style>
  <w:style w:type="character" w:customStyle="1" w:styleId="Heading7Char">
    <w:name w:val="Heading 7 Char"/>
    <w:link w:val="Heading7"/>
    <w:uiPriority w:val="9"/>
    <w:rsid w:val="00B908B0"/>
    <w:rPr>
      <w:rFonts w:ascii="Times New Roman" w:eastAsia="Times New Roman" w:hAnsi="Times New Roman" w:cs="Times New Roman"/>
      <w:b/>
      <w:iCs/>
      <w:sz w:val="24"/>
      <w:szCs w:val="24"/>
    </w:rPr>
  </w:style>
  <w:style w:type="paragraph" w:customStyle="1" w:styleId="p">
    <w:name w:val="p"/>
    <w:basedOn w:val="Normal"/>
    <w:qFormat/>
    <w:rsid w:val="00B908B0"/>
    <w:pPr>
      <w:ind w:firstLine="720"/>
    </w:pPr>
  </w:style>
  <w:style w:type="table" w:styleId="TableGrid">
    <w:name w:val="Table Grid"/>
    <w:basedOn w:val="TableNormal"/>
    <w:uiPriority w:val="59"/>
    <w:rsid w:val="00B908B0"/>
    <w:rPr>
      <w:rFonts w:ascii="Times New Roman" w:eastAsia="MS Mincho"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B908B0"/>
    <w:rPr>
      <w:color w:val="0000FF"/>
      <w:u w:val="single"/>
    </w:rPr>
  </w:style>
  <w:style w:type="paragraph" w:styleId="Footer">
    <w:name w:val="footer"/>
    <w:basedOn w:val="Normal"/>
    <w:link w:val="FooterChar"/>
    <w:uiPriority w:val="99"/>
    <w:unhideWhenUsed/>
    <w:rsid w:val="00B908B0"/>
    <w:pPr>
      <w:tabs>
        <w:tab w:val="center" w:pos="4320"/>
        <w:tab w:val="right" w:pos="8640"/>
      </w:tabs>
      <w:spacing w:line="240" w:lineRule="auto"/>
    </w:pPr>
    <w:rPr>
      <w:rFonts w:ascii="Times New Roman" w:eastAsia="MS Mincho" w:hAnsi="Times New Roman"/>
      <w:lang w:val="x-none" w:eastAsia="x-none"/>
    </w:rPr>
  </w:style>
  <w:style w:type="character" w:customStyle="1" w:styleId="FooterChar">
    <w:name w:val="Footer Char"/>
    <w:link w:val="Footer"/>
    <w:uiPriority w:val="99"/>
    <w:rsid w:val="00B908B0"/>
    <w:rPr>
      <w:rFonts w:ascii="Times New Roman" w:eastAsia="MS Mincho" w:hAnsi="Times New Roman" w:cs="Times New Roman"/>
      <w:sz w:val="24"/>
      <w:szCs w:val="24"/>
    </w:rPr>
  </w:style>
  <w:style w:type="character" w:styleId="PageNumber">
    <w:name w:val="page number"/>
    <w:basedOn w:val="DefaultParagraphFont"/>
    <w:uiPriority w:val="99"/>
    <w:semiHidden/>
    <w:unhideWhenUsed/>
    <w:rsid w:val="00B908B0"/>
  </w:style>
  <w:style w:type="paragraph" w:styleId="BalloonText">
    <w:name w:val="Balloon Text"/>
    <w:basedOn w:val="Normal"/>
    <w:link w:val="BalloonTextChar"/>
    <w:uiPriority w:val="99"/>
    <w:semiHidden/>
    <w:unhideWhenUsed/>
    <w:rsid w:val="00B908B0"/>
    <w:pPr>
      <w:spacing w:line="240" w:lineRule="auto"/>
    </w:pPr>
    <w:rPr>
      <w:rFonts w:ascii="Lucida Grande" w:eastAsia="MS Mincho" w:hAnsi="Lucida Grande"/>
      <w:sz w:val="18"/>
      <w:szCs w:val="18"/>
      <w:lang w:val="x-none" w:eastAsia="x-none"/>
    </w:rPr>
  </w:style>
  <w:style w:type="character" w:customStyle="1" w:styleId="BalloonTextChar">
    <w:name w:val="Balloon Text Char"/>
    <w:link w:val="BalloonText"/>
    <w:uiPriority w:val="99"/>
    <w:semiHidden/>
    <w:rsid w:val="00B908B0"/>
    <w:rPr>
      <w:rFonts w:ascii="Lucida Grande" w:eastAsia="MS Mincho" w:hAnsi="Lucida Grande" w:cs="Times New Roman"/>
      <w:sz w:val="18"/>
      <w:szCs w:val="18"/>
    </w:rPr>
  </w:style>
  <w:style w:type="paragraph" w:styleId="Header">
    <w:name w:val="header"/>
    <w:basedOn w:val="Normal"/>
    <w:link w:val="HeaderChar"/>
    <w:uiPriority w:val="99"/>
    <w:unhideWhenUsed/>
    <w:rsid w:val="00B908B0"/>
    <w:pPr>
      <w:tabs>
        <w:tab w:val="center" w:pos="4320"/>
        <w:tab w:val="right" w:pos="8640"/>
      </w:tabs>
      <w:spacing w:line="240" w:lineRule="auto"/>
    </w:pPr>
    <w:rPr>
      <w:rFonts w:ascii="Times New Roman" w:eastAsia="MS Mincho" w:hAnsi="Times New Roman"/>
      <w:lang w:val="x-none" w:eastAsia="x-none"/>
    </w:rPr>
  </w:style>
  <w:style w:type="character" w:customStyle="1" w:styleId="HeaderChar">
    <w:name w:val="Header Char"/>
    <w:link w:val="Header"/>
    <w:uiPriority w:val="99"/>
    <w:rsid w:val="00B908B0"/>
    <w:rPr>
      <w:rFonts w:ascii="Times New Roman" w:eastAsia="MS Mincho" w:hAnsi="Times New Roman" w:cs="Times New Roman"/>
      <w:sz w:val="24"/>
      <w:szCs w:val="24"/>
    </w:rPr>
  </w:style>
  <w:style w:type="character" w:styleId="CommentReference">
    <w:name w:val="annotation reference"/>
    <w:uiPriority w:val="99"/>
    <w:semiHidden/>
    <w:unhideWhenUsed/>
    <w:rsid w:val="00B908B0"/>
    <w:rPr>
      <w:sz w:val="18"/>
      <w:szCs w:val="18"/>
    </w:rPr>
  </w:style>
  <w:style w:type="paragraph" w:styleId="CommentText">
    <w:name w:val="annotation text"/>
    <w:basedOn w:val="Normal"/>
    <w:link w:val="CommentTextChar"/>
    <w:uiPriority w:val="99"/>
    <w:unhideWhenUsed/>
    <w:rsid w:val="00B908B0"/>
    <w:pPr>
      <w:spacing w:line="240" w:lineRule="auto"/>
    </w:pPr>
    <w:rPr>
      <w:rFonts w:ascii="Times New Roman" w:eastAsia="MS Mincho" w:hAnsi="Times New Roman"/>
      <w:lang w:val="x-none" w:eastAsia="x-none"/>
    </w:rPr>
  </w:style>
  <w:style w:type="character" w:customStyle="1" w:styleId="CommentTextChar">
    <w:name w:val="Comment Text Char"/>
    <w:link w:val="CommentText"/>
    <w:uiPriority w:val="99"/>
    <w:semiHidden/>
    <w:rsid w:val="00B908B0"/>
    <w:rPr>
      <w:rFonts w:ascii="Times New Roman" w:eastAsia="MS Mincho"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B908B0"/>
    <w:rPr>
      <w:b/>
      <w:bCs/>
      <w:sz w:val="20"/>
      <w:szCs w:val="20"/>
    </w:rPr>
  </w:style>
  <w:style w:type="character" w:customStyle="1" w:styleId="CommentSubjectChar">
    <w:name w:val="Comment Subject Char"/>
    <w:link w:val="CommentSubject"/>
    <w:uiPriority w:val="99"/>
    <w:semiHidden/>
    <w:rsid w:val="00B908B0"/>
    <w:rPr>
      <w:rFonts w:ascii="Times New Roman" w:eastAsia="MS Mincho" w:hAnsi="Times New Roman" w:cs="Times New Roman"/>
      <w:b/>
      <w:bCs/>
      <w:sz w:val="20"/>
      <w:szCs w:val="20"/>
    </w:rPr>
  </w:style>
  <w:style w:type="paragraph" w:customStyle="1" w:styleId="Table">
    <w:name w:val="Table"/>
    <w:basedOn w:val="Normal"/>
    <w:qFormat/>
    <w:rsid w:val="00B908B0"/>
    <w:pPr>
      <w:spacing w:before="240" w:after="240" w:line="240" w:lineRule="auto"/>
    </w:pPr>
    <w:rPr>
      <w:rFonts w:ascii="Times New Roman" w:hAnsi="Times New Roman"/>
    </w:rPr>
  </w:style>
  <w:style w:type="paragraph" w:customStyle="1" w:styleId="Figure">
    <w:name w:val="Figure"/>
    <w:basedOn w:val="Normal"/>
    <w:qFormat/>
    <w:rsid w:val="00B908B0"/>
    <w:pPr>
      <w:spacing w:before="200" w:after="240" w:line="240" w:lineRule="auto"/>
    </w:pPr>
  </w:style>
  <w:style w:type="paragraph" w:styleId="ListParagraph">
    <w:name w:val="List Paragraph"/>
    <w:basedOn w:val="Normal"/>
    <w:qFormat/>
    <w:rsid w:val="00B908B0"/>
    <w:pPr>
      <w:ind w:left="720"/>
      <w:contextualSpacing/>
    </w:pPr>
    <w:rPr>
      <w:rFonts w:ascii="Times New Roman" w:eastAsia="Times New Roman" w:hAnsi="Times New Roman" w:cs="Arial"/>
    </w:rPr>
  </w:style>
  <w:style w:type="paragraph" w:styleId="NormalWeb">
    <w:name w:val="Normal (Web)"/>
    <w:basedOn w:val="Normal"/>
    <w:uiPriority w:val="99"/>
    <w:rsid w:val="00B908B0"/>
    <w:pPr>
      <w:spacing w:beforeLines="1"/>
    </w:pPr>
    <w:rPr>
      <w:rFonts w:eastAsia="Cambria"/>
    </w:rPr>
  </w:style>
  <w:style w:type="paragraph" w:styleId="Revision">
    <w:name w:val="Revision"/>
    <w:hidden/>
    <w:uiPriority w:val="99"/>
    <w:semiHidden/>
    <w:rsid w:val="00B908B0"/>
    <w:rPr>
      <w:rFonts w:ascii="Times" w:hAnsi="Times" w:cs="Times New Roman"/>
      <w:sz w:val="24"/>
      <w:szCs w:val="24"/>
    </w:rPr>
  </w:style>
  <w:style w:type="paragraph" w:styleId="TOCHeading">
    <w:name w:val="TOC Heading"/>
    <w:basedOn w:val="Heading1"/>
    <w:next w:val="Normal"/>
    <w:uiPriority w:val="39"/>
    <w:unhideWhenUsed/>
    <w:qFormat/>
    <w:rsid w:val="00B908B0"/>
    <w:pPr>
      <w:keepLines/>
      <w:widowControl/>
      <w:suppressAutoHyphens w:val="0"/>
      <w:spacing w:before="480" w:after="0" w:line="276" w:lineRule="auto"/>
      <w:jc w:val="left"/>
      <w:outlineLvl w:val="9"/>
    </w:pPr>
    <w:rPr>
      <w:rFonts w:ascii="Cambria" w:hAnsi="Cambria"/>
      <w:color w:val="365F91"/>
      <w:kern w:val="0"/>
      <w:sz w:val="28"/>
      <w:szCs w:val="28"/>
    </w:rPr>
  </w:style>
  <w:style w:type="paragraph" w:styleId="TOC1">
    <w:name w:val="toc 1"/>
    <w:basedOn w:val="Normal"/>
    <w:next w:val="Normal"/>
    <w:autoRedefine/>
    <w:uiPriority w:val="39"/>
    <w:unhideWhenUsed/>
    <w:qFormat/>
    <w:rsid w:val="00B82C76"/>
    <w:pPr>
      <w:tabs>
        <w:tab w:val="left" w:pos="720"/>
        <w:tab w:val="right" w:leader="dot" w:pos="9350"/>
      </w:tabs>
      <w:spacing w:before="360" w:line="240" w:lineRule="auto"/>
    </w:pPr>
    <w:rPr>
      <w:rFonts w:ascii="Times New Roman" w:hAnsi="Times New Roman"/>
      <w:b/>
      <w:bCs/>
      <w:caps/>
    </w:rPr>
  </w:style>
  <w:style w:type="paragraph" w:styleId="TOC2">
    <w:name w:val="toc 2"/>
    <w:basedOn w:val="Normal"/>
    <w:next w:val="Normal"/>
    <w:autoRedefine/>
    <w:uiPriority w:val="39"/>
    <w:unhideWhenUsed/>
    <w:qFormat/>
    <w:rsid w:val="00DF5308"/>
    <w:pPr>
      <w:spacing w:before="240"/>
      <w:ind w:left="720"/>
    </w:pPr>
    <w:rPr>
      <w:rFonts w:ascii="Times New Roman" w:hAnsi="Times New Roman" w:cs="Calibri"/>
      <w:b/>
      <w:bCs/>
      <w:sz w:val="20"/>
      <w:szCs w:val="20"/>
    </w:rPr>
  </w:style>
  <w:style w:type="paragraph" w:styleId="TOC3">
    <w:name w:val="toc 3"/>
    <w:basedOn w:val="Normal"/>
    <w:next w:val="Normal"/>
    <w:autoRedefine/>
    <w:uiPriority w:val="39"/>
    <w:unhideWhenUsed/>
    <w:qFormat/>
    <w:rsid w:val="00DF5308"/>
    <w:pPr>
      <w:ind w:left="1440"/>
    </w:pPr>
    <w:rPr>
      <w:rFonts w:ascii="Times New Roman" w:hAnsi="Times New Roman" w:cs="Calibri"/>
      <w:sz w:val="20"/>
      <w:szCs w:val="20"/>
    </w:rPr>
  </w:style>
  <w:style w:type="paragraph" w:styleId="TableofFigures">
    <w:name w:val="table of figures"/>
    <w:basedOn w:val="Normal"/>
    <w:next w:val="Normal"/>
    <w:uiPriority w:val="99"/>
    <w:unhideWhenUsed/>
    <w:rsid w:val="00B908B0"/>
    <w:pPr>
      <w:ind w:left="1296" w:hanging="1296"/>
    </w:pPr>
  </w:style>
  <w:style w:type="paragraph" w:customStyle="1" w:styleId="Ref">
    <w:name w:val="Ref"/>
    <w:basedOn w:val="ListParagraph"/>
    <w:qFormat/>
    <w:rsid w:val="00B908B0"/>
    <w:pPr>
      <w:spacing w:before="360" w:after="360" w:line="240" w:lineRule="auto"/>
      <w:ind w:hanging="720"/>
      <w:contextualSpacing w:val="0"/>
    </w:pPr>
  </w:style>
  <w:style w:type="paragraph" w:styleId="TOC4">
    <w:name w:val="toc 4"/>
    <w:basedOn w:val="Normal"/>
    <w:next w:val="Normal"/>
    <w:autoRedefine/>
    <w:uiPriority w:val="39"/>
    <w:unhideWhenUsed/>
    <w:rsid w:val="00DF5308"/>
    <w:pPr>
      <w:ind w:left="2160"/>
    </w:pPr>
    <w:rPr>
      <w:rFonts w:ascii="Times New Roman" w:hAnsi="Times New Roman" w:cs="Calibri"/>
      <w:sz w:val="20"/>
      <w:szCs w:val="20"/>
    </w:rPr>
  </w:style>
  <w:style w:type="paragraph" w:styleId="TOC5">
    <w:name w:val="toc 5"/>
    <w:basedOn w:val="Normal"/>
    <w:next w:val="Normal"/>
    <w:autoRedefine/>
    <w:uiPriority w:val="39"/>
    <w:unhideWhenUsed/>
    <w:rsid w:val="00DF5308"/>
    <w:pPr>
      <w:ind w:left="2448"/>
    </w:pPr>
    <w:rPr>
      <w:rFonts w:ascii="Times New Roman" w:hAnsi="Times New Roman" w:cs="Calibri"/>
      <w:sz w:val="20"/>
      <w:szCs w:val="20"/>
    </w:rPr>
  </w:style>
  <w:style w:type="paragraph" w:styleId="TOC6">
    <w:name w:val="toc 6"/>
    <w:basedOn w:val="Normal"/>
    <w:next w:val="Normal"/>
    <w:autoRedefine/>
    <w:uiPriority w:val="39"/>
    <w:unhideWhenUsed/>
    <w:rsid w:val="00DF5308"/>
    <w:pPr>
      <w:ind w:left="2880"/>
    </w:pPr>
    <w:rPr>
      <w:rFonts w:ascii="Times New Roman" w:hAnsi="Times New Roman" w:cs="Calibri"/>
      <w:sz w:val="20"/>
      <w:szCs w:val="20"/>
    </w:rPr>
  </w:style>
  <w:style w:type="paragraph" w:styleId="TOC7">
    <w:name w:val="toc 7"/>
    <w:basedOn w:val="Normal"/>
    <w:next w:val="Normal"/>
    <w:autoRedefine/>
    <w:uiPriority w:val="39"/>
    <w:unhideWhenUsed/>
    <w:rsid w:val="00B908B0"/>
    <w:pPr>
      <w:ind w:left="1200"/>
    </w:pPr>
    <w:rPr>
      <w:rFonts w:ascii="Calibri" w:hAnsi="Calibri" w:cs="Calibri"/>
      <w:sz w:val="20"/>
      <w:szCs w:val="20"/>
    </w:rPr>
  </w:style>
  <w:style w:type="paragraph" w:styleId="TOC8">
    <w:name w:val="toc 8"/>
    <w:basedOn w:val="Normal"/>
    <w:next w:val="Normal"/>
    <w:autoRedefine/>
    <w:uiPriority w:val="39"/>
    <w:unhideWhenUsed/>
    <w:rsid w:val="00B908B0"/>
    <w:pPr>
      <w:ind w:left="1440"/>
    </w:pPr>
    <w:rPr>
      <w:rFonts w:ascii="Calibri" w:hAnsi="Calibri" w:cs="Calibri"/>
      <w:sz w:val="20"/>
      <w:szCs w:val="20"/>
    </w:rPr>
  </w:style>
  <w:style w:type="paragraph" w:styleId="TOC9">
    <w:name w:val="toc 9"/>
    <w:basedOn w:val="Normal"/>
    <w:next w:val="Normal"/>
    <w:autoRedefine/>
    <w:uiPriority w:val="39"/>
    <w:unhideWhenUsed/>
    <w:rsid w:val="00B908B0"/>
    <w:pPr>
      <w:ind w:left="1680"/>
    </w:pPr>
    <w:rPr>
      <w:rFonts w:ascii="Calibri" w:hAnsi="Calibri" w:cs="Calibri"/>
      <w:sz w:val="20"/>
      <w:szCs w:val="20"/>
    </w:rPr>
  </w:style>
  <w:style w:type="paragraph" w:customStyle="1" w:styleId="APPENDIX">
    <w:name w:val="APPENDIX"/>
    <w:basedOn w:val="Heading1"/>
    <w:qFormat/>
    <w:rsid w:val="00B908B0"/>
  </w:style>
  <w:style w:type="character" w:customStyle="1" w:styleId="DocumentMapChar">
    <w:name w:val="Document Map Char"/>
    <w:link w:val="DocumentMap"/>
    <w:uiPriority w:val="99"/>
    <w:semiHidden/>
    <w:rsid w:val="00B908B0"/>
    <w:rPr>
      <w:rFonts w:ascii="Lucida Grande" w:hAnsi="Lucida Grande" w:cs="Lucida Grande"/>
      <w:sz w:val="24"/>
      <w:szCs w:val="24"/>
    </w:rPr>
  </w:style>
  <w:style w:type="paragraph" w:styleId="DocumentMap">
    <w:name w:val="Document Map"/>
    <w:basedOn w:val="Normal"/>
    <w:link w:val="DocumentMapChar"/>
    <w:uiPriority w:val="99"/>
    <w:semiHidden/>
    <w:unhideWhenUsed/>
    <w:rsid w:val="00B908B0"/>
    <w:pPr>
      <w:spacing w:line="240" w:lineRule="auto"/>
    </w:pPr>
    <w:rPr>
      <w:rFonts w:ascii="Lucida Grande" w:hAnsi="Lucida Grande"/>
      <w:lang w:val="x-none" w:eastAsia="x-none"/>
    </w:rPr>
  </w:style>
  <w:style w:type="paragraph" w:customStyle="1" w:styleId="ChapterHead">
    <w:name w:val="ChapterHead"/>
    <w:basedOn w:val="Normal"/>
    <w:qFormat/>
    <w:rsid w:val="009058D5"/>
    <w:pPr>
      <w:spacing w:after="240" w:line="240" w:lineRule="auto"/>
      <w:ind w:left="720"/>
      <w:jc w:val="center"/>
    </w:pPr>
    <w:rPr>
      <w:b/>
    </w:rPr>
  </w:style>
  <w:style w:type="paragraph" w:customStyle="1" w:styleId="11Heading">
    <w:name w:val="1.1 Heading"/>
    <w:basedOn w:val="Normal"/>
    <w:qFormat/>
    <w:rsid w:val="00252D0D"/>
    <w:pPr>
      <w:spacing w:before="240" w:after="240" w:line="240" w:lineRule="auto"/>
      <w:ind w:left="720"/>
    </w:pPr>
    <w:rPr>
      <w:b/>
    </w:rPr>
  </w:style>
  <w:style w:type="paragraph" w:customStyle="1" w:styleId="111Heading">
    <w:name w:val="1.1.1 Heading"/>
    <w:basedOn w:val="Normal"/>
    <w:qFormat/>
    <w:rsid w:val="00252D0D"/>
    <w:pPr>
      <w:spacing w:before="240" w:after="240" w:line="240" w:lineRule="auto"/>
      <w:ind w:left="720"/>
    </w:pPr>
    <w:rPr>
      <w:b/>
    </w:rPr>
  </w:style>
  <w:style w:type="paragraph" w:customStyle="1" w:styleId="TableHead">
    <w:name w:val="TableHead"/>
    <w:basedOn w:val="Normal"/>
    <w:qFormat/>
    <w:rsid w:val="009058D5"/>
    <w:pPr>
      <w:spacing w:after="240" w:line="240" w:lineRule="auto"/>
      <w:ind w:left="720"/>
    </w:pPr>
    <w:rPr>
      <w:b/>
    </w:rPr>
  </w:style>
  <w:style w:type="paragraph" w:customStyle="1" w:styleId="FigureHead">
    <w:name w:val="Figure Head"/>
    <w:basedOn w:val="Normal"/>
    <w:qFormat/>
    <w:rsid w:val="009058D5"/>
    <w:pPr>
      <w:spacing w:after="240" w:line="240" w:lineRule="auto"/>
      <w:ind w:left="720"/>
    </w:pPr>
    <w:rPr>
      <w:b/>
    </w:rPr>
  </w:style>
  <w:style w:type="paragraph" w:customStyle="1" w:styleId="1111Heading">
    <w:name w:val="1.1.1.1 Heading"/>
    <w:basedOn w:val="Heading5"/>
    <w:qFormat/>
    <w:rsid w:val="00252D0D"/>
    <w:pPr>
      <w:spacing w:before="240" w:after="240"/>
      <w:ind w:left="720"/>
    </w:pPr>
    <w:rPr>
      <w:rFonts w:ascii="Times New Roman" w:hAnsi="Times New Roman"/>
      <w:b/>
      <w:i/>
      <w:color w:val="auto"/>
    </w:rPr>
  </w:style>
  <w:style w:type="paragraph" w:customStyle="1" w:styleId="11111Heading">
    <w:name w:val="1.1.1.1.1 Heading"/>
    <w:basedOn w:val="1111Heading"/>
    <w:qFormat/>
    <w:rsid w:val="00252D0D"/>
    <w:rPr>
      <w:b w:val="0"/>
    </w:rPr>
  </w:style>
  <w:style w:type="paragraph" w:customStyle="1" w:styleId="FrontMatter">
    <w:name w:val="FrontMatter"/>
    <w:basedOn w:val="ChapterHead"/>
    <w:qFormat/>
    <w:rsid w:val="00DC5072"/>
  </w:style>
  <w:style w:type="paragraph" w:customStyle="1" w:styleId="Notes">
    <w:name w:val="Notes"/>
    <w:basedOn w:val="Normal"/>
    <w:qFormat/>
    <w:rsid w:val="00E32B23"/>
    <w:pPr>
      <w:spacing w:before="240" w:after="240" w:line="240" w:lineRule="auto"/>
      <w:ind w:left="1440" w:hanging="720"/>
    </w:pPr>
    <w:rPr>
      <w:rFonts w:ascii="Times New Roman" w:hAnsi="Times New Roman"/>
      <w:noProof/>
    </w:rPr>
  </w:style>
  <w:style w:type="paragraph" w:customStyle="1" w:styleId="Appendix0">
    <w:name w:val="Appendix"/>
    <w:basedOn w:val="ChapterHead"/>
    <w:qFormat/>
    <w:rsid w:val="00466BBF"/>
  </w:style>
  <w:style w:type="character" w:customStyle="1" w:styleId="CommentTextChar2">
    <w:name w:val="Comment Text Char2"/>
    <w:uiPriority w:val="99"/>
    <w:rsid w:val="00CF6764"/>
    <w:rPr>
      <w:rFonts w:eastAsia="MS Mincho" w:cs="Times New Roman"/>
      <w:kern w:val="1"/>
      <w:sz w:val="20"/>
      <w:szCs w:val="20"/>
      <w:lang w:eastAsia="zh-CN"/>
    </w:rPr>
  </w:style>
  <w:style w:type="character" w:customStyle="1" w:styleId="apple-converted-space">
    <w:name w:val="apple-converted-space"/>
    <w:basedOn w:val="DefaultParagraphFont"/>
    <w:rsid w:val="00A55F52"/>
  </w:style>
  <w:style w:type="character" w:styleId="Strong">
    <w:name w:val="Strong"/>
    <w:basedOn w:val="DefaultParagraphFont"/>
    <w:uiPriority w:val="22"/>
    <w:qFormat/>
    <w:rsid w:val="00DC1A2C"/>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0"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8B0"/>
    <w:pPr>
      <w:spacing w:line="480" w:lineRule="auto"/>
    </w:pPr>
    <w:rPr>
      <w:rFonts w:ascii="Times" w:hAnsi="Times" w:cs="Times New Roman"/>
      <w:sz w:val="24"/>
      <w:szCs w:val="24"/>
    </w:rPr>
  </w:style>
  <w:style w:type="paragraph" w:styleId="Heading1">
    <w:name w:val="heading 1"/>
    <w:basedOn w:val="Normal"/>
    <w:next w:val="Normal"/>
    <w:link w:val="Heading1Char"/>
    <w:qFormat/>
    <w:rsid w:val="00B908B0"/>
    <w:pPr>
      <w:keepNext/>
      <w:widowControl w:val="0"/>
      <w:suppressAutoHyphens/>
      <w:spacing w:before="240" w:after="60"/>
      <w:jc w:val="center"/>
      <w:outlineLvl w:val="0"/>
    </w:pPr>
    <w:rPr>
      <w:rFonts w:ascii="Times New Roman" w:eastAsia="Times New Roman" w:hAnsi="Times New Roman"/>
      <w:b/>
      <w:bCs/>
      <w:kern w:val="32"/>
      <w:szCs w:val="32"/>
      <w:lang w:val="x-none" w:eastAsia="x-none"/>
    </w:rPr>
  </w:style>
  <w:style w:type="paragraph" w:styleId="Heading2">
    <w:name w:val="heading 2"/>
    <w:basedOn w:val="Normal"/>
    <w:next w:val="Normal"/>
    <w:link w:val="Heading2Char"/>
    <w:uiPriority w:val="9"/>
    <w:unhideWhenUsed/>
    <w:qFormat/>
    <w:rsid w:val="00B908B0"/>
    <w:pPr>
      <w:keepNext/>
      <w:keepLines/>
      <w:spacing w:before="200"/>
      <w:outlineLvl w:val="1"/>
    </w:pPr>
    <w:rPr>
      <w:rFonts w:ascii="Cambria" w:eastAsia="Times New Roman" w:hAnsi="Cambria"/>
      <w:b/>
      <w:bCs/>
      <w:color w:val="4F81BD"/>
      <w:sz w:val="26"/>
      <w:szCs w:val="26"/>
      <w:lang w:val="x-none" w:eastAsia="x-none"/>
    </w:rPr>
  </w:style>
  <w:style w:type="paragraph" w:styleId="Heading3">
    <w:name w:val="heading 3"/>
    <w:basedOn w:val="Normal"/>
    <w:next w:val="Normal"/>
    <w:link w:val="Heading3Char"/>
    <w:uiPriority w:val="9"/>
    <w:unhideWhenUsed/>
    <w:qFormat/>
    <w:rsid w:val="00B908B0"/>
    <w:pPr>
      <w:keepNext/>
      <w:keepLines/>
      <w:spacing w:before="200" w:line="240" w:lineRule="auto"/>
      <w:outlineLvl w:val="2"/>
    </w:pPr>
    <w:rPr>
      <w:rFonts w:ascii="Cambria" w:eastAsia="Times New Roman" w:hAnsi="Cambria"/>
      <w:b/>
      <w:bCs/>
      <w:color w:val="4F81BD"/>
      <w:lang w:val="x-none" w:eastAsia="x-none"/>
    </w:rPr>
  </w:style>
  <w:style w:type="paragraph" w:styleId="Heading4">
    <w:name w:val="heading 4"/>
    <w:basedOn w:val="Normal"/>
    <w:next w:val="Normal"/>
    <w:link w:val="Heading4Char"/>
    <w:uiPriority w:val="9"/>
    <w:unhideWhenUsed/>
    <w:qFormat/>
    <w:rsid w:val="00B908B0"/>
    <w:pPr>
      <w:keepNext/>
      <w:keepLines/>
      <w:spacing w:before="200"/>
      <w:outlineLvl w:val="3"/>
    </w:pPr>
    <w:rPr>
      <w:rFonts w:ascii="Cambria" w:eastAsia="Times New Roman" w:hAnsi="Cambria"/>
      <w:b/>
      <w:bCs/>
      <w:i/>
      <w:iCs/>
      <w:color w:val="4F81BD"/>
      <w:lang w:val="x-none" w:eastAsia="x-none"/>
    </w:rPr>
  </w:style>
  <w:style w:type="paragraph" w:styleId="Heading5">
    <w:name w:val="heading 5"/>
    <w:basedOn w:val="Normal"/>
    <w:next w:val="Normal"/>
    <w:link w:val="Heading5Char"/>
    <w:uiPriority w:val="9"/>
    <w:unhideWhenUsed/>
    <w:qFormat/>
    <w:rsid w:val="00B908B0"/>
    <w:pPr>
      <w:keepNext/>
      <w:keepLines/>
      <w:spacing w:before="200" w:line="240" w:lineRule="auto"/>
      <w:outlineLvl w:val="4"/>
    </w:pPr>
    <w:rPr>
      <w:rFonts w:ascii="Cambria" w:eastAsia="Times New Roman" w:hAnsi="Cambria"/>
      <w:color w:val="243F60"/>
      <w:lang w:val="x-none" w:eastAsia="x-none"/>
    </w:rPr>
  </w:style>
  <w:style w:type="paragraph" w:styleId="Heading6">
    <w:name w:val="heading 6"/>
    <w:basedOn w:val="Normal"/>
    <w:next w:val="Normal"/>
    <w:link w:val="Heading6Char"/>
    <w:uiPriority w:val="9"/>
    <w:unhideWhenUsed/>
    <w:qFormat/>
    <w:rsid w:val="00B908B0"/>
    <w:pPr>
      <w:keepNext/>
      <w:keepLines/>
      <w:spacing w:before="200"/>
      <w:outlineLvl w:val="5"/>
    </w:pPr>
    <w:rPr>
      <w:rFonts w:ascii="Cambria" w:eastAsia="Times New Roman" w:hAnsi="Cambria"/>
      <w:i/>
      <w:iCs/>
      <w:color w:val="243F60"/>
      <w:lang w:val="x-none" w:eastAsia="x-none"/>
    </w:rPr>
  </w:style>
  <w:style w:type="paragraph" w:styleId="Heading7">
    <w:name w:val="heading 7"/>
    <w:basedOn w:val="Normal"/>
    <w:next w:val="Normal"/>
    <w:link w:val="Heading7Char"/>
    <w:uiPriority w:val="9"/>
    <w:unhideWhenUsed/>
    <w:qFormat/>
    <w:rsid w:val="00B908B0"/>
    <w:pPr>
      <w:keepNext/>
      <w:keepLines/>
      <w:spacing w:before="200"/>
      <w:outlineLvl w:val="6"/>
    </w:pPr>
    <w:rPr>
      <w:rFonts w:ascii="Times New Roman" w:eastAsia="Times New Roman" w:hAnsi="Times New Roman"/>
      <w:b/>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908B0"/>
    <w:rPr>
      <w:rFonts w:ascii="Times New Roman" w:eastAsia="Times New Roman" w:hAnsi="Times New Roman" w:cs="Times New Roman"/>
      <w:b/>
      <w:bCs/>
      <w:kern w:val="32"/>
      <w:sz w:val="24"/>
      <w:szCs w:val="32"/>
    </w:rPr>
  </w:style>
  <w:style w:type="character" w:customStyle="1" w:styleId="Heading2Char">
    <w:name w:val="Heading 2 Char"/>
    <w:link w:val="Heading2"/>
    <w:uiPriority w:val="9"/>
    <w:rsid w:val="00B908B0"/>
    <w:rPr>
      <w:rFonts w:ascii="Cambria" w:eastAsia="Times New Roman" w:hAnsi="Cambria" w:cs="Times New Roman"/>
      <w:b/>
      <w:bCs/>
      <w:color w:val="4F81BD"/>
      <w:sz w:val="26"/>
      <w:szCs w:val="26"/>
    </w:rPr>
  </w:style>
  <w:style w:type="character" w:customStyle="1" w:styleId="Heading3Char">
    <w:name w:val="Heading 3 Char"/>
    <w:link w:val="Heading3"/>
    <w:uiPriority w:val="9"/>
    <w:rsid w:val="00B908B0"/>
    <w:rPr>
      <w:rFonts w:ascii="Cambria" w:eastAsia="Times New Roman" w:hAnsi="Cambria" w:cs="Times New Roman"/>
      <w:b/>
      <w:bCs/>
      <w:color w:val="4F81BD"/>
      <w:sz w:val="24"/>
      <w:szCs w:val="24"/>
    </w:rPr>
  </w:style>
  <w:style w:type="character" w:customStyle="1" w:styleId="Heading4Char">
    <w:name w:val="Heading 4 Char"/>
    <w:link w:val="Heading4"/>
    <w:uiPriority w:val="9"/>
    <w:rsid w:val="00B908B0"/>
    <w:rPr>
      <w:rFonts w:ascii="Cambria" w:eastAsia="Times New Roman" w:hAnsi="Cambria" w:cs="Times New Roman"/>
      <w:b/>
      <w:bCs/>
      <w:i/>
      <w:iCs/>
      <w:color w:val="4F81BD"/>
      <w:sz w:val="24"/>
      <w:szCs w:val="24"/>
    </w:rPr>
  </w:style>
  <w:style w:type="character" w:customStyle="1" w:styleId="Heading5Char">
    <w:name w:val="Heading 5 Char"/>
    <w:link w:val="Heading5"/>
    <w:uiPriority w:val="9"/>
    <w:rsid w:val="00B908B0"/>
    <w:rPr>
      <w:rFonts w:ascii="Cambria" w:eastAsia="Times New Roman" w:hAnsi="Cambria" w:cs="Times New Roman"/>
      <w:color w:val="243F60"/>
      <w:sz w:val="24"/>
      <w:szCs w:val="24"/>
    </w:rPr>
  </w:style>
  <w:style w:type="character" w:customStyle="1" w:styleId="Heading6Char">
    <w:name w:val="Heading 6 Char"/>
    <w:link w:val="Heading6"/>
    <w:uiPriority w:val="9"/>
    <w:rsid w:val="00B908B0"/>
    <w:rPr>
      <w:rFonts w:ascii="Cambria" w:eastAsia="Times New Roman" w:hAnsi="Cambria" w:cs="Times New Roman"/>
      <w:i/>
      <w:iCs/>
      <w:color w:val="243F60"/>
      <w:sz w:val="24"/>
      <w:szCs w:val="24"/>
    </w:rPr>
  </w:style>
  <w:style w:type="character" w:customStyle="1" w:styleId="Heading7Char">
    <w:name w:val="Heading 7 Char"/>
    <w:link w:val="Heading7"/>
    <w:uiPriority w:val="9"/>
    <w:rsid w:val="00B908B0"/>
    <w:rPr>
      <w:rFonts w:ascii="Times New Roman" w:eastAsia="Times New Roman" w:hAnsi="Times New Roman" w:cs="Times New Roman"/>
      <w:b/>
      <w:iCs/>
      <w:sz w:val="24"/>
      <w:szCs w:val="24"/>
    </w:rPr>
  </w:style>
  <w:style w:type="paragraph" w:customStyle="1" w:styleId="p">
    <w:name w:val="p"/>
    <w:basedOn w:val="Normal"/>
    <w:qFormat/>
    <w:rsid w:val="00B908B0"/>
    <w:pPr>
      <w:ind w:firstLine="720"/>
    </w:pPr>
  </w:style>
  <w:style w:type="table" w:styleId="TableGrid">
    <w:name w:val="Table Grid"/>
    <w:basedOn w:val="TableNormal"/>
    <w:uiPriority w:val="59"/>
    <w:rsid w:val="00B908B0"/>
    <w:rPr>
      <w:rFonts w:ascii="Times New Roman" w:eastAsia="MS Mincho"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B908B0"/>
    <w:rPr>
      <w:color w:val="0000FF"/>
      <w:u w:val="single"/>
    </w:rPr>
  </w:style>
  <w:style w:type="paragraph" w:styleId="Footer">
    <w:name w:val="footer"/>
    <w:basedOn w:val="Normal"/>
    <w:link w:val="FooterChar"/>
    <w:uiPriority w:val="99"/>
    <w:unhideWhenUsed/>
    <w:rsid w:val="00B908B0"/>
    <w:pPr>
      <w:tabs>
        <w:tab w:val="center" w:pos="4320"/>
        <w:tab w:val="right" w:pos="8640"/>
      </w:tabs>
      <w:spacing w:line="240" w:lineRule="auto"/>
    </w:pPr>
    <w:rPr>
      <w:rFonts w:ascii="Times New Roman" w:eastAsia="MS Mincho" w:hAnsi="Times New Roman"/>
      <w:lang w:val="x-none" w:eastAsia="x-none"/>
    </w:rPr>
  </w:style>
  <w:style w:type="character" w:customStyle="1" w:styleId="FooterChar">
    <w:name w:val="Footer Char"/>
    <w:link w:val="Footer"/>
    <w:uiPriority w:val="99"/>
    <w:rsid w:val="00B908B0"/>
    <w:rPr>
      <w:rFonts w:ascii="Times New Roman" w:eastAsia="MS Mincho" w:hAnsi="Times New Roman" w:cs="Times New Roman"/>
      <w:sz w:val="24"/>
      <w:szCs w:val="24"/>
    </w:rPr>
  </w:style>
  <w:style w:type="character" w:styleId="PageNumber">
    <w:name w:val="page number"/>
    <w:basedOn w:val="DefaultParagraphFont"/>
    <w:uiPriority w:val="99"/>
    <w:semiHidden/>
    <w:unhideWhenUsed/>
    <w:rsid w:val="00B908B0"/>
  </w:style>
  <w:style w:type="paragraph" w:styleId="BalloonText">
    <w:name w:val="Balloon Text"/>
    <w:basedOn w:val="Normal"/>
    <w:link w:val="BalloonTextChar"/>
    <w:uiPriority w:val="99"/>
    <w:semiHidden/>
    <w:unhideWhenUsed/>
    <w:rsid w:val="00B908B0"/>
    <w:pPr>
      <w:spacing w:line="240" w:lineRule="auto"/>
    </w:pPr>
    <w:rPr>
      <w:rFonts w:ascii="Lucida Grande" w:eastAsia="MS Mincho" w:hAnsi="Lucida Grande"/>
      <w:sz w:val="18"/>
      <w:szCs w:val="18"/>
      <w:lang w:val="x-none" w:eastAsia="x-none"/>
    </w:rPr>
  </w:style>
  <w:style w:type="character" w:customStyle="1" w:styleId="BalloonTextChar">
    <w:name w:val="Balloon Text Char"/>
    <w:link w:val="BalloonText"/>
    <w:uiPriority w:val="99"/>
    <w:semiHidden/>
    <w:rsid w:val="00B908B0"/>
    <w:rPr>
      <w:rFonts w:ascii="Lucida Grande" w:eastAsia="MS Mincho" w:hAnsi="Lucida Grande" w:cs="Times New Roman"/>
      <w:sz w:val="18"/>
      <w:szCs w:val="18"/>
    </w:rPr>
  </w:style>
  <w:style w:type="paragraph" w:styleId="Header">
    <w:name w:val="header"/>
    <w:basedOn w:val="Normal"/>
    <w:link w:val="HeaderChar"/>
    <w:uiPriority w:val="99"/>
    <w:unhideWhenUsed/>
    <w:rsid w:val="00B908B0"/>
    <w:pPr>
      <w:tabs>
        <w:tab w:val="center" w:pos="4320"/>
        <w:tab w:val="right" w:pos="8640"/>
      </w:tabs>
      <w:spacing w:line="240" w:lineRule="auto"/>
    </w:pPr>
    <w:rPr>
      <w:rFonts w:ascii="Times New Roman" w:eastAsia="MS Mincho" w:hAnsi="Times New Roman"/>
      <w:lang w:val="x-none" w:eastAsia="x-none"/>
    </w:rPr>
  </w:style>
  <w:style w:type="character" w:customStyle="1" w:styleId="HeaderChar">
    <w:name w:val="Header Char"/>
    <w:link w:val="Header"/>
    <w:uiPriority w:val="99"/>
    <w:rsid w:val="00B908B0"/>
    <w:rPr>
      <w:rFonts w:ascii="Times New Roman" w:eastAsia="MS Mincho" w:hAnsi="Times New Roman" w:cs="Times New Roman"/>
      <w:sz w:val="24"/>
      <w:szCs w:val="24"/>
    </w:rPr>
  </w:style>
  <w:style w:type="character" w:styleId="CommentReference">
    <w:name w:val="annotation reference"/>
    <w:uiPriority w:val="99"/>
    <w:semiHidden/>
    <w:unhideWhenUsed/>
    <w:rsid w:val="00B908B0"/>
    <w:rPr>
      <w:sz w:val="18"/>
      <w:szCs w:val="18"/>
    </w:rPr>
  </w:style>
  <w:style w:type="paragraph" w:styleId="CommentText">
    <w:name w:val="annotation text"/>
    <w:basedOn w:val="Normal"/>
    <w:link w:val="CommentTextChar"/>
    <w:uiPriority w:val="99"/>
    <w:unhideWhenUsed/>
    <w:rsid w:val="00B908B0"/>
    <w:pPr>
      <w:spacing w:line="240" w:lineRule="auto"/>
    </w:pPr>
    <w:rPr>
      <w:rFonts w:ascii="Times New Roman" w:eastAsia="MS Mincho" w:hAnsi="Times New Roman"/>
      <w:lang w:val="x-none" w:eastAsia="x-none"/>
    </w:rPr>
  </w:style>
  <w:style w:type="character" w:customStyle="1" w:styleId="CommentTextChar">
    <w:name w:val="Comment Text Char"/>
    <w:link w:val="CommentText"/>
    <w:uiPriority w:val="99"/>
    <w:semiHidden/>
    <w:rsid w:val="00B908B0"/>
    <w:rPr>
      <w:rFonts w:ascii="Times New Roman" w:eastAsia="MS Mincho"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B908B0"/>
    <w:rPr>
      <w:b/>
      <w:bCs/>
      <w:sz w:val="20"/>
      <w:szCs w:val="20"/>
    </w:rPr>
  </w:style>
  <w:style w:type="character" w:customStyle="1" w:styleId="CommentSubjectChar">
    <w:name w:val="Comment Subject Char"/>
    <w:link w:val="CommentSubject"/>
    <w:uiPriority w:val="99"/>
    <w:semiHidden/>
    <w:rsid w:val="00B908B0"/>
    <w:rPr>
      <w:rFonts w:ascii="Times New Roman" w:eastAsia="MS Mincho" w:hAnsi="Times New Roman" w:cs="Times New Roman"/>
      <w:b/>
      <w:bCs/>
      <w:sz w:val="20"/>
      <w:szCs w:val="20"/>
    </w:rPr>
  </w:style>
  <w:style w:type="paragraph" w:customStyle="1" w:styleId="Table">
    <w:name w:val="Table"/>
    <w:basedOn w:val="Normal"/>
    <w:qFormat/>
    <w:rsid w:val="00B908B0"/>
    <w:pPr>
      <w:spacing w:before="240" w:after="240" w:line="240" w:lineRule="auto"/>
    </w:pPr>
    <w:rPr>
      <w:rFonts w:ascii="Times New Roman" w:hAnsi="Times New Roman"/>
    </w:rPr>
  </w:style>
  <w:style w:type="paragraph" w:customStyle="1" w:styleId="Figure">
    <w:name w:val="Figure"/>
    <w:basedOn w:val="Normal"/>
    <w:qFormat/>
    <w:rsid w:val="00B908B0"/>
    <w:pPr>
      <w:spacing w:before="200" w:after="240" w:line="240" w:lineRule="auto"/>
    </w:pPr>
  </w:style>
  <w:style w:type="paragraph" w:styleId="ListParagraph">
    <w:name w:val="List Paragraph"/>
    <w:basedOn w:val="Normal"/>
    <w:qFormat/>
    <w:rsid w:val="00B908B0"/>
    <w:pPr>
      <w:ind w:left="720"/>
      <w:contextualSpacing/>
    </w:pPr>
    <w:rPr>
      <w:rFonts w:ascii="Times New Roman" w:eastAsia="Times New Roman" w:hAnsi="Times New Roman" w:cs="Arial"/>
    </w:rPr>
  </w:style>
  <w:style w:type="paragraph" w:styleId="NormalWeb">
    <w:name w:val="Normal (Web)"/>
    <w:basedOn w:val="Normal"/>
    <w:uiPriority w:val="99"/>
    <w:rsid w:val="00B908B0"/>
    <w:pPr>
      <w:spacing w:beforeLines="1"/>
    </w:pPr>
    <w:rPr>
      <w:rFonts w:eastAsia="Cambria"/>
    </w:rPr>
  </w:style>
  <w:style w:type="paragraph" w:styleId="Revision">
    <w:name w:val="Revision"/>
    <w:hidden/>
    <w:uiPriority w:val="99"/>
    <w:semiHidden/>
    <w:rsid w:val="00B908B0"/>
    <w:rPr>
      <w:rFonts w:ascii="Times" w:hAnsi="Times" w:cs="Times New Roman"/>
      <w:sz w:val="24"/>
      <w:szCs w:val="24"/>
    </w:rPr>
  </w:style>
  <w:style w:type="paragraph" w:styleId="TOCHeading">
    <w:name w:val="TOC Heading"/>
    <w:basedOn w:val="Heading1"/>
    <w:next w:val="Normal"/>
    <w:uiPriority w:val="39"/>
    <w:unhideWhenUsed/>
    <w:qFormat/>
    <w:rsid w:val="00B908B0"/>
    <w:pPr>
      <w:keepLines/>
      <w:widowControl/>
      <w:suppressAutoHyphens w:val="0"/>
      <w:spacing w:before="480" w:after="0" w:line="276" w:lineRule="auto"/>
      <w:jc w:val="left"/>
      <w:outlineLvl w:val="9"/>
    </w:pPr>
    <w:rPr>
      <w:rFonts w:ascii="Cambria" w:hAnsi="Cambria"/>
      <w:color w:val="365F91"/>
      <w:kern w:val="0"/>
      <w:sz w:val="28"/>
      <w:szCs w:val="28"/>
    </w:rPr>
  </w:style>
  <w:style w:type="paragraph" w:styleId="TOC1">
    <w:name w:val="toc 1"/>
    <w:basedOn w:val="Normal"/>
    <w:next w:val="Normal"/>
    <w:autoRedefine/>
    <w:uiPriority w:val="39"/>
    <w:unhideWhenUsed/>
    <w:qFormat/>
    <w:rsid w:val="00B82C76"/>
    <w:pPr>
      <w:tabs>
        <w:tab w:val="left" w:pos="720"/>
        <w:tab w:val="right" w:leader="dot" w:pos="9350"/>
      </w:tabs>
      <w:spacing w:before="360" w:line="240" w:lineRule="auto"/>
    </w:pPr>
    <w:rPr>
      <w:rFonts w:ascii="Times New Roman" w:hAnsi="Times New Roman"/>
      <w:b/>
      <w:bCs/>
      <w:caps/>
    </w:rPr>
  </w:style>
  <w:style w:type="paragraph" w:styleId="TOC2">
    <w:name w:val="toc 2"/>
    <w:basedOn w:val="Normal"/>
    <w:next w:val="Normal"/>
    <w:autoRedefine/>
    <w:uiPriority w:val="39"/>
    <w:unhideWhenUsed/>
    <w:qFormat/>
    <w:rsid w:val="00DF5308"/>
    <w:pPr>
      <w:spacing w:before="240"/>
      <w:ind w:left="720"/>
    </w:pPr>
    <w:rPr>
      <w:rFonts w:ascii="Times New Roman" w:hAnsi="Times New Roman" w:cs="Calibri"/>
      <w:b/>
      <w:bCs/>
      <w:sz w:val="20"/>
      <w:szCs w:val="20"/>
    </w:rPr>
  </w:style>
  <w:style w:type="paragraph" w:styleId="TOC3">
    <w:name w:val="toc 3"/>
    <w:basedOn w:val="Normal"/>
    <w:next w:val="Normal"/>
    <w:autoRedefine/>
    <w:uiPriority w:val="39"/>
    <w:unhideWhenUsed/>
    <w:qFormat/>
    <w:rsid w:val="00DF5308"/>
    <w:pPr>
      <w:ind w:left="1440"/>
    </w:pPr>
    <w:rPr>
      <w:rFonts w:ascii="Times New Roman" w:hAnsi="Times New Roman" w:cs="Calibri"/>
      <w:sz w:val="20"/>
      <w:szCs w:val="20"/>
    </w:rPr>
  </w:style>
  <w:style w:type="paragraph" w:styleId="TableofFigures">
    <w:name w:val="table of figures"/>
    <w:basedOn w:val="Normal"/>
    <w:next w:val="Normal"/>
    <w:uiPriority w:val="99"/>
    <w:unhideWhenUsed/>
    <w:rsid w:val="00B908B0"/>
    <w:pPr>
      <w:ind w:left="1296" w:hanging="1296"/>
    </w:pPr>
  </w:style>
  <w:style w:type="paragraph" w:customStyle="1" w:styleId="Ref">
    <w:name w:val="Ref"/>
    <w:basedOn w:val="ListParagraph"/>
    <w:qFormat/>
    <w:rsid w:val="00B908B0"/>
    <w:pPr>
      <w:spacing w:before="360" w:after="360" w:line="240" w:lineRule="auto"/>
      <w:ind w:hanging="720"/>
      <w:contextualSpacing w:val="0"/>
    </w:pPr>
  </w:style>
  <w:style w:type="paragraph" w:styleId="TOC4">
    <w:name w:val="toc 4"/>
    <w:basedOn w:val="Normal"/>
    <w:next w:val="Normal"/>
    <w:autoRedefine/>
    <w:uiPriority w:val="39"/>
    <w:unhideWhenUsed/>
    <w:rsid w:val="00DF5308"/>
    <w:pPr>
      <w:ind w:left="2160"/>
    </w:pPr>
    <w:rPr>
      <w:rFonts w:ascii="Times New Roman" w:hAnsi="Times New Roman" w:cs="Calibri"/>
      <w:sz w:val="20"/>
      <w:szCs w:val="20"/>
    </w:rPr>
  </w:style>
  <w:style w:type="paragraph" w:styleId="TOC5">
    <w:name w:val="toc 5"/>
    <w:basedOn w:val="Normal"/>
    <w:next w:val="Normal"/>
    <w:autoRedefine/>
    <w:uiPriority w:val="39"/>
    <w:unhideWhenUsed/>
    <w:rsid w:val="00DF5308"/>
    <w:pPr>
      <w:ind w:left="2448"/>
    </w:pPr>
    <w:rPr>
      <w:rFonts w:ascii="Times New Roman" w:hAnsi="Times New Roman" w:cs="Calibri"/>
      <w:sz w:val="20"/>
      <w:szCs w:val="20"/>
    </w:rPr>
  </w:style>
  <w:style w:type="paragraph" w:styleId="TOC6">
    <w:name w:val="toc 6"/>
    <w:basedOn w:val="Normal"/>
    <w:next w:val="Normal"/>
    <w:autoRedefine/>
    <w:uiPriority w:val="39"/>
    <w:unhideWhenUsed/>
    <w:rsid w:val="00DF5308"/>
    <w:pPr>
      <w:ind w:left="2880"/>
    </w:pPr>
    <w:rPr>
      <w:rFonts w:ascii="Times New Roman" w:hAnsi="Times New Roman" w:cs="Calibri"/>
      <w:sz w:val="20"/>
      <w:szCs w:val="20"/>
    </w:rPr>
  </w:style>
  <w:style w:type="paragraph" w:styleId="TOC7">
    <w:name w:val="toc 7"/>
    <w:basedOn w:val="Normal"/>
    <w:next w:val="Normal"/>
    <w:autoRedefine/>
    <w:uiPriority w:val="39"/>
    <w:unhideWhenUsed/>
    <w:rsid w:val="00B908B0"/>
    <w:pPr>
      <w:ind w:left="1200"/>
    </w:pPr>
    <w:rPr>
      <w:rFonts w:ascii="Calibri" w:hAnsi="Calibri" w:cs="Calibri"/>
      <w:sz w:val="20"/>
      <w:szCs w:val="20"/>
    </w:rPr>
  </w:style>
  <w:style w:type="paragraph" w:styleId="TOC8">
    <w:name w:val="toc 8"/>
    <w:basedOn w:val="Normal"/>
    <w:next w:val="Normal"/>
    <w:autoRedefine/>
    <w:uiPriority w:val="39"/>
    <w:unhideWhenUsed/>
    <w:rsid w:val="00B908B0"/>
    <w:pPr>
      <w:ind w:left="1440"/>
    </w:pPr>
    <w:rPr>
      <w:rFonts w:ascii="Calibri" w:hAnsi="Calibri" w:cs="Calibri"/>
      <w:sz w:val="20"/>
      <w:szCs w:val="20"/>
    </w:rPr>
  </w:style>
  <w:style w:type="paragraph" w:styleId="TOC9">
    <w:name w:val="toc 9"/>
    <w:basedOn w:val="Normal"/>
    <w:next w:val="Normal"/>
    <w:autoRedefine/>
    <w:uiPriority w:val="39"/>
    <w:unhideWhenUsed/>
    <w:rsid w:val="00B908B0"/>
    <w:pPr>
      <w:ind w:left="1680"/>
    </w:pPr>
    <w:rPr>
      <w:rFonts w:ascii="Calibri" w:hAnsi="Calibri" w:cs="Calibri"/>
      <w:sz w:val="20"/>
      <w:szCs w:val="20"/>
    </w:rPr>
  </w:style>
  <w:style w:type="paragraph" w:customStyle="1" w:styleId="APPENDIX">
    <w:name w:val="APPENDIX"/>
    <w:basedOn w:val="Heading1"/>
    <w:qFormat/>
    <w:rsid w:val="00B908B0"/>
  </w:style>
  <w:style w:type="character" w:customStyle="1" w:styleId="DocumentMapChar">
    <w:name w:val="Document Map Char"/>
    <w:link w:val="DocumentMap"/>
    <w:uiPriority w:val="99"/>
    <w:semiHidden/>
    <w:rsid w:val="00B908B0"/>
    <w:rPr>
      <w:rFonts w:ascii="Lucida Grande" w:hAnsi="Lucida Grande" w:cs="Lucida Grande"/>
      <w:sz w:val="24"/>
      <w:szCs w:val="24"/>
    </w:rPr>
  </w:style>
  <w:style w:type="paragraph" w:styleId="DocumentMap">
    <w:name w:val="Document Map"/>
    <w:basedOn w:val="Normal"/>
    <w:link w:val="DocumentMapChar"/>
    <w:uiPriority w:val="99"/>
    <w:semiHidden/>
    <w:unhideWhenUsed/>
    <w:rsid w:val="00B908B0"/>
    <w:pPr>
      <w:spacing w:line="240" w:lineRule="auto"/>
    </w:pPr>
    <w:rPr>
      <w:rFonts w:ascii="Lucida Grande" w:hAnsi="Lucida Grande"/>
      <w:lang w:val="x-none" w:eastAsia="x-none"/>
    </w:rPr>
  </w:style>
  <w:style w:type="paragraph" w:customStyle="1" w:styleId="ChapterHead">
    <w:name w:val="ChapterHead"/>
    <w:basedOn w:val="Normal"/>
    <w:qFormat/>
    <w:rsid w:val="009058D5"/>
    <w:pPr>
      <w:spacing w:after="240" w:line="240" w:lineRule="auto"/>
      <w:ind w:left="720"/>
      <w:jc w:val="center"/>
    </w:pPr>
    <w:rPr>
      <w:b/>
    </w:rPr>
  </w:style>
  <w:style w:type="paragraph" w:customStyle="1" w:styleId="11Heading">
    <w:name w:val="1.1 Heading"/>
    <w:basedOn w:val="Normal"/>
    <w:qFormat/>
    <w:rsid w:val="00252D0D"/>
    <w:pPr>
      <w:spacing w:before="240" w:after="240" w:line="240" w:lineRule="auto"/>
      <w:ind w:left="720"/>
    </w:pPr>
    <w:rPr>
      <w:b/>
    </w:rPr>
  </w:style>
  <w:style w:type="paragraph" w:customStyle="1" w:styleId="111Heading">
    <w:name w:val="1.1.1 Heading"/>
    <w:basedOn w:val="Normal"/>
    <w:qFormat/>
    <w:rsid w:val="00252D0D"/>
    <w:pPr>
      <w:spacing w:before="240" w:after="240" w:line="240" w:lineRule="auto"/>
      <w:ind w:left="720"/>
    </w:pPr>
    <w:rPr>
      <w:b/>
    </w:rPr>
  </w:style>
  <w:style w:type="paragraph" w:customStyle="1" w:styleId="TableHead">
    <w:name w:val="TableHead"/>
    <w:basedOn w:val="Normal"/>
    <w:qFormat/>
    <w:rsid w:val="009058D5"/>
    <w:pPr>
      <w:spacing w:after="240" w:line="240" w:lineRule="auto"/>
      <w:ind w:left="720"/>
    </w:pPr>
    <w:rPr>
      <w:b/>
    </w:rPr>
  </w:style>
  <w:style w:type="paragraph" w:customStyle="1" w:styleId="FigureHead">
    <w:name w:val="Figure Head"/>
    <w:basedOn w:val="Normal"/>
    <w:qFormat/>
    <w:rsid w:val="009058D5"/>
    <w:pPr>
      <w:spacing w:after="240" w:line="240" w:lineRule="auto"/>
      <w:ind w:left="720"/>
    </w:pPr>
    <w:rPr>
      <w:b/>
    </w:rPr>
  </w:style>
  <w:style w:type="paragraph" w:customStyle="1" w:styleId="1111Heading">
    <w:name w:val="1.1.1.1 Heading"/>
    <w:basedOn w:val="Heading5"/>
    <w:qFormat/>
    <w:rsid w:val="00252D0D"/>
    <w:pPr>
      <w:spacing w:before="240" w:after="240"/>
      <w:ind w:left="720"/>
    </w:pPr>
    <w:rPr>
      <w:rFonts w:ascii="Times New Roman" w:hAnsi="Times New Roman"/>
      <w:b/>
      <w:i/>
      <w:color w:val="auto"/>
    </w:rPr>
  </w:style>
  <w:style w:type="paragraph" w:customStyle="1" w:styleId="11111Heading">
    <w:name w:val="1.1.1.1.1 Heading"/>
    <w:basedOn w:val="1111Heading"/>
    <w:qFormat/>
    <w:rsid w:val="00252D0D"/>
    <w:rPr>
      <w:b w:val="0"/>
    </w:rPr>
  </w:style>
  <w:style w:type="paragraph" w:customStyle="1" w:styleId="FrontMatter">
    <w:name w:val="FrontMatter"/>
    <w:basedOn w:val="ChapterHead"/>
    <w:qFormat/>
    <w:rsid w:val="00DC5072"/>
  </w:style>
  <w:style w:type="paragraph" w:customStyle="1" w:styleId="Notes">
    <w:name w:val="Notes"/>
    <w:basedOn w:val="Normal"/>
    <w:qFormat/>
    <w:rsid w:val="00E32B23"/>
    <w:pPr>
      <w:spacing w:before="240" w:after="240" w:line="240" w:lineRule="auto"/>
      <w:ind w:left="1440" w:hanging="720"/>
    </w:pPr>
    <w:rPr>
      <w:rFonts w:ascii="Times New Roman" w:hAnsi="Times New Roman"/>
      <w:noProof/>
    </w:rPr>
  </w:style>
  <w:style w:type="paragraph" w:customStyle="1" w:styleId="Appendix0">
    <w:name w:val="Appendix"/>
    <w:basedOn w:val="ChapterHead"/>
    <w:qFormat/>
    <w:rsid w:val="00466BBF"/>
  </w:style>
  <w:style w:type="character" w:customStyle="1" w:styleId="CommentTextChar2">
    <w:name w:val="Comment Text Char2"/>
    <w:uiPriority w:val="99"/>
    <w:rsid w:val="00CF6764"/>
    <w:rPr>
      <w:rFonts w:eastAsia="MS Mincho" w:cs="Times New Roman"/>
      <w:kern w:val="1"/>
      <w:sz w:val="20"/>
      <w:szCs w:val="20"/>
      <w:lang w:eastAsia="zh-CN"/>
    </w:rPr>
  </w:style>
  <w:style w:type="character" w:customStyle="1" w:styleId="apple-converted-space">
    <w:name w:val="apple-converted-space"/>
    <w:basedOn w:val="DefaultParagraphFont"/>
    <w:rsid w:val="00A55F52"/>
  </w:style>
  <w:style w:type="character" w:styleId="Strong">
    <w:name w:val="Strong"/>
    <w:basedOn w:val="DefaultParagraphFont"/>
    <w:uiPriority w:val="22"/>
    <w:qFormat/>
    <w:rsid w:val="00DC1A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emf"/><Relationship Id="rId20" Type="http://schemas.openxmlformats.org/officeDocument/2006/relationships/image" Target="media/image12.emf"/><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image" Target="media/image2.emf"/><Relationship Id="rId11" Type="http://schemas.openxmlformats.org/officeDocument/2006/relationships/image" Target="media/image3.emf"/><Relationship Id="rId12" Type="http://schemas.openxmlformats.org/officeDocument/2006/relationships/image" Target="media/image4.emf"/><Relationship Id="rId13" Type="http://schemas.openxmlformats.org/officeDocument/2006/relationships/image" Target="media/image5.emf"/><Relationship Id="rId14" Type="http://schemas.openxmlformats.org/officeDocument/2006/relationships/image" Target="media/image6.emf"/><Relationship Id="rId15" Type="http://schemas.openxmlformats.org/officeDocument/2006/relationships/image" Target="media/image7.emf"/><Relationship Id="rId16" Type="http://schemas.openxmlformats.org/officeDocument/2006/relationships/image" Target="media/image8.emf"/><Relationship Id="rId17" Type="http://schemas.openxmlformats.org/officeDocument/2006/relationships/image" Target="media/image9.emf"/><Relationship Id="rId18" Type="http://schemas.openxmlformats.org/officeDocument/2006/relationships/image" Target="media/image10.emf"/><Relationship Id="rId19" Type="http://schemas.openxmlformats.org/officeDocument/2006/relationships/image" Target="media/image11.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FEA6D-4A3D-4D4C-8843-979D344C3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1765</Words>
  <Characters>10063</Characters>
  <Application>Microsoft Macintosh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11805</CharactersWithSpaces>
  <SharedDoc>false</SharedDoc>
  <HLinks>
    <vt:vector size="390" baseType="variant">
      <vt:variant>
        <vt:i4>4522041</vt:i4>
      </vt:variant>
      <vt:variant>
        <vt:i4>332</vt:i4>
      </vt:variant>
      <vt:variant>
        <vt:i4>0</vt:i4>
      </vt:variant>
      <vt:variant>
        <vt:i4>5</vt:i4>
      </vt:variant>
      <vt:variant>
        <vt:lpwstr/>
      </vt:variant>
      <vt:variant>
        <vt:lpwstr>_ENREF_42</vt:lpwstr>
      </vt:variant>
      <vt:variant>
        <vt:i4>4522041</vt:i4>
      </vt:variant>
      <vt:variant>
        <vt:i4>324</vt:i4>
      </vt:variant>
      <vt:variant>
        <vt:i4>0</vt:i4>
      </vt:variant>
      <vt:variant>
        <vt:i4>5</vt:i4>
      </vt:variant>
      <vt:variant>
        <vt:lpwstr/>
      </vt:variant>
      <vt:variant>
        <vt:lpwstr>_ENREF_42</vt:lpwstr>
      </vt:variant>
      <vt:variant>
        <vt:i4>4522041</vt:i4>
      </vt:variant>
      <vt:variant>
        <vt:i4>316</vt:i4>
      </vt:variant>
      <vt:variant>
        <vt:i4>0</vt:i4>
      </vt:variant>
      <vt:variant>
        <vt:i4>5</vt:i4>
      </vt:variant>
      <vt:variant>
        <vt:lpwstr/>
      </vt:variant>
      <vt:variant>
        <vt:lpwstr>_ENREF_42</vt:lpwstr>
      </vt:variant>
      <vt:variant>
        <vt:i4>4522042</vt:i4>
      </vt:variant>
      <vt:variant>
        <vt:i4>308</vt:i4>
      </vt:variant>
      <vt:variant>
        <vt:i4>0</vt:i4>
      </vt:variant>
      <vt:variant>
        <vt:i4>5</vt:i4>
      </vt:variant>
      <vt:variant>
        <vt:lpwstr/>
      </vt:variant>
      <vt:variant>
        <vt:lpwstr>_ENREF_41</vt:lpwstr>
      </vt:variant>
      <vt:variant>
        <vt:i4>4325433</vt:i4>
      </vt:variant>
      <vt:variant>
        <vt:i4>302</vt:i4>
      </vt:variant>
      <vt:variant>
        <vt:i4>0</vt:i4>
      </vt:variant>
      <vt:variant>
        <vt:i4>5</vt:i4>
      </vt:variant>
      <vt:variant>
        <vt:lpwstr/>
      </vt:variant>
      <vt:variant>
        <vt:lpwstr>_ENREF_32</vt:lpwstr>
      </vt:variant>
      <vt:variant>
        <vt:i4>4522041</vt:i4>
      </vt:variant>
      <vt:variant>
        <vt:i4>296</vt:i4>
      </vt:variant>
      <vt:variant>
        <vt:i4>0</vt:i4>
      </vt:variant>
      <vt:variant>
        <vt:i4>5</vt:i4>
      </vt:variant>
      <vt:variant>
        <vt:lpwstr/>
      </vt:variant>
      <vt:variant>
        <vt:lpwstr>_ENREF_42</vt:lpwstr>
      </vt:variant>
      <vt:variant>
        <vt:i4>4522042</vt:i4>
      </vt:variant>
      <vt:variant>
        <vt:i4>293</vt:i4>
      </vt:variant>
      <vt:variant>
        <vt:i4>0</vt:i4>
      </vt:variant>
      <vt:variant>
        <vt:i4>5</vt:i4>
      </vt:variant>
      <vt:variant>
        <vt:lpwstr/>
      </vt:variant>
      <vt:variant>
        <vt:lpwstr>_ENREF_41</vt:lpwstr>
      </vt:variant>
      <vt:variant>
        <vt:i4>4522043</vt:i4>
      </vt:variant>
      <vt:variant>
        <vt:i4>285</vt:i4>
      </vt:variant>
      <vt:variant>
        <vt:i4>0</vt:i4>
      </vt:variant>
      <vt:variant>
        <vt:i4>5</vt:i4>
      </vt:variant>
      <vt:variant>
        <vt:lpwstr/>
      </vt:variant>
      <vt:variant>
        <vt:lpwstr>_ENREF_40</vt:lpwstr>
      </vt:variant>
      <vt:variant>
        <vt:i4>4325426</vt:i4>
      </vt:variant>
      <vt:variant>
        <vt:i4>277</vt:i4>
      </vt:variant>
      <vt:variant>
        <vt:i4>0</vt:i4>
      </vt:variant>
      <vt:variant>
        <vt:i4>5</vt:i4>
      </vt:variant>
      <vt:variant>
        <vt:lpwstr/>
      </vt:variant>
      <vt:variant>
        <vt:lpwstr>_ENREF_39</vt:lpwstr>
      </vt:variant>
      <vt:variant>
        <vt:i4>4325427</vt:i4>
      </vt:variant>
      <vt:variant>
        <vt:i4>271</vt:i4>
      </vt:variant>
      <vt:variant>
        <vt:i4>0</vt:i4>
      </vt:variant>
      <vt:variant>
        <vt:i4>5</vt:i4>
      </vt:variant>
      <vt:variant>
        <vt:lpwstr/>
      </vt:variant>
      <vt:variant>
        <vt:lpwstr>_ENREF_38</vt:lpwstr>
      </vt:variant>
      <vt:variant>
        <vt:i4>4325438</vt:i4>
      </vt:variant>
      <vt:variant>
        <vt:i4>263</vt:i4>
      </vt:variant>
      <vt:variant>
        <vt:i4>0</vt:i4>
      </vt:variant>
      <vt:variant>
        <vt:i4>5</vt:i4>
      </vt:variant>
      <vt:variant>
        <vt:lpwstr/>
      </vt:variant>
      <vt:variant>
        <vt:lpwstr>_ENREF_35</vt:lpwstr>
      </vt:variant>
      <vt:variant>
        <vt:i4>4325434</vt:i4>
      </vt:variant>
      <vt:variant>
        <vt:i4>255</vt:i4>
      </vt:variant>
      <vt:variant>
        <vt:i4>0</vt:i4>
      </vt:variant>
      <vt:variant>
        <vt:i4>5</vt:i4>
      </vt:variant>
      <vt:variant>
        <vt:lpwstr/>
      </vt:variant>
      <vt:variant>
        <vt:lpwstr>_ENREF_31</vt:lpwstr>
      </vt:variant>
      <vt:variant>
        <vt:i4>4390962</vt:i4>
      </vt:variant>
      <vt:variant>
        <vt:i4>249</vt:i4>
      </vt:variant>
      <vt:variant>
        <vt:i4>0</vt:i4>
      </vt:variant>
      <vt:variant>
        <vt:i4>5</vt:i4>
      </vt:variant>
      <vt:variant>
        <vt:lpwstr/>
      </vt:variant>
      <vt:variant>
        <vt:lpwstr>_ENREF_29</vt:lpwstr>
      </vt:variant>
      <vt:variant>
        <vt:i4>4325439</vt:i4>
      </vt:variant>
      <vt:variant>
        <vt:i4>241</vt:i4>
      </vt:variant>
      <vt:variant>
        <vt:i4>0</vt:i4>
      </vt:variant>
      <vt:variant>
        <vt:i4>5</vt:i4>
      </vt:variant>
      <vt:variant>
        <vt:lpwstr/>
      </vt:variant>
      <vt:variant>
        <vt:lpwstr>_ENREF_34</vt:lpwstr>
      </vt:variant>
      <vt:variant>
        <vt:i4>4390962</vt:i4>
      </vt:variant>
      <vt:variant>
        <vt:i4>232</vt:i4>
      </vt:variant>
      <vt:variant>
        <vt:i4>0</vt:i4>
      </vt:variant>
      <vt:variant>
        <vt:i4>5</vt:i4>
      </vt:variant>
      <vt:variant>
        <vt:lpwstr/>
      </vt:variant>
      <vt:variant>
        <vt:lpwstr>_ENREF_29</vt:lpwstr>
      </vt:variant>
      <vt:variant>
        <vt:i4>4325432</vt:i4>
      </vt:variant>
      <vt:variant>
        <vt:i4>224</vt:i4>
      </vt:variant>
      <vt:variant>
        <vt:i4>0</vt:i4>
      </vt:variant>
      <vt:variant>
        <vt:i4>5</vt:i4>
      </vt:variant>
      <vt:variant>
        <vt:lpwstr/>
      </vt:variant>
      <vt:variant>
        <vt:lpwstr>_ENREF_33</vt:lpwstr>
      </vt:variant>
      <vt:variant>
        <vt:i4>4325435</vt:i4>
      </vt:variant>
      <vt:variant>
        <vt:i4>216</vt:i4>
      </vt:variant>
      <vt:variant>
        <vt:i4>0</vt:i4>
      </vt:variant>
      <vt:variant>
        <vt:i4>5</vt:i4>
      </vt:variant>
      <vt:variant>
        <vt:lpwstr/>
      </vt:variant>
      <vt:variant>
        <vt:lpwstr>_ENREF_30</vt:lpwstr>
      </vt:variant>
      <vt:variant>
        <vt:i4>4390972</vt:i4>
      </vt:variant>
      <vt:variant>
        <vt:i4>208</vt:i4>
      </vt:variant>
      <vt:variant>
        <vt:i4>0</vt:i4>
      </vt:variant>
      <vt:variant>
        <vt:i4>5</vt:i4>
      </vt:variant>
      <vt:variant>
        <vt:lpwstr/>
      </vt:variant>
      <vt:variant>
        <vt:lpwstr>_ENREF_27</vt:lpwstr>
      </vt:variant>
      <vt:variant>
        <vt:i4>4390968</vt:i4>
      </vt:variant>
      <vt:variant>
        <vt:i4>205</vt:i4>
      </vt:variant>
      <vt:variant>
        <vt:i4>0</vt:i4>
      </vt:variant>
      <vt:variant>
        <vt:i4>5</vt:i4>
      </vt:variant>
      <vt:variant>
        <vt:lpwstr/>
      </vt:variant>
      <vt:variant>
        <vt:lpwstr>_ENREF_23</vt:lpwstr>
      </vt:variant>
      <vt:variant>
        <vt:i4>4390972</vt:i4>
      </vt:variant>
      <vt:variant>
        <vt:i4>197</vt:i4>
      </vt:variant>
      <vt:variant>
        <vt:i4>0</vt:i4>
      </vt:variant>
      <vt:variant>
        <vt:i4>5</vt:i4>
      </vt:variant>
      <vt:variant>
        <vt:lpwstr/>
      </vt:variant>
      <vt:variant>
        <vt:lpwstr>_ENREF_27</vt:lpwstr>
      </vt:variant>
      <vt:variant>
        <vt:i4>4390968</vt:i4>
      </vt:variant>
      <vt:variant>
        <vt:i4>194</vt:i4>
      </vt:variant>
      <vt:variant>
        <vt:i4>0</vt:i4>
      </vt:variant>
      <vt:variant>
        <vt:i4>5</vt:i4>
      </vt:variant>
      <vt:variant>
        <vt:lpwstr/>
      </vt:variant>
      <vt:variant>
        <vt:lpwstr>_ENREF_23</vt:lpwstr>
      </vt:variant>
      <vt:variant>
        <vt:i4>4390968</vt:i4>
      </vt:variant>
      <vt:variant>
        <vt:i4>186</vt:i4>
      </vt:variant>
      <vt:variant>
        <vt:i4>0</vt:i4>
      </vt:variant>
      <vt:variant>
        <vt:i4>5</vt:i4>
      </vt:variant>
      <vt:variant>
        <vt:lpwstr/>
      </vt:variant>
      <vt:variant>
        <vt:lpwstr>_ENREF_23</vt:lpwstr>
      </vt:variant>
      <vt:variant>
        <vt:i4>4390968</vt:i4>
      </vt:variant>
      <vt:variant>
        <vt:i4>178</vt:i4>
      </vt:variant>
      <vt:variant>
        <vt:i4>0</vt:i4>
      </vt:variant>
      <vt:variant>
        <vt:i4>5</vt:i4>
      </vt:variant>
      <vt:variant>
        <vt:lpwstr/>
      </vt:variant>
      <vt:variant>
        <vt:lpwstr>_ENREF_23</vt:lpwstr>
      </vt:variant>
      <vt:variant>
        <vt:i4>4390969</vt:i4>
      </vt:variant>
      <vt:variant>
        <vt:i4>175</vt:i4>
      </vt:variant>
      <vt:variant>
        <vt:i4>0</vt:i4>
      </vt:variant>
      <vt:variant>
        <vt:i4>5</vt:i4>
      </vt:variant>
      <vt:variant>
        <vt:lpwstr/>
      </vt:variant>
      <vt:variant>
        <vt:lpwstr>_ENREF_22</vt:lpwstr>
      </vt:variant>
      <vt:variant>
        <vt:i4>4194354</vt:i4>
      </vt:variant>
      <vt:variant>
        <vt:i4>167</vt:i4>
      </vt:variant>
      <vt:variant>
        <vt:i4>0</vt:i4>
      </vt:variant>
      <vt:variant>
        <vt:i4>5</vt:i4>
      </vt:variant>
      <vt:variant>
        <vt:lpwstr/>
      </vt:variant>
      <vt:variant>
        <vt:lpwstr>_ENREF_19</vt:lpwstr>
      </vt:variant>
      <vt:variant>
        <vt:i4>4194365</vt:i4>
      </vt:variant>
      <vt:variant>
        <vt:i4>161</vt:i4>
      </vt:variant>
      <vt:variant>
        <vt:i4>0</vt:i4>
      </vt:variant>
      <vt:variant>
        <vt:i4>5</vt:i4>
      </vt:variant>
      <vt:variant>
        <vt:lpwstr/>
      </vt:variant>
      <vt:variant>
        <vt:lpwstr>_ENREF_16</vt:lpwstr>
      </vt:variant>
      <vt:variant>
        <vt:i4>4390970</vt:i4>
      </vt:variant>
      <vt:variant>
        <vt:i4>153</vt:i4>
      </vt:variant>
      <vt:variant>
        <vt:i4>0</vt:i4>
      </vt:variant>
      <vt:variant>
        <vt:i4>5</vt:i4>
      </vt:variant>
      <vt:variant>
        <vt:lpwstr/>
      </vt:variant>
      <vt:variant>
        <vt:lpwstr>_ENREF_21</vt:lpwstr>
      </vt:variant>
      <vt:variant>
        <vt:i4>4194354</vt:i4>
      </vt:variant>
      <vt:variant>
        <vt:i4>145</vt:i4>
      </vt:variant>
      <vt:variant>
        <vt:i4>0</vt:i4>
      </vt:variant>
      <vt:variant>
        <vt:i4>5</vt:i4>
      </vt:variant>
      <vt:variant>
        <vt:lpwstr/>
      </vt:variant>
      <vt:variant>
        <vt:lpwstr>_ENREF_19</vt:lpwstr>
      </vt:variant>
      <vt:variant>
        <vt:i4>4390971</vt:i4>
      </vt:variant>
      <vt:variant>
        <vt:i4>139</vt:i4>
      </vt:variant>
      <vt:variant>
        <vt:i4>0</vt:i4>
      </vt:variant>
      <vt:variant>
        <vt:i4>5</vt:i4>
      </vt:variant>
      <vt:variant>
        <vt:lpwstr/>
      </vt:variant>
      <vt:variant>
        <vt:lpwstr>_ENREF_20</vt:lpwstr>
      </vt:variant>
      <vt:variant>
        <vt:i4>4784139</vt:i4>
      </vt:variant>
      <vt:variant>
        <vt:i4>133</vt:i4>
      </vt:variant>
      <vt:variant>
        <vt:i4>0</vt:i4>
      </vt:variant>
      <vt:variant>
        <vt:i4>5</vt:i4>
      </vt:variant>
      <vt:variant>
        <vt:lpwstr/>
      </vt:variant>
      <vt:variant>
        <vt:lpwstr>_ENREF_8</vt:lpwstr>
      </vt:variant>
      <vt:variant>
        <vt:i4>4456459</vt:i4>
      </vt:variant>
      <vt:variant>
        <vt:i4>127</vt:i4>
      </vt:variant>
      <vt:variant>
        <vt:i4>0</vt:i4>
      </vt:variant>
      <vt:variant>
        <vt:i4>5</vt:i4>
      </vt:variant>
      <vt:variant>
        <vt:lpwstr/>
      </vt:variant>
      <vt:variant>
        <vt:lpwstr>_ENREF_5</vt:lpwstr>
      </vt:variant>
      <vt:variant>
        <vt:i4>4521995</vt:i4>
      </vt:variant>
      <vt:variant>
        <vt:i4>121</vt:i4>
      </vt:variant>
      <vt:variant>
        <vt:i4>0</vt:i4>
      </vt:variant>
      <vt:variant>
        <vt:i4>5</vt:i4>
      </vt:variant>
      <vt:variant>
        <vt:lpwstr/>
      </vt:variant>
      <vt:variant>
        <vt:lpwstr>_ENREF_4</vt:lpwstr>
      </vt:variant>
      <vt:variant>
        <vt:i4>4194354</vt:i4>
      </vt:variant>
      <vt:variant>
        <vt:i4>115</vt:i4>
      </vt:variant>
      <vt:variant>
        <vt:i4>0</vt:i4>
      </vt:variant>
      <vt:variant>
        <vt:i4>5</vt:i4>
      </vt:variant>
      <vt:variant>
        <vt:lpwstr/>
      </vt:variant>
      <vt:variant>
        <vt:lpwstr>_ENREF_19</vt:lpwstr>
      </vt:variant>
      <vt:variant>
        <vt:i4>4194355</vt:i4>
      </vt:variant>
      <vt:variant>
        <vt:i4>109</vt:i4>
      </vt:variant>
      <vt:variant>
        <vt:i4>0</vt:i4>
      </vt:variant>
      <vt:variant>
        <vt:i4>5</vt:i4>
      </vt:variant>
      <vt:variant>
        <vt:lpwstr/>
      </vt:variant>
      <vt:variant>
        <vt:lpwstr>_ENREF_18</vt:lpwstr>
      </vt:variant>
      <vt:variant>
        <vt:i4>4194364</vt:i4>
      </vt:variant>
      <vt:variant>
        <vt:i4>103</vt:i4>
      </vt:variant>
      <vt:variant>
        <vt:i4>0</vt:i4>
      </vt:variant>
      <vt:variant>
        <vt:i4>5</vt:i4>
      </vt:variant>
      <vt:variant>
        <vt:lpwstr/>
      </vt:variant>
      <vt:variant>
        <vt:lpwstr>_ENREF_17</vt:lpwstr>
      </vt:variant>
      <vt:variant>
        <vt:i4>4194361</vt:i4>
      </vt:variant>
      <vt:variant>
        <vt:i4>100</vt:i4>
      </vt:variant>
      <vt:variant>
        <vt:i4>0</vt:i4>
      </vt:variant>
      <vt:variant>
        <vt:i4>5</vt:i4>
      </vt:variant>
      <vt:variant>
        <vt:lpwstr/>
      </vt:variant>
      <vt:variant>
        <vt:lpwstr>_ENREF_12</vt:lpwstr>
      </vt:variant>
      <vt:variant>
        <vt:i4>4194365</vt:i4>
      </vt:variant>
      <vt:variant>
        <vt:i4>92</vt:i4>
      </vt:variant>
      <vt:variant>
        <vt:i4>0</vt:i4>
      </vt:variant>
      <vt:variant>
        <vt:i4>5</vt:i4>
      </vt:variant>
      <vt:variant>
        <vt:lpwstr/>
      </vt:variant>
      <vt:variant>
        <vt:lpwstr>_ENREF_16</vt:lpwstr>
      </vt:variant>
      <vt:variant>
        <vt:i4>4194360</vt:i4>
      </vt:variant>
      <vt:variant>
        <vt:i4>84</vt:i4>
      </vt:variant>
      <vt:variant>
        <vt:i4>0</vt:i4>
      </vt:variant>
      <vt:variant>
        <vt:i4>5</vt:i4>
      </vt:variant>
      <vt:variant>
        <vt:lpwstr/>
      </vt:variant>
      <vt:variant>
        <vt:lpwstr>_ENREF_13</vt:lpwstr>
      </vt:variant>
      <vt:variant>
        <vt:i4>4194360</vt:i4>
      </vt:variant>
      <vt:variant>
        <vt:i4>76</vt:i4>
      </vt:variant>
      <vt:variant>
        <vt:i4>0</vt:i4>
      </vt:variant>
      <vt:variant>
        <vt:i4>5</vt:i4>
      </vt:variant>
      <vt:variant>
        <vt:lpwstr/>
      </vt:variant>
      <vt:variant>
        <vt:lpwstr>_ENREF_13</vt:lpwstr>
      </vt:variant>
      <vt:variant>
        <vt:i4>4194361</vt:i4>
      </vt:variant>
      <vt:variant>
        <vt:i4>70</vt:i4>
      </vt:variant>
      <vt:variant>
        <vt:i4>0</vt:i4>
      </vt:variant>
      <vt:variant>
        <vt:i4>5</vt:i4>
      </vt:variant>
      <vt:variant>
        <vt:lpwstr/>
      </vt:variant>
      <vt:variant>
        <vt:lpwstr>_ENREF_12</vt:lpwstr>
      </vt:variant>
      <vt:variant>
        <vt:i4>4194362</vt:i4>
      </vt:variant>
      <vt:variant>
        <vt:i4>67</vt:i4>
      </vt:variant>
      <vt:variant>
        <vt:i4>0</vt:i4>
      </vt:variant>
      <vt:variant>
        <vt:i4>5</vt:i4>
      </vt:variant>
      <vt:variant>
        <vt:lpwstr/>
      </vt:variant>
      <vt:variant>
        <vt:lpwstr>_ENREF_11</vt:lpwstr>
      </vt:variant>
      <vt:variant>
        <vt:i4>4456459</vt:i4>
      </vt:variant>
      <vt:variant>
        <vt:i4>64</vt:i4>
      </vt:variant>
      <vt:variant>
        <vt:i4>0</vt:i4>
      </vt:variant>
      <vt:variant>
        <vt:i4>5</vt:i4>
      </vt:variant>
      <vt:variant>
        <vt:lpwstr/>
      </vt:variant>
      <vt:variant>
        <vt:lpwstr>_ENREF_5</vt:lpwstr>
      </vt:variant>
      <vt:variant>
        <vt:i4>4194363</vt:i4>
      </vt:variant>
      <vt:variant>
        <vt:i4>56</vt:i4>
      </vt:variant>
      <vt:variant>
        <vt:i4>0</vt:i4>
      </vt:variant>
      <vt:variant>
        <vt:i4>5</vt:i4>
      </vt:variant>
      <vt:variant>
        <vt:lpwstr/>
      </vt:variant>
      <vt:variant>
        <vt:lpwstr>_ENREF_10</vt:lpwstr>
      </vt:variant>
      <vt:variant>
        <vt:i4>4718603</vt:i4>
      </vt:variant>
      <vt:variant>
        <vt:i4>50</vt:i4>
      </vt:variant>
      <vt:variant>
        <vt:i4>0</vt:i4>
      </vt:variant>
      <vt:variant>
        <vt:i4>5</vt:i4>
      </vt:variant>
      <vt:variant>
        <vt:lpwstr/>
      </vt:variant>
      <vt:variant>
        <vt:lpwstr>_ENREF_9</vt:lpwstr>
      </vt:variant>
      <vt:variant>
        <vt:i4>4784139</vt:i4>
      </vt:variant>
      <vt:variant>
        <vt:i4>47</vt:i4>
      </vt:variant>
      <vt:variant>
        <vt:i4>0</vt:i4>
      </vt:variant>
      <vt:variant>
        <vt:i4>5</vt:i4>
      </vt:variant>
      <vt:variant>
        <vt:lpwstr/>
      </vt:variant>
      <vt:variant>
        <vt:lpwstr>_ENREF_8</vt:lpwstr>
      </vt:variant>
      <vt:variant>
        <vt:i4>4587531</vt:i4>
      </vt:variant>
      <vt:variant>
        <vt:i4>39</vt:i4>
      </vt:variant>
      <vt:variant>
        <vt:i4>0</vt:i4>
      </vt:variant>
      <vt:variant>
        <vt:i4>5</vt:i4>
      </vt:variant>
      <vt:variant>
        <vt:lpwstr/>
      </vt:variant>
      <vt:variant>
        <vt:lpwstr>_ENREF_7</vt:lpwstr>
      </vt:variant>
      <vt:variant>
        <vt:i4>4653067</vt:i4>
      </vt:variant>
      <vt:variant>
        <vt:i4>36</vt:i4>
      </vt:variant>
      <vt:variant>
        <vt:i4>0</vt:i4>
      </vt:variant>
      <vt:variant>
        <vt:i4>5</vt:i4>
      </vt:variant>
      <vt:variant>
        <vt:lpwstr/>
      </vt:variant>
      <vt:variant>
        <vt:lpwstr>_ENREF_6</vt:lpwstr>
      </vt:variant>
      <vt:variant>
        <vt:i4>4653067</vt:i4>
      </vt:variant>
      <vt:variant>
        <vt:i4>28</vt:i4>
      </vt:variant>
      <vt:variant>
        <vt:i4>0</vt:i4>
      </vt:variant>
      <vt:variant>
        <vt:i4>5</vt:i4>
      </vt:variant>
      <vt:variant>
        <vt:lpwstr/>
      </vt:variant>
      <vt:variant>
        <vt:lpwstr>_ENREF_6</vt:lpwstr>
      </vt:variant>
      <vt:variant>
        <vt:i4>4456459</vt:i4>
      </vt:variant>
      <vt:variant>
        <vt:i4>22</vt:i4>
      </vt:variant>
      <vt:variant>
        <vt:i4>0</vt:i4>
      </vt:variant>
      <vt:variant>
        <vt:i4>5</vt:i4>
      </vt:variant>
      <vt:variant>
        <vt:lpwstr/>
      </vt:variant>
      <vt:variant>
        <vt:lpwstr>_ENREF_5</vt:lpwstr>
      </vt:variant>
      <vt:variant>
        <vt:i4>4521995</vt:i4>
      </vt:variant>
      <vt:variant>
        <vt:i4>19</vt:i4>
      </vt:variant>
      <vt:variant>
        <vt:i4>0</vt:i4>
      </vt:variant>
      <vt:variant>
        <vt:i4>5</vt:i4>
      </vt:variant>
      <vt:variant>
        <vt:lpwstr/>
      </vt:variant>
      <vt:variant>
        <vt:lpwstr>_ENREF_4</vt:lpwstr>
      </vt:variant>
      <vt:variant>
        <vt:i4>4325387</vt:i4>
      </vt:variant>
      <vt:variant>
        <vt:i4>13</vt:i4>
      </vt:variant>
      <vt:variant>
        <vt:i4>0</vt:i4>
      </vt:variant>
      <vt:variant>
        <vt:i4>5</vt:i4>
      </vt:variant>
      <vt:variant>
        <vt:lpwstr/>
      </vt:variant>
      <vt:variant>
        <vt:lpwstr>_ENREF_3</vt:lpwstr>
      </vt:variant>
      <vt:variant>
        <vt:i4>4390923</vt:i4>
      </vt:variant>
      <vt:variant>
        <vt:i4>10</vt:i4>
      </vt:variant>
      <vt:variant>
        <vt:i4>0</vt:i4>
      </vt:variant>
      <vt:variant>
        <vt:i4>5</vt:i4>
      </vt:variant>
      <vt:variant>
        <vt:lpwstr/>
      </vt:variant>
      <vt:variant>
        <vt:lpwstr>_ENREF_2</vt:lpwstr>
      </vt:variant>
      <vt:variant>
        <vt:i4>4194315</vt:i4>
      </vt:variant>
      <vt:variant>
        <vt:i4>2</vt:i4>
      </vt:variant>
      <vt:variant>
        <vt:i4>0</vt:i4>
      </vt:variant>
      <vt:variant>
        <vt:i4>5</vt:i4>
      </vt:variant>
      <vt:variant>
        <vt:lpwstr/>
      </vt:variant>
      <vt:variant>
        <vt:lpwstr>_ENREF_1</vt:lpwstr>
      </vt:variant>
      <vt:variant>
        <vt:i4>4718592</vt:i4>
      </vt:variant>
      <vt:variant>
        <vt:i4>66209</vt:i4>
      </vt:variant>
      <vt:variant>
        <vt:i4>1035</vt:i4>
      </vt:variant>
      <vt:variant>
        <vt:i4>1</vt:i4>
      </vt:variant>
      <vt:variant>
        <vt:lpwstr>FigureS1</vt:lpwstr>
      </vt:variant>
      <vt:variant>
        <vt:lpwstr/>
      </vt:variant>
      <vt:variant>
        <vt:i4>4915200</vt:i4>
      </vt:variant>
      <vt:variant>
        <vt:i4>66701</vt:i4>
      </vt:variant>
      <vt:variant>
        <vt:i4>1036</vt:i4>
      </vt:variant>
      <vt:variant>
        <vt:i4>1</vt:i4>
      </vt:variant>
      <vt:variant>
        <vt:lpwstr>FigureS2</vt:lpwstr>
      </vt:variant>
      <vt:variant>
        <vt:lpwstr/>
      </vt:variant>
      <vt:variant>
        <vt:i4>4849664</vt:i4>
      </vt:variant>
      <vt:variant>
        <vt:i4>67181</vt:i4>
      </vt:variant>
      <vt:variant>
        <vt:i4>1037</vt:i4>
      </vt:variant>
      <vt:variant>
        <vt:i4>1</vt:i4>
      </vt:variant>
      <vt:variant>
        <vt:lpwstr>FigureS3</vt:lpwstr>
      </vt:variant>
      <vt:variant>
        <vt:lpwstr/>
      </vt:variant>
      <vt:variant>
        <vt:i4>5046272</vt:i4>
      </vt:variant>
      <vt:variant>
        <vt:i4>67657</vt:i4>
      </vt:variant>
      <vt:variant>
        <vt:i4>1038</vt:i4>
      </vt:variant>
      <vt:variant>
        <vt:i4>1</vt:i4>
      </vt:variant>
      <vt:variant>
        <vt:lpwstr>FigureS4</vt:lpwstr>
      </vt:variant>
      <vt:variant>
        <vt:lpwstr/>
      </vt:variant>
      <vt:variant>
        <vt:i4>4980736</vt:i4>
      </vt:variant>
      <vt:variant>
        <vt:i4>68161</vt:i4>
      </vt:variant>
      <vt:variant>
        <vt:i4>1039</vt:i4>
      </vt:variant>
      <vt:variant>
        <vt:i4>1</vt:i4>
      </vt:variant>
      <vt:variant>
        <vt:lpwstr>FigureS5</vt:lpwstr>
      </vt:variant>
      <vt:variant>
        <vt:lpwstr/>
      </vt:variant>
      <vt:variant>
        <vt:i4>5177344</vt:i4>
      </vt:variant>
      <vt:variant>
        <vt:i4>68650</vt:i4>
      </vt:variant>
      <vt:variant>
        <vt:i4>1040</vt:i4>
      </vt:variant>
      <vt:variant>
        <vt:i4>1</vt:i4>
      </vt:variant>
      <vt:variant>
        <vt:lpwstr>FigureS6</vt:lpwstr>
      </vt:variant>
      <vt:variant>
        <vt:lpwstr/>
      </vt:variant>
      <vt:variant>
        <vt:i4>5111808</vt:i4>
      </vt:variant>
      <vt:variant>
        <vt:i4>69122</vt:i4>
      </vt:variant>
      <vt:variant>
        <vt:i4>1041</vt:i4>
      </vt:variant>
      <vt:variant>
        <vt:i4>1</vt:i4>
      </vt:variant>
      <vt:variant>
        <vt:lpwstr>FigureS7</vt:lpwstr>
      </vt:variant>
      <vt:variant>
        <vt:lpwstr/>
      </vt:variant>
      <vt:variant>
        <vt:i4>4259840</vt:i4>
      </vt:variant>
      <vt:variant>
        <vt:i4>69547</vt:i4>
      </vt:variant>
      <vt:variant>
        <vt:i4>1042</vt:i4>
      </vt:variant>
      <vt:variant>
        <vt:i4>1</vt:i4>
      </vt:variant>
      <vt:variant>
        <vt:lpwstr>FigureS8</vt:lpwstr>
      </vt:variant>
      <vt:variant>
        <vt:lpwstr/>
      </vt:variant>
      <vt:variant>
        <vt:i4>4194304</vt:i4>
      </vt:variant>
      <vt:variant>
        <vt:i4>70094</vt:i4>
      </vt:variant>
      <vt:variant>
        <vt:i4>1043</vt:i4>
      </vt:variant>
      <vt:variant>
        <vt:i4>1</vt:i4>
      </vt:variant>
      <vt:variant>
        <vt:lpwstr>FigureS9</vt:lpwstr>
      </vt:variant>
      <vt:variant>
        <vt:lpwstr/>
      </vt:variant>
      <vt:variant>
        <vt:i4>4718640</vt:i4>
      </vt:variant>
      <vt:variant>
        <vt:i4>70672</vt:i4>
      </vt:variant>
      <vt:variant>
        <vt:i4>1044</vt:i4>
      </vt:variant>
      <vt:variant>
        <vt:i4>1</vt:i4>
      </vt:variant>
      <vt:variant>
        <vt:lpwstr>FigureS10</vt:lpwstr>
      </vt:variant>
      <vt:variant>
        <vt:lpwstr/>
      </vt:variant>
      <vt:variant>
        <vt:i4>4718641</vt:i4>
      </vt:variant>
      <vt:variant>
        <vt:i4>71092</vt:i4>
      </vt:variant>
      <vt:variant>
        <vt:i4>1045</vt:i4>
      </vt:variant>
      <vt:variant>
        <vt:i4>1</vt:i4>
      </vt:variant>
      <vt:variant>
        <vt:lpwstr>FigureS11</vt:lpwstr>
      </vt:variant>
      <vt:variant>
        <vt:lpwstr/>
      </vt:variant>
      <vt:variant>
        <vt:i4>4718642</vt:i4>
      </vt:variant>
      <vt:variant>
        <vt:i4>127328</vt:i4>
      </vt:variant>
      <vt:variant>
        <vt:i4>1046</vt:i4>
      </vt:variant>
      <vt:variant>
        <vt:i4>1</vt:i4>
      </vt:variant>
      <vt:variant>
        <vt:lpwstr>FigureS12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JMcNeil</dc:creator>
  <cp:lastModifiedBy>Nottasorn Plipat</cp:lastModifiedBy>
  <cp:revision>2</cp:revision>
  <cp:lastPrinted>2013-09-06T16:01:00Z</cp:lastPrinted>
  <dcterms:created xsi:type="dcterms:W3CDTF">2013-11-15T18:50:00Z</dcterms:created>
  <dcterms:modified xsi:type="dcterms:W3CDTF">2013-11-15T18:50:00Z</dcterms:modified>
</cp:coreProperties>
</file>