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3D0" w:rsidRPr="00F71FA9" w:rsidRDefault="008713D0" w:rsidP="008713D0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F71FA9">
        <w:rPr>
          <w:rFonts w:ascii="Arial" w:hAnsi="Arial" w:cs="Arial"/>
          <w:sz w:val="20"/>
          <w:szCs w:val="20"/>
          <w:lang w:val="en-US"/>
        </w:rPr>
        <w:t>Supplement II: Evaluation questions</w:t>
      </w:r>
      <w:r w:rsidR="00F71FA9" w:rsidRPr="00F71FA9">
        <w:rPr>
          <w:rFonts w:ascii="Arial" w:hAnsi="Arial" w:cs="Arial"/>
          <w:sz w:val="20"/>
          <w:szCs w:val="20"/>
          <w:lang w:val="en-US"/>
        </w:rPr>
        <w:t xml:space="preserve"> and ratings</w:t>
      </w:r>
    </w:p>
    <w:tbl>
      <w:tblPr>
        <w:tblpPr w:leftFromText="141" w:rightFromText="141" w:vertAnchor="page" w:horzAnchor="margin" w:tblpY="2069"/>
        <w:tblW w:w="5000" w:type="pct"/>
        <w:tblLook w:val="04A0" w:firstRow="1" w:lastRow="0" w:firstColumn="1" w:lastColumn="0" w:noHBand="0" w:noVBand="1"/>
      </w:tblPr>
      <w:tblGrid>
        <w:gridCol w:w="9288"/>
      </w:tblGrid>
      <w:tr w:rsidR="008713D0" w:rsidRPr="00F71FA9" w:rsidTr="00461773">
        <w:trPr>
          <w:trHeight w:val="284"/>
        </w:trPr>
        <w:tc>
          <w:tcPr>
            <w:tcW w:w="4568" w:type="pct"/>
            <w:vMerge w:val="restart"/>
            <w:hideMark/>
          </w:tcPr>
          <w:p w:rsidR="008713D0" w:rsidRPr="00F71FA9" w:rsidRDefault="008713D0" w:rsidP="00461773">
            <w:pPr>
              <w:pStyle w:val="Listenabsatz"/>
              <w:numPr>
                <w:ilvl w:val="0"/>
                <w:numId w:val="1"/>
              </w:numPr>
              <w:spacing w:before="20" w:after="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71FA9">
              <w:rPr>
                <w:rFonts w:ascii="Arial" w:hAnsi="Arial" w:cs="Arial"/>
                <w:sz w:val="20"/>
                <w:szCs w:val="20"/>
                <w:lang w:val="en-US"/>
              </w:rPr>
              <w:t>The study sample represents the population of interest with regard to key characteristics, sufficient to limit potential bias to the results</w:t>
            </w:r>
          </w:p>
          <w:p w:rsidR="008713D0" w:rsidRPr="00F71FA9" w:rsidRDefault="008713D0" w:rsidP="00461773">
            <w:pPr>
              <w:spacing w:before="20" w:after="2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713D0" w:rsidRPr="00F71FA9" w:rsidTr="00461773">
        <w:trPr>
          <w:trHeight w:val="270"/>
        </w:trPr>
        <w:tc>
          <w:tcPr>
            <w:tcW w:w="4568" w:type="pct"/>
            <w:vMerge/>
            <w:vAlign w:val="center"/>
            <w:hideMark/>
          </w:tcPr>
          <w:p w:rsidR="008713D0" w:rsidRPr="00F71FA9" w:rsidRDefault="008713D0" w:rsidP="00461773">
            <w:pPr>
              <w:pStyle w:val="Listenabsatz"/>
              <w:numPr>
                <w:ilvl w:val="0"/>
                <w:numId w:val="1"/>
              </w:numPr>
              <w:spacing w:before="20" w:after="2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713D0" w:rsidRPr="00F71FA9" w:rsidTr="00461773">
        <w:trPr>
          <w:trHeight w:val="284"/>
        </w:trPr>
        <w:tc>
          <w:tcPr>
            <w:tcW w:w="4568" w:type="pct"/>
            <w:vMerge w:val="restart"/>
            <w:hideMark/>
          </w:tcPr>
          <w:p w:rsidR="008713D0" w:rsidRPr="00F71FA9" w:rsidRDefault="008713D0" w:rsidP="00461773">
            <w:pPr>
              <w:pStyle w:val="Listenabsatz"/>
              <w:numPr>
                <w:ilvl w:val="0"/>
                <w:numId w:val="1"/>
              </w:numPr>
              <w:spacing w:before="20" w:after="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71FA9">
              <w:rPr>
                <w:rFonts w:ascii="Arial" w:hAnsi="Arial" w:cs="Arial"/>
                <w:sz w:val="20"/>
                <w:szCs w:val="20"/>
                <w:lang w:val="en-US"/>
              </w:rPr>
              <w:t>Loss to follow-up is unrelated to key characteristics (that is, the study data adequately represent the sample), sufficient to limit potential bias</w:t>
            </w:r>
          </w:p>
          <w:p w:rsidR="008713D0" w:rsidRPr="00F71FA9" w:rsidRDefault="008713D0" w:rsidP="00461773">
            <w:pPr>
              <w:spacing w:before="20" w:after="2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713D0" w:rsidRPr="00F71FA9" w:rsidTr="00461773">
        <w:trPr>
          <w:trHeight w:val="270"/>
        </w:trPr>
        <w:tc>
          <w:tcPr>
            <w:tcW w:w="4568" w:type="pct"/>
            <w:vMerge/>
            <w:vAlign w:val="center"/>
            <w:hideMark/>
          </w:tcPr>
          <w:p w:rsidR="008713D0" w:rsidRPr="00F71FA9" w:rsidRDefault="008713D0" w:rsidP="00461773">
            <w:pPr>
              <w:pStyle w:val="Listenabsatz"/>
              <w:numPr>
                <w:ilvl w:val="0"/>
                <w:numId w:val="1"/>
              </w:numPr>
              <w:spacing w:before="20" w:after="2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713D0" w:rsidRPr="00F71FA9" w:rsidTr="00461773">
        <w:trPr>
          <w:trHeight w:val="284"/>
        </w:trPr>
        <w:tc>
          <w:tcPr>
            <w:tcW w:w="4568" w:type="pct"/>
            <w:vMerge w:val="restart"/>
            <w:hideMark/>
          </w:tcPr>
          <w:p w:rsidR="008713D0" w:rsidRPr="00F71FA9" w:rsidRDefault="008713D0" w:rsidP="00461773">
            <w:pPr>
              <w:pStyle w:val="Listenabsatz"/>
              <w:numPr>
                <w:ilvl w:val="0"/>
                <w:numId w:val="1"/>
              </w:numPr>
              <w:spacing w:before="20" w:after="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71FA9">
              <w:rPr>
                <w:rFonts w:ascii="Arial" w:hAnsi="Arial" w:cs="Arial"/>
                <w:sz w:val="20"/>
                <w:szCs w:val="20"/>
                <w:lang w:val="en-US"/>
              </w:rPr>
              <w:t>The prognostic factor of interest is adequately measured in study participants, sufficient to limit potential bias</w:t>
            </w:r>
          </w:p>
          <w:p w:rsidR="008713D0" w:rsidRPr="00F71FA9" w:rsidRDefault="008713D0" w:rsidP="00461773">
            <w:pPr>
              <w:spacing w:before="20" w:after="2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713D0" w:rsidRPr="00F71FA9" w:rsidTr="00461773">
        <w:trPr>
          <w:trHeight w:val="270"/>
        </w:trPr>
        <w:tc>
          <w:tcPr>
            <w:tcW w:w="4568" w:type="pct"/>
            <w:vMerge/>
            <w:vAlign w:val="center"/>
            <w:hideMark/>
          </w:tcPr>
          <w:p w:rsidR="008713D0" w:rsidRPr="00F71FA9" w:rsidRDefault="008713D0" w:rsidP="00461773">
            <w:pPr>
              <w:pStyle w:val="Listenabsatz"/>
              <w:numPr>
                <w:ilvl w:val="0"/>
                <w:numId w:val="1"/>
              </w:numPr>
              <w:spacing w:before="20" w:after="2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713D0" w:rsidRPr="00F71FA9" w:rsidTr="00461773">
        <w:trPr>
          <w:trHeight w:val="284"/>
        </w:trPr>
        <w:tc>
          <w:tcPr>
            <w:tcW w:w="4568" w:type="pct"/>
            <w:vMerge w:val="restart"/>
            <w:hideMark/>
          </w:tcPr>
          <w:p w:rsidR="008713D0" w:rsidRPr="00F71FA9" w:rsidRDefault="008713D0" w:rsidP="00461773">
            <w:pPr>
              <w:pStyle w:val="Listenabsatz"/>
              <w:numPr>
                <w:ilvl w:val="0"/>
                <w:numId w:val="1"/>
              </w:numPr>
              <w:spacing w:before="20" w:after="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71FA9">
              <w:rPr>
                <w:rFonts w:ascii="Arial" w:hAnsi="Arial" w:cs="Arial"/>
                <w:sz w:val="20"/>
                <w:szCs w:val="20"/>
                <w:lang w:val="en-US"/>
              </w:rPr>
              <w:t>The outcome of interest is adequately measured in study participants, sufficient to limit bias</w:t>
            </w:r>
          </w:p>
        </w:tc>
      </w:tr>
      <w:tr w:rsidR="008713D0" w:rsidRPr="00F71FA9" w:rsidTr="00461773">
        <w:trPr>
          <w:trHeight w:val="270"/>
        </w:trPr>
        <w:tc>
          <w:tcPr>
            <w:tcW w:w="4568" w:type="pct"/>
            <w:vMerge/>
            <w:vAlign w:val="center"/>
            <w:hideMark/>
          </w:tcPr>
          <w:p w:rsidR="008713D0" w:rsidRPr="00F71FA9" w:rsidRDefault="008713D0" w:rsidP="00461773">
            <w:pPr>
              <w:pStyle w:val="Listenabsatz"/>
              <w:numPr>
                <w:ilvl w:val="0"/>
                <w:numId w:val="1"/>
              </w:numPr>
              <w:spacing w:before="20" w:after="2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713D0" w:rsidRPr="00F71FA9" w:rsidTr="00461773">
        <w:trPr>
          <w:trHeight w:val="284"/>
        </w:trPr>
        <w:tc>
          <w:tcPr>
            <w:tcW w:w="4568" w:type="pct"/>
            <w:vMerge w:val="restart"/>
            <w:hideMark/>
          </w:tcPr>
          <w:p w:rsidR="008713D0" w:rsidRPr="00F71FA9" w:rsidRDefault="008713D0" w:rsidP="00461773">
            <w:pPr>
              <w:pStyle w:val="Listenabsatz"/>
              <w:numPr>
                <w:ilvl w:val="0"/>
                <w:numId w:val="1"/>
              </w:numPr>
              <w:spacing w:before="20" w:after="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71FA9">
              <w:rPr>
                <w:rFonts w:ascii="Arial" w:hAnsi="Arial" w:cs="Arial"/>
                <w:sz w:val="20"/>
                <w:szCs w:val="20"/>
                <w:lang w:val="en-US"/>
              </w:rPr>
              <w:t>Important potential confounders are appropriately accounted for, limiting potential bias with respect to the prognostic factor of interest</w:t>
            </w:r>
          </w:p>
          <w:p w:rsidR="008713D0" w:rsidRPr="00F71FA9" w:rsidRDefault="008713D0" w:rsidP="00461773">
            <w:pPr>
              <w:spacing w:before="20" w:after="2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713D0" w:rsidRPr="00F71FA9" w:rsidTr="00461773">
        <w:trPr>
          <w:trHeight w:val="270"/>
        </w:trPr>
        <w:tc>
          <w:tcPr>
            <w:tcW w:w="4568" w:type="pct"/>
            <w:vMerge/>
            <w:vAlign w:val="center"/>
            <w:hideMark/>
          </w:tcPr>
          <w:p w:rsidR="008713D0" w:rsidRPr="00F71FA9" w:rsidRDefault="008713D0" w:rsidP="00461773">
            <w:pPr>
              <w:pStyle w:val="Listenabsatz"/>
              <w:numPr>
                <w:ilvl w:val="0"/>
                <w:numId w:val="1"/>
              </w:numPr>
              <w:spacing w:before="20" w:after="2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713D0" w:rsidRPr="00F71FA9" w:rsidTr="00461773">
        <w:trPr>
          <w:trHeight w:val="284"/>
        </w:trPr>
        <w:tc>
          <w:tcPr>
            <w:tcW w:w="4568" w:type="pct"/>
            <w:vMerge w:val="restart"/>
            <w:hideMark/>
          </w:tcPr>
          <w:p w:rsidR="008713D0" w:rsidRPr="00F71FA9" w:rsidRDefault="008713D0" w:rsidP="00461773">
            <w:pPr>
              <w:pStyle w:val="Listenabsatz"/>
              <w:numPr>
                <w:ilvl w:val="0"/>
                <w:numId w:val="1"/>
              </w:numPr>
              <w:spacing w:before="20" w:after="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71FA9">
              <w:rPr>
                <w:rFonts w:ascii="Arial" w:hAnsi="Arial" w:cs="Arial"/>
                <w:sz w:val="20"/>
                <w:szCs w:val="20"/>
                <w:lang w:val="en-US"/>
              </w:rPr>
              <w:t>The statistical analysis is appropriate for the design of the study, limiting potential for the presentation of invalid results</w:t>
            </w:r>
          </w:p>
        </w:tc>
      </w:tr>
      <w:tr w:rsidR="008713D0" w:rsidRPr="00F71FA9" w:rsidTr="00461773">
        <w:trPr>
          <w:trHeight w:val="270"/>
        </w:trPr>
        <w:tc>
          <w:tcPr>
            <w:tcW w:w="4568" w:type="pct"/>
            <w:vMerge/>
            <w:vAlign w:val="center"/>
            <w:hideMark/>
          </w:tcPr>
          <w:p w:rsidR="008713D0" w:rsidRPr="00F71FA9" w:rsidRDefault="008713D0" w:rsidP="00461773">
            <w:pPr>
              <w:spacing w:before="20" w:after="2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8713D0" w:rsidRPr="00F71FA9" w:rsidRDefault="008713D0" w:rsidP="008713D0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:rsidR="008713D0" w:rsidRPr="00F71FA9" w:rsidRDefault="00F71FA9" w:rsidP="008713D0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F71FA9">
        <w:rPr>
          <w:rFonts w:ascii="Arial" w:hAnsi="Arial" w:cs="Arial"/>
          <w:sz w:val="20"/>
          <w:szCs w:val="20"/>
          <w:lang w:val="en-US"/>
        </w:rPr>
        <w:t xml:space="preserve">Checklist items are worded so that a ‘yes’ response always indicates that the study has been designed and conducted in such a way as to </w:t>
      </w:r>
      <w:r w:rsidRPr="00F71FA9">
        <w:rPr>
          <w:rFonts w:ascii="Arial" w:hAnsi="Arial" w:cs="Arial"/>
          <w:sz w:val="20"/>
          <w:szCs w:val="20"/>
          <w:lang w:val="en-US"/>
        </w:rPr>
        <w:t>minimize</w:t>
      </w:r>
      <w:bookmarkStart w:id="0" w:name="_GoBack"/>
      <w:bookmarkEnd w:id="0"/>
      <w:r w:rsidRPr="00F71FA9">
        <w:rPr>
          <w:rFonts w:ascii="Arial" w:hAnsi="Arial" w:cs="Arial"/>
          <w:sz w:val="20"/>
          <w:szCs w:val="20"/>
          <w:lang w:val="en-US"/>
        </w:rPr>
        <w:t xml:space="preserve"> the risk of bias for that item. An ‘unclear’ response to a question may arise when the answer to an item is not reported or is not reported clearly.</w:t>
      </w:r>
    </w:p>
    <w:p w:rsidR="00A211CD" w:rsidRPr="00F71FA9" w:rsidRDefault="00A211CD">
      <w:pPr>
        <w:rPr>
          <w:rFonts w:ascii="Arial" w:hAnsi="Arial" w:cs="Arial"/>
          <w:sz w:val="20"/>
          <w:szCs w:val="20"/>
          <w:lang w:val="en-US"/>
        </w:rPr>
      </w:pPr>
    </w:p>
    <w:sectPr w:rsidR="00A211CD" w:rsidRPr="00F71FA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185B55"/>
    <w:multiLevelType w:val="hybridMultilevel"/>
    <w:tmpl w:val="47E4418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3D0"/>
    <w:rsid w:val="008713D0"/>
    <w:rsid w:val="00A211CD"/>
    <w:rsid w:val="00F71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713D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8713D0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713D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8713D0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Witten/Herdecke</Company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Mathes, Tim</dc:creator>
  <cp:lastModifiedBy>Mathes, Tim</cp:lastModifiedBy>
  <cp:revision>2</cp:revision>
  <dcterms:created xsi:type="dcterms:W3CDTF">2013-12-04T08:15:00Z</dcterms:created>
  <dcterms:modified xsi:type="dcterms:W3CDTF">2014-02-25T08:53:00Z</dcterms:modified>
</cp:coreProperties>
</file>